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87442">
      <w:pPr>
        <w:rPr>
          <w:rFonts w:hint="eastAsia" w:eastAsiaTheme="minorEastAsia"/>
          <w:vanish/>
          <w:sz w:val="24"/>
          <w:szCs w:val="24"/>
          <w:lang w:val="en-US" w:eastAsia="zh-CN"/>
        </w:rPr>
      </w:pPr>
      <w:r>
        <w:rPr>
          <w:rFonts w:hint="eastAsia"/>
          <w:vanish/>
          <w:sz w:val="24"/>
          <w:szCs w:val="24"/>
          <w:lang w:val="en-US" w:eastAsia="zh-CN"/>
        </w:rPr>
        <w:t>1</w:t>
      </w:r>
    </w:p>
    <w:p w14:paraId="47FE85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焦作市殡仪馆遗体火化设备配置和维修维护项目（二次）的中标结果公告</w:t>
      </w:r>
    </w:p>
    <w:p w14:paraId="7564612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一、项目基本情况 </w:t>
      </w:r>
    </w:p>
    <w:p w14:paraId="636CE01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1、采购项目编号：焦财招标采购-2026-28</w:t>
      </w:r>
    </w:p>
    <w:p w14:paraId="0AC4836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2、采购项目名称：焦作市殡仪馆遗体火化设备配置和维修维护项目（二次）</w:t>
      </w:r>
    </w:p>
    <w:p w14:paraId="0002DC8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3、采购方式：公开招标 </w:t>
      </w:r>
    </w:p>
    <w:p w14:paraId="29C926F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4、招标公告发布日期：202</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7</w:t>
      </w:r>
      <w:r>
        <w:rPr>
          <w:rFonts w:hint="eastAsia" w:ascii="宋体" w:hAnsi="宋体" w:eastAsia="宋体" w:cs="宋体"/>
          <w:sz w:val="24"/>
          <w:szCs w:val="24"/>
          <w:lang w:val="en-US" w:eastAsia="zh-CN"/>
        </w:rPr>
        <w:t>月2</w:t>
      </w:r>
      <w:r>
        <w:rPr>
          <w:rFonts w:hint="eastAsia" w:ascii="宋体" w:hAnsi="宋体" w:cs="宋体"/>
          <w:sz w:val="24"/>
          <w:szCs w:val="24"/>
          <w:lang w:val="en-US" w:eastAsia="zh-CN"/>
        </w:rPr>
        <w:t>1</w:t>
      </w:r>
      <w:r>
        <w:rPr>
          <w:rFonts w:hint="eastAsia" w:ascii="宋体" w:hAnsi="宋体" w:eastAsia="宋体" w:cs="宋体"/>
          <w:sz w:val="24"/>
          <w:szCs w:val="24"/>
          <w:lang w:val="en-US" w:eastAsia="zh-CN"/>
        </w:rPr>
        <w:t xml:space="preserve">日 </w:t>
      </w:r>
    </w:p>
    <w:p w14:paraId="6D901BA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5、评审日期：202</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年</w:t>
      </w:r>
      <w:r>
        <w:rPr>
          <w:rFonts w:hint="eastAsia" w:ascii="宋体" w:hAnsi="宋体" w:cs="宋体"/>
          <w:sz w:val="24"/>
          <w:szCs w:val="24"/>
          <w:lang w:val="en-US" w:eastAsia="zh-CN"/>
        </w:rPr>
        <w:t>8</w:t>
      </w:r>
      <w:r>
        <w:rPr>
          <w:rFonts w:hint="eastAsia" w:ascii="宋体" w:hAnsi="宋体" w:eastAsia="宋体" w:cs="宋体"/>
          <w:sz w:val="24"/>
          <w:szCs w:val="24"/>
          <w:lang w:val="en-US" w:eastAsia="zh-CN"/>
        </w:rPr>
        <w:t xml:space="preserve">月11日 </w:t>
      </w:r>
    </w:p>
    <w:p w14:paraId="5E0CA2B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二、采购项目用途、数量、简要技术要求、合同履行日期： </w:t>
      </w:r>
    </w:p>
    <w:p w14:paraId="1BDFFC4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详见附件 </w:t>
      </w:r>
    </w:p>
    <w:p w14:paraId="1B3EBDE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三、中标情况 </w:t>
      </w:r>
    </w:p>
    <w:tbl>
      <w:tblPr>
        <w:tblStyle w:val="12"/>
        <w:tblW w:w="9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9"/>
        <w:gridCol w:w="600"/>
        <w:gridCol w:w="1207"/>
        <w:gridCol w:w="780"/>
        <w:gridCol w:w="1544"/>
        <w:gridCol w:w="1405"/>
        <w:gridCol w:w="1866"/>
        <w:gridCol w:w="710"/>
      </w:tblGrid>
      <w:tr w14:paraId="5900CBC8">
        <w:tblPrEx>
          <w:tblCellMar>
            <w:top w:w="0" w:type="dxa"/>
            <w:left w:w="108" w:type="dxa"/>
            <w:bottom w:w="0" w:type="dxa"/>
            <w:right w:w="108" w:type="dxa"/>
          </w:tblCellMar>
        </w:tblPrEx>
        <w:trPr>
          <w:jc w:val="center"/>
        </w:trPr>
        <w:tc>
          <w:tcPr>
            <w:tcW w:w="1309" w:type="dxa"/>
            <w:noWrap w:val="0"/>
            <w:vAlign w:val="center"/>
          </w:tcPr>
          <w:p w14:paraId="304E65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包号</w:t>
            </w:r>
          </w:p>
        </w:tc>
        <w:tc>
          <w:tcPr>
            <w:tcW w:w="1807" w:type="dxa"/>
            <w:gridSpan w:val="2"/>
            <w:noWrap w:val="0"/>
            <w:vAlign w:val="center"/>
          </w:tcPr>
          <w:p w14:paraId="583E90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采购内容</w:t>
            </w:r>
          </w:p>
        </w:tc>
        <w:tc>
          <w:tcPr>
            <w:tcW w:w="2324" w:type="dxa"/>
            <w:gridSpan w:val="2"/>
            <w:noWrap w:val="0"/>
            <w:vAlign w:val="center"/>
          </w:tcPr>
          <w:p w14:paraId="141371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中标人名称</w:t>
            </w:r>
          </w:p>
        </w:tc>
        <w:tc>
          <w:tcPr>
            <w:tcW w:w="1405" w:type="dxa"/>
            <w:noWrap w:val="0"/>
            <w:vAlign w:val="center"/>
          </w:tcPr>
          <w:p w14:paraId="491BF6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地 址</w:t>
            </w:r>
          </w:p>
        </w:tc>
        <w:tc>
          <w:tcPr>
            <w:tcW w:w="1866" w:type="dxa"/>
            <w:noWrap w:val="0"/>
            <w:vAlign w:val="center"/>
          </w:tcPr>
          <w:p w14:paraId="0668F3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中标金额</w:t>
            </w:r>
          </w:p>
        </w:tc>
        <w:tc>
          <w:tcPr>
            <w:tcW w:w="710" w:type="dxa"/>
            <w:noWrap w:val="0"/>
            <w:vAlign w:val="center"/>
          </w:tcPr>
          <w:p w14:paraId="3A5D0C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单位</w:t>
            </w:r>
          </w:p>
        </w:tc>
      </w:tr>
      <w:tr w14:paraId="58A5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restart"/>
            <w:noWrap w:val="0"/>
            <w:vAlign w:val="center"/>
          </w:tcPr>
          <w:p w14:paraId="75AC0D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default" w:ascii="宋体" w:hAnsi="宋体" w:eastAsia="宋体" w:cs="宋体"/>
                <w:b w:val="0"/>
                <w:bCs w:val="0"/>
                <w:color w:val="auto"/>
                <w:sz w:val="21"/>
                <w:szCs w:val="21"/>
                <w:vertAlign w:val="baseline"/>
                <w:lang w:val="en-US" w:eastAsia="zh-CN"/>
              </w:rPr>
              <w:t>焦公资采购H2026－</w:t>
            </w:r>
            <w:r>
              <w:rPr>
                <w:rFonts w:hint="eastAsia" w:ascii="宋体" w:hAnsi="宋体" w:eastAsia="宋体" w:cs="宋体"/>
                <w:b w:val="0"/>
                <w:bCs w:val="0"/>
                <w:color w:val="auto"/>
                <w:sz w:val="21"/>
                <w:szCs w:val="21"/>
                <w:vertAlign w:val="baseline"/>
                <w:lang w:val="en-US" w:eastAsia="zh-CN"/>
              </w:rPr>
              <w:t>042-1</w:t>
            </w:r>
          </w:p>
        </w:tc>
        <w:tc>
          <w:tcPr>
            <w:tcW w:w="1807" w:type="dxa"/>
            <w:gridSpan w:val="2"/>
            <w:noWrap w:val="0"/>
            <w:vAlign w:val="center"/>
          </w:tcPr>
          <w:p w14:paraId="118F5F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一标段</w:t>
            </w:r>
          </w:p>
          <w:p w14:paraId="18E95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采购平板式火化机一台</w:t>
            </w:r>
          </w:p>
        </w:tc>
        <w:tc>
          <w:tcPr>
            <w:tcW w:w="2324" w:type="dxa"/>
            <w:gridSpan w:val="2"/>
            <w:noWrap w:val="0"/>
            <w:vAlign w:val="center"/>
          </w:tcPr>
          <w:p w14:paraId="398414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山东玲华环保科技有限公司</w:t>
            </w:r>
          </w:p>
        </w:tc>
        <w:tc>
          <w:tcPr>
            <w:tcW w:w="1405" w:type="dxa"/>
            <w:noWrap w:val="0"/>
            <w:vAlign w:val="center"/>
          </w:tcPr>
          <w:p w14:paraId="730D7B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山东省临沂市兰山区凯歌文化城8-1号楼107号</w:t>
            </w:r>
          </w:p>
        </w:tc>
        <w:tc>
          <w:tcPr>
            <w:tcW w:w="1866" w:type="dxa"/>
            <w:noWrap w:val="0"/>
            <w:vAlign w:val="center"/>
          </w:tcPr>
          <w:p w14:paraId="682FDE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210,000.00</w:t>
            </w:r>
          </w:p>
        </w:tc>
        <w:tc>
          <w:tcPr>
            <w:tcW w:w="710" w:type="dxa"/>
            <w:noWrap w:val="0"/>
            <w:vAlign w:val="center"/>
          </w:tcPr>
          <w:p w14:paraId="11239C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元</w:t>
            </w:r>
          </w:p>
        </w:tc>
      </w:tr>
      <w:tr w14:paraId="2FBE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continue"/>
            <w:noWrap w:val="0"/>
            <w:vAlign w:val="center"/>
          </w:tcPr>
          <w:p w14:paraId="1F04A9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p>
        </w:tc>
        <w:tc>
          <w:tcPr>
            <w:tcW w:w="600" w:type="dxa"/>
            <w:noWrap w:val="0"/>
            <w:vAlign w:val="center"/>
          </w:tcPr>
          <w:p w14:paraId="598349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序号</w:t>
            </w:r>
          </w:p>
        </w:tc>
        <w:tc>
          <w:tcPr>
            <w:tcW w:w="1987" w:type="dxa"/>
            <w:gridSpan w:val="2"/>
            <w:noWrap w:val="0"/>
            <w:vAlign w:val="center"/>
          </w:tcPr>
          <w:p w14:paraId="72E1C9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名称</w:t>
            </w:r>
          </w:p>
        </w:tc>
        <w:tc>
          <w:tcPr>
            <w:tcW w:w="1544" w:type="dxa"/>
            <w:noWrap w:val="0"/>
            <w:vAlign w:val="center"/>
          </w:tcPr>
          <w:p w14:paraId="743E82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品牌（如有）</w:t>
            </w:r>
          </w:p>
        </w:tc>
        <w:tc>
          <w:tcPr>
            <w:tcW w:w="1405" w:type="dxa"/>
            <w:noWrap w:val="0"/>
            <w:vAlign w:val="center"/>
          </w:tcPr>
          <w:p w14:paraId="78922D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规格型号</w:t>
            </w:r>
          </w:p>
        </w:tc>
        <w:tc>
          <w:tcPr>
            <w:tcW w:w="1866" w:type="dxa"/>
            <w:noWrap w:val="0"/>
            <w:vAlign w:val="center"/>
          </w:tcPr>
          <w:p w14:paraId="48A807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数量</w:t>
            </w:r>
          </w:p>
        </w:tc>
        <w:tc>
          <w:tcPr>
            <w:tcW w:w="710" w:type="dxa"/>
            <w:noWrap w:val="0"/>
            <w:vAlign w:val="center"/>
          </w:tcPr>
          <w:p w14:paraId="10EBDA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单价</w:t>
            </w:r>
          </w:p>
        </w:tc>
      </w:tr>
      <w:tr w14:paraId="0748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continue"/>
            <w:noWrap w:val="0"/>
            <w:vAlign w:val="center"/>
          </w:tcPr>
          <w:p w14:paraId="744182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p>
        </w:tc>
        <w:tc>
          <w:tcPr>
            <w:tcW w:w="600" w:type="dxa"/>
            <w:noWrap w:val="0"/>
            <w:vAlign w:val="center"/>
          </w:tcPr>
          <w:p w14:paraId="435FFF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w:t>
            </w:r>
          </w:p>
        </w:tc>
        <w:tc>
          <w:tcPr>
            <w:tcW w:w="1987" w:type="dxa"/>
            <w:gridSpan w:val="2"/>
            <w:noWrap w:val="0"/>
            <w:vAlign w:val="center"/>
          </w:tcPr>
          <w:p w14:paraId="028929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焦作市殡仪馆遗体火化设备配置和维修维护项目（二次）一标段</w:t>
            </w:r>
          </w:p>
        </w:tc>
        <w:tc>
          <w:tcPr>
            <w:tcW w:w="1544" w:type="dxa"/>
            <w:noWrap w:val="0"/>
            <w:vAlign w:val="center"/>
          </w:tcPr>
          <w:p w14:paraId="41492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详见附件</w:t>
            </w:r>
          </w:p>
        </w:tc>
        <w:tc>
          <w:tcPr>
            <w:tcW w:w="1405" w:type="dxa"/>
            <w:noWrap w:val="0"/>
            <w:vAlign w:val="center"/>
          </w:tcPr>
          <w:p w14:paraId="28866C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详见附件</w:t>
            </w:r>
          </w:p>
        </w:tc>
        <w:tc>
          <w:tcPr>
            <w:tcW w:w="1866" w:type="dxa"/>
            <w:noWrap w:val="0"/>
            <w:vAlign w:val="center"/>
          </w:tcPr>
          <w:p w14:paraId="69A82C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详见附件</w:t>
            </w:r>
          </w:p>
        </w:tc>
        <w:tc>
          <w:tcPr>
            <w:tcW w:w="710" w:type="dxa"/>
            <w:noWrap w:val="0"/>
            <w:vAlign w:val="center"/>
          </w:tcPr>
          <w:p w14:paraId="0B478B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详见附件</w:t>
            </w:r>
          </w:p>
        </w:tc>
      </w:tr>
      <w:tr w14:paraId="04BC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noWrap w:val="0"/>
            <w:vAlign w:val="center"/>
          </w:tcPr>
          <w:p w14:paraId="6FE538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包号</w:t>
            </w:r>
          </w:p>
        </w:tc>
        <w:tc>
          <w:tcPr>
            <w:tcW w:w="1807" w:type="dxa"/>
            <w:gridSpan w:val="2"/>
            <w:noWrap w:val="0"/>
            <w:vAlign w:val="center"/>
          </w:tcPr>
          <w:p w14:paraId="3B33C0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采购内容</w:t>
            </w:r>
          </w:p>
        </w:tc>
        <w:tc>
          <w:tcPr>
            <w:tcW w:w="2324" w:type="dxa"/>
            <w:gridSpan w:val="2"/>
            <w:noWrap w:val="0"/>
            <w:vAlign w:val="center"/>
          </w:tcPr>
          <w:p w14:paraId="0BC820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中标人名称</w:t>
            </w:r>
          </w:p>
        </w:tc>
        <w:tc>
          <w:tcPr>
            <w:tcW w:w="1405" w:type="dxa"/>
            <w:noWrap w:val="0"/>
            <w:vAlign w:val="center"/>
          </w:tcPr>
          <w:p w14:paraId="2EEE44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地 址</w:t>
            </w:r>
          </w:p>
        </w:tc>
        <w:tc>
          <w:tcPr>
            <w:tcW w:w="1866" w:type="dxa"/>
            <w:noWrap w:val="0"/>
            <w:vAlign w:val="center"/>
          </w:tcPr>
          <w:p w14:paraId="15D10D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中标金额</w:t>
            </w:r>
          </w:p>
        </w:tc>
        <w:tc>
          <w:tcPr>
            <w:tcW w:w="710" w:type="dxa"/>
            <w:noWrap w:val="0"/>
            <w:vAlign w:val="center"/>
          </w:tcPr>
          <w:p w14:paraId="0F75F4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单位</w:t>
            </w:r>
          </w:p>
        </w:tc>
      </w:tr>
      <w:tr w14:paraId="1DDD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restart"/>
            <w:noWrap w:val="0"/>
            <w:vAlign w:val="center"/>
          </w:tcPr>
          <w:p w14:paraId="1B835F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default" w:ascii="宋体" w:hAnsi="宋体" w:eastAsia="宋体" w:cs="宋体"/>
                <w:b w:val="0"/>
                <w:bCs w:val="0"/>
                <w:color w:val="auto"/>
                <w:sz w:val="21"/>
                <w:szCs w:val="21"/>
                <w:vertAlign w:val="baseline"/>
                <w:lang w:val="en-US" w:eastAsia="zh-CN"/>
              </w:rPr>
            </w:pPr>
            <w:r>
              <w:rPr>
                <w:rFonts w:hint="default" w:ascii="宋体" w:hAnsi="宋体" w:eastAsia="宋体" w:cs="宋体"/>
                <w:b w:val="0"/>
                <w:bCs w:val="0"/>
                <w:color w:val="auto"/>
                <w:sz w:val="21"/>
                <w:szCs w:val="21"/>
                <w:vertAlign w:val="baseline"/>
                <w:lang w:val="en-US" w:eastAsia="zh-CN"/>
              </w:rPr>
              <w:t>焦公资采购H2026－</w:t>
            </w:r>
            <w:r>
              <w:rPr>
                <w:rFonts w:hint="eastAsia" w:ascii="宋体" w:hAnsi="宋体" w:eastAsia="宋体" w:cs="宋体"/>
                <w:b w:val="0"/>
                <w:bCs w:val="0"/>
                <w:color w:val="auto"/>
                <w:sz w:val="21"/>
                <w:szCs w:val="21"/>
                <w:vertAlign w:val="baseline"/>
                <w:lang w:val="en-US" w:eastAsia="zh-CN"/>
              </w:rPr>
              <w:t>042-2</w:t>
            </w:r>
          </w:p>
        </w:tc>
        <w:tc>
          <w:tcPr>
            <w:tcW w:w="1807" w:type="dxa"/>
            <w:gridSpan w:val="2"/>
            <w:noWrap w:val="0"/>
            <w:vAlign w:val="center"/>
          </w:tcPr>
          <w:p w14:paraId="7563DB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二标段</w:t>
            </w:r>
          </w:p>
          <w:p w14:paraId="6E62DE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采购平板炉维修服务</w:t>
            </w:r>
          </w:p>
        </w:tc>
        <w:tc>
          <w:tcPr>
            <w:tcW w:w="2324" w:type="dxa"/>
            <w:gridSpan w:val="2"/>
            <w:noWrap w:val="0"/>
            <w:vAlign w:val="center"/>
          </w:tcPr>
          <w:p w14:paraId="79104C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郑州市恒杉机械制造有限责任公司</w:t>
            </w:r>
          </w:p>
        </w:tc>
        <w:tc>
          <w:tcPr>
            <w:tcW w:w="1405" w:type="dxa"/>
            <w:noWrap w:val="0"/>
            <w:vAlign w:val="center"/>
          </w:tcPr>
          <w:p w14:paraId="76D278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荥阳市城关乡李克寨村三组</w:t>
            </w:r>
          </w:p>
        </w:tc>
        <w:tc>
          <w:tcPr>
            <w:tcW w:w="1866" w:type="dxa"/>
            <w:noWrap w:val="0"/>
            <w:vAlign w:val="center"/>
          </w:tcPr>
          <w:p w14:paraId="46ACB9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92,000.00</w:t>
            </w:r>
          </w:p>
        </w:tc>
        <w:tc>
          <w:tcPr>
            <w:tcW w:w="710" w:type="dxa"/>
            <w:noWrap w:val="0"/>
            <w:vAlign w:val="center"/>
          </w:tcPr>
          <w:p w14:paraId="0AF570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元</w:t>
            </w:r>
          </w:p>
        </w:tc>
      </w:tr>
      <w:tr w14:paraId="7432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continue"/>
            <w:noWrap w:val="0"/>
            <w:vAlign w:val="center"/>
          </w:tcPr>
          <w:p w14:paraId="57BA70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p>
        </w:tc>
        <w:tc>
          <w:tcPr>
            <w:tcW w:w="600" w:type="dxa"/>
            <w:noWrap w:val="0"/>
            <w:vAlign w:val="center"/>
          </w:tcPr>
          <w:p w14:paraId="615F0E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序号</w:t>
            </w:r>
          </w:p>
        </w:tc>
        <w:tc>
          <w:tcPr>
            <w:tcW w:w="1987" w:type="dxa"/>
            <w:gridSpan w:val="2"/>
            <w:noWrap w:val="0"/>
            <w:vAlign w:val="center"/>
          </w:tcPr>
          <w:p w14:paraId="14867A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名称</w:t>
            </w:r>
          </w:p>
        </w:tc>
        <w:tc>
          <w:tcPr>
            <w:tcW w:w="1544" w:type="dxa"/>
            <w:noWrap w:val="0"/>
            <w:vAlign w:val="center"/>
          </w:tcPr>
          <w:p w14:paraId="5078A1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品牌（如有）</w:t>
            </w:r>
          </w:p>
        </w:tc>
        <w:tc>
          <w:tcPr>
            <w:tcW w:w="1405" w:type="dxa"/>
            <w:noWrap w:val="0"/>
            <w:vAlign w:val="center"/>
          </w:tcPr>
          <w:p w14:paraId="6A6009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规格型号</w:t>
            </w:r>
          </w:p>
        </w:tc>
        <w:tc>
          <w:tcPr>
            <w:tcW w:w="1866" w:type="dxa"/>
            <w:noWrap w:val="0"/>
            <w:vAlign w:val="center"/>
          </w:tcPr>
          <w:p w14:paraId="63252C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数量</w:t>
            </w:r>
          </w:p>
        </w:tc>
        <w:tc>
          <w:tcPr>
            <w:tcW w:w="710" w:type="dxa"/>
            <w:noWrap w:val="0"/>
            <w:vAlign w:val="center"/>
          </w:tcPr>
          <w:p w14:paraId="34FB6F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单价</w:t>
            </w:r>
          </w:p>
        </w:tc>
      </w:tr>
      <w:tr w14:paraId="443C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9" w:type="dxa"/>
            <w:vMerge w:val="continue"/>
            <w:noWrap w:val="0"/>
            <w:vAlign w:val="center"/>
          </w:tcPr>
          <w:p w14:paraId="2E13BF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宋体" w:hAnsi="宋体" w:eastAsia="宋体" w:cs="宋体"/>
                <w:b w:val="0"/>
                <w:bCs w:val="0"/>
                <w:color w:val="auto"/>
                <w:sz w:val="21"/>
                <w:szCs w:val="21"/>
                <w:vertAlign w:val="baseline"/>
                <w:lang w:val="en-US" w:eastAsia="zh-CN"/>
              </w:rPr>
            </w:pPr>
          </w:p>
        </w:tc>
        <w:tc>
          <w:tcPr>
            <w:tcW w:w="600" w:type="dxa"/>
            <w:noWrap w:val="0"/>
            <w:vAlign w:val="center"/>
          </w:tcPr>
          <w:p w14:paraId="68E6DF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1</w:t>
            </w:r>
          </w:p>
        </w:tc>
        <w:tc>
          <w:tcPr>
            <w:tcW w:w="1987" w:type="dxa"/>
            <w:gridSpan w:val="2"/>
            <w:noWrap w:val="0"/>
            <w:vAlign w:val="center"/>
          </w:tcPr>
          <w:p w14:paraId="6809DF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焦作市殡仪馆遗体火化设备配置和维修维护项目（二次）二标段</w:t>
            </w:r>
          </w:p>
        </w:tc>
        <w:tc>
          <w:tcPr>
            <w:tcW w:w="1544" w:type="dxa"/>
            <w:noWrap w:val="0"/>
            <w:vAlign w:val="center"/>
          </w:tcPr>
          <w:p w14:paraId="51D974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详见附件</w:t>
            </w:r>
          </w:p>
        </w:tc>
        <w:tc>
          <w:tcPr>
            <w:tcW w:w="1405" w:type="dxa"/>
            <w:noWrap w:val="0"/>
            <w:vAlign w:val="center"/>
          </w:tcPr>
          <w:p w14:paraId="1CE030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详见附件</w:t>
            </w:r>
          </w:p>
        </w:tc>
        <w:tc>
          <w:tcPr>
            <w:tcW w:w="1866" w:type="dxa"/>
            <w:noWrap w:val="0"/>
            <w:vAlign w:val="center"/>
          </w:tcPr>
          <w:p w14:paraId="2FF570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详见附件</w:t>
            </w:r>
          </w:p>
        </w:tc>
        <w:tc>
          <w:tcPr>
            <w:tcW w:w="710" w:type="dxa"/>
            <w:noWrap w:val="0"/>
            <w:vAlign w:val="center"/>
          </w:tcPr>
          <w:p w14:paraId="79089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right="0" w:rightChars="0"/>
              <w:jc w:val="center"/>
              <w:textAlignment w:val="auto"/>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详见附件</w:t>
            </w:r>
          </w:p>
        </w:tc>
      </w:tr>
    </w:tbl>
    <w:p w14:paraId="4D8AC3E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四、评审专家名单 </w:t>
      </w:r>
    </w:p>
    <w:p w14:paraId="10F9B72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sz w:val="24"/>
          <w:szCs w:val="24"/>
          <w:lang w:val="en-US"/>
        </w:rPr>
      </w:pPr>
      <w:r>
        <w:rPr>
          <w:rFonts w:hint="eastAsia" w:ascii="宋体" w:hAnsi="宋体" w:eastAsia="宋体" w:cs="宋体"/>
          <w:sz w:val="24"/>
          <w:szCs w:val="24"/>
          <w:lang w:val="en-US" w:eastAsia="zh-CN"/>
        </w:rPr>
        <w:t xml:space="preserve">祝跃霞、李德军、李长虹、郭军胜、许成中 </w:t>
      </w:r>
    </w:p>
    <w:p w14:paraId="14442C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五、代理服务收费标准及金额： </w:t>
      </w:r>
    </w:p>
    <w:p w14:paraId="7569FF3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eastAsia="宋体"/>
          <w:lang w:val="en-US" w:eastAsia="zh-CN"/>
        </w:rPr>
      </w:pPr>
      <w:r>
        <w:rPr>
          <w:rFonts w:hint="eastAsia" w:ascii="宋体" w:hAnsi="宋体" w:eastAsia="宋体" w:cs="宋体"/>
          <w:sz w:val="24"/>
          <w:szCs w:val="24"/>
          <w:lang w:val="en-US" w:eastAsia="zh-CN"/>
        </w:rPr>
        <w:t>收费标准：按照中标金额的千分之十七收取（不足3000元的，按3000元收取）。中标人在领取中标通知书前须以刷卡或转账的方式向采购代理机构缴纳采购代理服务费。</w:t>
      </w:r>
      <w:r>
        <w:rPr>
          <w:rFonts w:hint="eastAsia" w:ascii="宋体" w:hAnsi="宋体" w:eastAsia="宋体" w:cs="宋体"/>
          <w:sz w:val="24"/>
          <w:szCs w:val="24"/>
          <w:lang w:eastAsia="zh-CN"/>
        </w:rPr>
        <w:t>一标段：</w:t>
      </w:r>
      <w:r>
        <w:rPr>
          <w:rFonts w:hint="eastAsia" w:ascii="宋体" w:hAnsi="宋体" w:eastAsia="宋体" w:cs="宋体"/>
          <w:sz w:val="24"/>
          <w:szCs w:val="24"/>
          <w:lang w:val="en-US" w:eastAsia="zh-CN"/>
        </w:rPr>
        <w:t>3,570.00</w:t>
      </w:r>
      <w:r>
        <w:rPr>
          <w:rFonts w:hint="eastAsia" w:ascii="宋体" w:hAnsi="宋体" w:eastAsia="宋体" w:cs="宋体"/>
          <w:sz w:val="24"/>
          <w:szCs w:val="24"/>
        </w:rPr>
        <w:t>元</w:t>
      </w:r>
      <w:r>
        <w:rPr>
          <w:rFonts w:hint="eastAsia" w:ascii="宋体" w:hAnsi="宋体" w:eastAsia="宋体" w:cs="宋体"/>
          <w:sz w:val="24"/>
          <w:szCs w:val="24"/>
          <w:lang w:eastAsia="zh-CN"/>
        </w:rPr>
        <w:t>；二标段：</w:t>
      </w:r>
      <w:r>
        <w:rPr>
          <w:rFonts w:hint="eastAsia" w:ascii="宋体" w:hAnsi="宋体" w:eastAsia="宋体" w:cs="宋体"/>
          <w:sz w:val="24"/>
          <w:szCs w:val="24"/>
          <w:lang w:val="en-US" w:eastAsia="zh-CN"/>
        </w:rPr>
        <w:t>3,000.00元。</w:t>
      </w:r>
    </w:p>
    <w:p w14:paraId="7301E8A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收费金额：</w:t>
      </w:r>
      <w:r>
        <w:rPr>
          <w:rFonts w:hint="eastAsia" w:ascii="宋体" w:hAnsi="宋体" w:eastAsia="宋体" w:cs="宋体"/>
          <w:sz w:val="24"/>
          <w:szCs w:val="24"/>
          <w:lang w:val="en-US" w:eastAsia="zh-CN"/>
        </w:rPr>
        <w:t>6,570.00元</w:t>
      </w:r>
      <w:bookmarkStart w:id="0" w:name="_GoBack"/>
      <w:bookmarkEnd w:id="0"/>
    </w:p>
    <w:p w14:paraId="232E7B0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六、中标公告发布的媒介及中标公告期限 </w:t>
      </w:r>
    </w:p>
    <w:p w14:paraId="4D5D4B5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本次中标公告在《河南省政府采购网》、《焦作市公共资源交易中心网》上发布，中标公告期限为1个工作日。  </w:t>
      </w:r>
    </w:p>
    <w:p w14:paraId="7FD11A4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七、其他补充事宜 </w:t>
      </w:r>
    </w:p>
    <w:p w14:paraId="7254E6A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1.最终的评审得分及排序：一标段：排序1山东玲华环保科技有限公司，最终得分83.89分；排序2郑州市恒杉机械制造有限责任公司，最终得分79.65分；排序3潍坊市昌亿环保设备有限公司，最终得分78.80分；排序4</w:t>
      </w:r>
      <w:r>
        <w:rPr>
          <w:rFonts w:hint="default" w:ascii="宋体" w:hAnsi="宋体" w:eastAsia="宋体" w:cs="宋体"/>
          <w:sz w:val="24"/>
          <w:szCs w:val="24"/>
          <w:lang w:val="en-US" w:eastAsia="zh-CN"/>
        </w:rPr>
        <w:t>江西申东环保科技有限公司</w:t>
      </w:r>
      <w:r>
        <w:rPr>
          <w:rFonts w:hint="eastAsia" w:ascii="宋体" w:hAnsi="宋体" w:eastAsia="宋体" w:cs="宋体"/>
          <w:sz w:val="24"/>
          <w:szCs w:val="24"/>
          <w:lang w:val="en-US" w:eastAsia="zh-CN"/>
        </w:rPr>
        <w:t>，最终得73.74分；排序5</w:t>
      </w:r>
      <w:r>
        <w:rPr>
          <w:rFonts w:hint="default" w:ascii="宋体" w:hAnsi="宋体" w:eastAsia="宋体" w:cs="宋体"/>
          <w:sz w:val="24"/>
          <w:szCs w:val="24"/>
          <w:lang w:val="en-US" w:eastAsia="zh-CN"/>
        </w:rPr>
        <w:t>浙江星之耀环保设备有限公司</w:t>
      </w:r>
      <w:r>
        <w:rPr>
          <w:rFonts w:hint="eastAsia" w:ascii="宋体" w:hAnsi="宋体" w:eastAsia="宋体" w:cs="宋体"/>
          <w:sz w:val="24"/>
          <w:szCs w:val="24"/>
          <w:lang w:val="en-US" w:eastAsia="zh-CN"/>
        </w:rPr>
        <w:t>，最终得73.66分；排序6</w:t>
      </w:r>
      <w:r>
        <w:rPr>
          <w:rFonts w:hint="default" w:ascii="宋体" w:hAnsi="宋体" w:eastAsia="宋体" w:cs="宋体"/>
          <w:sz w:val="24"/>
          <w:szCs w:val="24"/>
          <w:lang w:val="en-US" w:eastAsia="zh-CN"/>
        </w:rPr>
        <w:t>沈阳顺天意机械有限公司</w:t>
      </w:r>
      <w:r>
        <w:rPr>
          <w:rFonts w:hint="eastAsia" w:ascii="宋体" w:hAnsi="宋体" w:eastAsia="宋体" w:cs="宋体"/>
          <w:sz w:val="24"/>
          <w:szCs w:val="24"/>
          <w:lang w:val="en-US" w:eastAsia="zh-CN"/>
        </w:rPr>
        <w:t>，最终得70.18分。</w:t>
      </w:r>
    </w:p>
    <w:p w14:paraId="125B2E1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二标段：排序1郑州市恒杉机械制造有限责任公司，最终得分79.80分；排序2</w:t>
      </w:r>
      <w:r>
        <w:rPr>
          <w:rFonts w:hint="default" w:ascii="宋体" w:hAnsi="宋体" w:eastAsia="宋体" w:cs="宋体"/>
          <w:sz w:val="24"/>
          <w:szCs w:val="24"/>
          <w:lang w:val="en-US" w:eastAsia="zh-CN"/>
        </w:rPr>
        <w:t>江西申东环保科技有限公司</w:t>
      </w:r>
      <w:r>
        <w:rPr>
          <w:rFonts w:hint="eastAsia" w:ascii="宋体" w:hAnsi="宋体" w:eastAsia="宋体" w:cs="宋体"/>
          <w:sz w:val="24"/>
          <w:szCs w:val="24"/>
          <w:lang w:val="en-US" w:eastAsia="zh-CN"/>
        </w:rPr>
        <w:t>，最终得分75.79分；排序3</w:t>
      </w:r>
      <w:r>
        <w:rPr>
          <w:rFonts w:hint="default" w:ascii="宋体" w:hAnsi="宋体" w:eastAsia="宋体" w:cs="宋体"/>
          <w:sz w:val="24"/>
          <w:szCs w:val="24"/>
          <w:lang w:val="en-US" w:eastAsia="zh-CN"/>
        </w:rPr>
        <w:t>沈阳顺天意机械有限公司</w:t>
      </w:r>
      <w:r>
        <w:rPr>
          <w:rFonts w:hint="eastAsia" w:ascii="宋体" w:hAnsi="宋体" w:eastAsia="宋体" w:cs="宋体"/>
          <w:sz w:val="24"/>
          <w:szCs w:val="24"/>
          <w:lang w:val="en-US" w:eastAsia="zh-CN"/>
        </w:rPr>
        <w:t>,最终得分73.59分；排序4临沂福寿达环保设备有限公司，最终得分73.54分；排序5</w:t>
      </w:r>
      <w:r>
        <w:rPr>
          <w:rFonts w:hint="default" w:ascii="宋体" w:hAnsi="宋体" w:eastAsia="宋体" w:cs="宋体"/>
          <w:sz w:val="24"/>
          <w:szCs w:val="24"/>
          <w:lang w:val="en-US" w:eastAsia="zh-CN"/>
        </w:rPr>
        <w:t>浙江星之耀环保设备有限公司</w:t>
      </w:r>
      <w:r>
        <w:rPr>
          <w:rFonts w:hint="eastAsia" w:ascii="宋体" w:hAnsi="宋体" w:eastAsia="宋体" w:cs="宋体"/>
          <w:sz w:val="24"/>
          <w:szCs w:val="24"/>
          <w:lang w:val="en-US" w:eastAsia="zh-CN"/>
        </w:rPr>
        <w:t>，最终得72.16分；排序6潍坊市昌亿环保设备有限公司，最终得72.04分；排序7</w:t>
      </w:r>
      <w:r>
        <w:rPr>
          <w:rFonts w:hint="default" w:ascii="宋体" w:hAnsi="宋体" w:eastAsia="宋体" w:cs="宋体"/>
          <w:sz w:val="24"/>
          <w:szCs w:val="24"/>
          <w:lang w:val="en-US" w:eastAsia="zh-CN"/>
        </w:rPr>
        <w:t>江西省泽谭环保设备有限公司</w:t>
      </w:r>
      <w:r>
        <w:rPr>
          <w:rFonts w:hint="eastAsia" w:ascii="宋体" w:hAnsi="宋体" w:eastAsia="宋体" w:cs="宋体"/>
          <w:sz w:val="24"/>
          <w:szCs w:val="24"/>
          <w:lang w:val="en-US" w:eastAsia="zh-CN"/>
        </w:rPr>
        <w:t>，最终得69.65分。排序8</w:t>
      </w:r>
      <w:r>
        <w:rPr>
          <w:rFonts w:hint="default" w:ascii="宋体" w:hAnsi="宋体" w:eastAsia="宋体" w:cs="宋体"/>
          <w:sz w:val="24"/>
          <w:szCs w:val="24"/>
          <w:lang w:val="en-US" w:eastAsia="zh-CN"/>
        </w:rPr>
        <w:t>潍坊市赫嘉环保设备有限公司</w:t>
      </w:r>
      <w:r>
        <w:rPr>
          <w:rFonts w:hint="eastAsia" w:ascii="宋体" w:hAnsi="宋体" w:eastAsia="宋体" w:cs="宋体"/>
          <w:sz w:val="24"/>
          <w:szCs w:val="24"/>
          <w:lang w:val="en-US" w:eastAsia="zh-CN"/>
        </w:rPr>
        <w:t>，最终得67.96分。</w:t>
      </w:r>
    </w:p>
    <w:p w14:paraId="6FCE558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2.无效投标原因：一标段：</w:t>
      </w:r>
      <w:r>
        <w:rPr>
          <w:rFonts w:hint="default" w:ascii="宋体" w:hAnsi="宋体" w:eastAsia="宋体" w:cs="宋体"/>
          <w:sz w:val="24"/>
          <w:szCs w:val="24"/>
          <w:lang w:val="en-US" w:eastAsia="zh-CN"/>
        </w:rPr>
        <w:t>潍坊市赫嘉环保设备有限公司</w:t>
      </w:r>
      <w:r>
        <w:rPr>
          <w:rFonts w:hint="eastAsia" w:ascii="宋体" w:hAnsi="宋体" w:eastAsia="宋体" w:cs="宋体"/>
          <w:sz w:val="24"/>
          <w:szCs w:val="24"/>
          <w:lang w:val="en-US" w:eastAsia="zh-CN"/>
        </w:rPr>
        <w:t>，无效投标原因：投标文件技术响应</w:t>
      </w:r>
      <w:r>
        <w:rPr>
          <w:rFonts w:hint="eastAsia" w:ascii="宋体" w:hAnsi="宋体" w:eastAsia="宋体" w:cs="宋体"/>
          <w:sz w:val="24"/>
          <w:szCs w:val="24"/>
          <w:lang w:val="en-US" w:eastAsia="zh-CN"/>
        </w:rPr>
        <w:t>表中“实际响应</w:t>
      </w:r>
      <w:r>
        <w:rPr>
          <w:rFonts w:hint="eastAsia" w:ascii="宋体" w:hAnsi="宋体" w:eastAsia="宋体" w:cs="宋体"/>
          <w:sz w:val="24"/>
          <w:szCs w:val="24"/>
          <w:lang w:val="en-US" w:eastAsia="zh-CN"/>
        </w:rPr>
        <w:t>情况”一栏未填写具体的响应</w:t>
      </w:r>
      <w:r>
        <w:rPr>
          <w:rFonts w:hint="eastAsia" w:ascii="宋体" w:hAnsi="宋体" w:eastAsia="宋体" w:cs="宋体"/>
          <w:sz w:val="24"/>
          <w:szCs w:val="24"/>
          <w:lang w:val="en-US" w:eastAsia="zh-CN"/>
        </w:rPr>
        <w:t>参数及内容。无效投标依据：招标文件P22中22.2（3）条：对招标文件的响应程度（是否存在重大偏离等）的规定。</w:t>
      </w:r>
    </w:p>
    <w:p w14:paraId="3BA76C2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3.各有关当事人对中标结果有异议的，可以在中标公告发布之日起七个工作日内，以书面形式向招标人提出质疑，并以供应商提交的质疑函接受确认日期作为受理时间，逾期未提交的不再受理。</w:t>
      </w:r>
    </w:p>
    <w:p w14:paraId="43E9752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八、凡对本次公告内容提出询问，请按以下方式联系 </w:t>
      </w:r>
    </w:p>
    <w:p w14:paraId="0D42BE0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1.采购人信息</w:t>
      </w:r>
    </w:p>
    <w:p w14:paraId="7793E5C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名称：焦作市殡仪馆</w:t>
      </w:r>
    </w:p>
    <w:p w14:paraId="6398AF7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地址：焦作市长青路北段</w:t>
      </w:r>
    </w:p>
    <w:p w14:paraId="7FDA302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联系人：姚先生</w:t>
      </w:r>
    </w:p>
    <w:p w14:paraId="4A13062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联系方式：13462427711</w:t>
      </w:r>
    </w:p>
    <w:p w14:paraId="7EE28D5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2.采购代理机构信息</w:t>
      </w:r>
    </w:p>
    <w:p w14:paraId="294DE62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名称：焦作市公共资源项目服务有限责任公司</w:t>
      </w:r>
    </w:p>
    <w:p w14:paraId="28FF0D6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地址：焦作市人民路889号阳光大厦B座</w:t>
      </w:r>
    </w:p>
    <w:p w14:paraId="275D91B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联系人：张先生</w:t>
      </w:r>
      <w:r>
        <w:rPr>
          <w:rFonts w:hint="eastAsia" w:ascii="宋体" w:hAnsi="宋体" w:eastAsia="宋体" w:cs="宋体"/>
          <w:sz w:val="24"/>
          <w:szCs w:val="24"/>
          <w:lang w:val="en-US" w:eastAsia="zh-CN"/>
        </w:rPr>
        <w:tab/>
      </w:r>
    </w:p>
    <w:p w14:paraId="42F4011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联系方式：17603918777</w:t>
      </w:r>
    </w:p>
    <w:p w14:paraId="1DAFF2B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3.项目联系方式</w:t>
      </w:r>
    </w:p>
    <w:p w14:paraId="15683E2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项目联系人：姚先生              张先生               </w:t>
      </w:r>
    </w:p>
    <w:p w14:paraId="2FDD84A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电      话：13462427711         17603918777       </w:t>
      </w: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003" w:usb1="288F0000" w:usb2="00000006" w:usb3="00000000" w:csb0="00040001" w:csb1="00000000"/>
  </w:font>
  <w:font w:name="Ari">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suff w:val="nothing"/>
      <w:lvlText w:val="第%1部分"/>
      <w:lvlJc w:val="center"/>
      <w:pPr>
        <w:ind w:left="0" w:firstLine="288"/>
      </w:pPr>
      <w:rPr>
        <w:rFonts w:hint="eastAsia"/>
      </w:rPr>
    </w:lvl>
    <w:lvl w:ilvl="1" w:tentative="0">
      <w:start w:val="1"/>
      <w:numFmt w:val="chineseCountingThousand"/>
      <w:pStyle w:val="2"/>
      <w:suff w:val="nothing"/>
      <w:lvlText w:val="%2、"/>
      <w:lvlJc w:val="left"/>
      <w:pPr>
        <w:ind w:left="0" w:firstLine="0"/>
      </w:pPr>
      <w:rPr>
        <w:rFonts w:hint="eastAsia"/>
      </w:rPr>
    </w:lvl>
    <w:lvl w:ilvl="2" w:tentative="0">
      <w:start w:val="1"/>
      <w:numFmt w:val="chineseCountingThousand"/>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lvlText w:val="（%5）"/>
      <w:lvlJc w:val="left"/>
      <w:pPr>
        <w:tabs>
          <w:tab w:val="left" w:pos="720"/>
        </w:tabs>
        <w:ind w:left="720" w:hanging="720"/>
      </w:pPr>
      <w:rPr>
        <w:rFonts w:hint="default"/>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OGU2ODg2YjRhZTZiZTU3YzRmZWY3Y2Q0ZGMyMzEifQ=="/>
  </w:docVars>
  <w:rsids>
    <w:rsidRoot w:val="40580A91"/>
    <w:rsid w:val="00E95F6D"/>
    <w:rsid w:val="00EF4B83"/>
    <w:rsid w:val="017B7C6C"/>
    <w:rsid w:val="02DB7BEF"/>
    <w:rsid w:val="03502498"/>
    <w:rsid w:val="03B078A5"/>
    <w:rsid w:val="03FF21FB"/>
    <w:rsid w:val="050831FA"/>
    <w:rsid w:val="051D0876"/>
    <w:rsid w:val="05EF4D98"/>
    <w:rsid w:val="0608754F"/>
    <w:rsid w:val="062D3C88"/>
    <w:rsid w:val="065F500D"/>
    <w:rsid w:val="068D3F8F"/>
    <w:rsid w:val="09166598"/>
    <w:rsid w:val="0AC96EFE"/>
    <w:rsid w:val="0B9115CE"/>
    <w:rsid w:val="0E382BF0"/>
    <w:rsid w:val="0E50408A"/>
    <w:rsid w:val="0E526705"/>
    <w:rsid w:val="0ED51B49"/>
    <w:rsid w:val="0FB17398"/>
    <w:rsid w:val="10975B77"/>
    <w:rsid w:val="111E4BA5"/>
    <w:rsid w:val="122C2EE8"/>
    <w:rsid w:val="12792E1E"/>
    <w:rsid w:val="13737286"/>
    <w:rsid w:val="140C4DD9"/>
    <w:rsid w:val="14320064"/>
    <w:rsid w:val="14786019"/>
    <w:rsid w:val="14D52A53"/>
    <w:rsid w:val="15E12549"/>
    <w:rsid w:val="18812F6F"/>
    <w:rsid w:val="19D242BC"/>
    <w:rsid w:val="1B974A15"/>
    <w:rsid w:val="1C620AE6"/>
    <w:rsid w:val="1CA222A1"/>
    <w:rsid w:val="1D596426"/>
    <w:rsid w:val="1E9901E8"/>
    <w:rsid w:val="1F6A4A26"/>
    <w:rsid w:val="1FB102A9"/>
    <w:rsid w:val="1FC1495E"/>
    <w:rsid w:val="214C76F2"/>
    <w:rsid w:val="23012046"/>
    <w:rsid w:val="23660387"/>
    <w:rsid w:val="242116AF"/>
    <w:rsid w:val="24DA4499"/>
    <w:rsid w:val="25FD2E1D"/>
    <w:rsid w:val="27665935"/>
    <w:rsid w:val="2814319B"/>
    <w:rsid w:val="2868451D"/>
    <w:rsid w:val="28965F5E"/>
    <w:rsid w:val="2A296487"/>
    <w:rsid w:val="2AC649D1"/>
    <w:rsid w:val="2B634EDA"/>
    <w:rsid w:val="2B962B22"/>
    <w:rsid w:val="2C9C049F"/>
    <w:rsid w:val="2CEC4AC7"/>
    <w:rsid w:val="2CED464A"/>
    <w:rsid w:val="2D69552C"/>
    <w:rsid w:val="2E8C3B9E"/>
    <w:rsid w:val="300C080E"/>
    <w:rsid w:val="303A24FE"/>
    <w:rsid w:val="30B8300C"/>
    <w:rsid w:val="318178A1"/>
    <w:rsid w:val="32072CD1"/>
    <w:rsid w:val="321B6146"/>
    <w:rsid w:val="335C53AB"/>
    <w:rsid w:val="34146EE2"/>
    <w:rsid w:val="34DF75FA"/>
    <w:rsid w:val="350E2F84"/>
    <w:rsid w:val="36566AF4"/>
    <w:rsid w:val="36B30D31"/>
    <w:rsid w:val="37767142"/>
    <w:rsid w:val="386D268B"/>
    <w:rsid w:val="3A3179FE"/>
    <w:rsid w:val="3B1C39B1"/>
    <w:rsid w:val="3B3C3EAE"/>
    <w:rsid w:val="3E025A4C"/>
    <w:rsid w:val="3E4A6833"/>
    <w:rsid w:val="3E53338C"/>
    <w:rsid w:val="3E7D0B33"/>
    <w:rsid w:val="400C368A"/>
    <w:rsid w:val="40580A91"/>
    <w:rsid w:val="40B152D3"/>
    <w:rsid w:val="40B413FB"/>
    <w:rsid w:val="42D90F49"/>
    <w:rsid w:val="42E177C8"/>
    <w:rsid w:val="4304721D"/>
    <w:rsid w:val="43A02DCA"/>
    <w:rsid w:val="451B0E6D"/>
    <w:rsid w:val="4556094E"/>
    <w:rsid w:val="4632585B"/>
    <w:rsid w:val="4648580C"/>
    <w:rsid w:val="479F5B38"/>
    <w:rsid w:val="47DD1084"/>
    <w:rsid w:val="48050783"/>
    <w:rsid w:val="48362D5F"/>
    <w:rsid w:val="49092C93"/>
    <w:rsid w:val="4A5F3781"/>
    <w:rsid w:val="4A866C7B"/>
    <w:rsid w:val="4E500308"/>
    <w:rsid w:val="4E66267C"/>
    <w:rsid w:val="4F2D562D"/>
    <w:rsid w:val="50B407E4"/>
    <w:rsid w:val="52427850"/>
    <w:rsid w:val="52AD0F11"/>
    <w:rsid w:val="53034260"/>
    <w:rsid w:val="531553C7"/>
    <w:rsid w:val="534D0E4E"/>
    <w:rsid w:val="53CA7ADF"/>
    <w:rsid w:val="53CE69A0"/>
    <w:rsid w:val="54093179"/>
    <w:rsid w:val="546501A5"/>
    <w:rsid w:val="54E21699"/>
    <w:rsid w:val="55ED5984"/>
    <w:rsid w:val="56FF28F3"/>
    <w:rsid w:val="57C85F13"/>
    <w:rsid w:val="57E36B4F"/>
    <w:rsid w:val="58527327"/>
    <w:rsid w:val="594574FF"/>
    <w:rsid w:val="59C52178"/>
    <w:rsid w:val="5CFF1AEE"/>
    <w:rsid w:val="5D2378DB"/>
    <w:rsid w:val="5D287849"/>
    <w:rsid w:val="5D2A0954"/>
    <w:rsid w:val="601F53A4"/>
    <w:rsid w:val="605C55BE"/>
    <w:rsid w:val="609819EF"/>
    <w:rsid w:val="61207B9C"/>
    <w:rsid w:val="61590A4F"/>
    <w:rsid w:val="61766CB6"/>
    <w:rsid w:val="61C516E2"/>
    <w:rsid w:val="6206215F"/>
    <w:rsid w:val="62782F80"/>
    <w:rsid w:val="62D03A3D"/>
    <w:rsid w:val="63BC3291"/>
    <w:rsid w:val="63D447DC"/>
    <w:rsid w:val="65D33A64"/>
    <w:rsid w:val="68ED2577"/>
    <w:rsid w:val="694651FA"/>
    <w:rsid w:val="6A9C58F7"/>
    <w:rsid w:val="6D7F5F00"/>
    <w:rsid w:val="6FA0540D"/>
    <w:rsid w:val="6FD35BD8"/>
    <w:rsid w:val="6FDC1514"/>
    <w:rsid w:val="70AB0E84"/>
    <w:rsid w:val="70DC4D86"/>
    <w:rsid w:val="72496F25"/>
    <w:rsid w:val="74014876"/>
    <w:rsid w:val="749135D6"/>
    <w:rsid w:val="75711A62"/>
    <w:rsid w:val="75CC1313"/>
    <w:rsid w:val="76300C37"/>
    <w:rsid w:val="77BB1DF9"/>
    <w:rsid w:val="78756230"/>
    <w:rsid w:val="7A4D1FE3"/>
    <w:rsid w:val="7E693349"/>
    <w:rsid w:val="7EC06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numPr>
        <w:ilvl w:val="1"/>
        <w:numId w:val="1"/>
      </w:numPr>
      <w:adjustRightInd w:val="0"/>
      <w:spacing w:before="260" w:beforeLines="0" w:after="260" w:afterLines="0" w:line="416" w:lineRule="atLeast"/>
      <w:jc w:val="left"/>
      <w:textAlignment w:val="baseline"/>
      <w:outlineLvl w:val="1"/>
    </w:pPr>
    <w:rPr>
      <w:rFonts w:ascii="Arial" w:hAnsi="Arial" w:eastAsia="黑体"/>
      <w:b/>
      <w:bCs/>
      <w:kern w:val="0"/>
      <w:sz w:val="32"/>
      <w:szCs w:val="32"/>
    </w:rPr>
  </w:style>
  <w:style w:type="character" w:default="1" w:styleId="13">
    <w:name w:val="Default Paragraph Font"/>
    <w:link w:val="14"/>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rPr>
      <w:rFonts w:ascii="仿宋_GB2312" w:hAnsi="华文楷体" w:eastAsia="仿宋_GB2312"/>
      <w:sz w:val="32"/>
    </w:rPr>
  </w:style>
  <w:style w:type="paragraph" w:styleId="5">
    <w:name w:val="Body Text 2"/>
    <w:basedOn w:val="1"/>
    <w:autoRedefine/>
    <w:qFormat/>
    <w:uiPriority w:val="0"/>
    <w:pPr>
      <w:spacing w:after="120" w:afterLines="0" w:line="480" w:lineRule="auto"/>
    </w:pPr>
  </w:style>
  <w:style w:type="paragraph" w:styleId="6">
    <w:name w:val="Body Text Indent"/>
    <w:basedOn w:val="1"/>
    <w:next w:val="1"/>
    <w:qFormat/>
    <w:uiPriority w:val="0"/>
    <w:pPr>
      <w:spacing w:line="560" w:lineRule="exact"/>
      <w:ind w:firstLine="640" w:firstLineChars="200"/>
    </w:pPr>
    <w:rPr>
      <w:rFonts w:ascii="仿宋_GB2312" w:eastAsia="仿宋_GB2312"/>
      <w:sz w:val="32"/>
    </w:rPr>
  </w:style>
  <w:style w:type="paragraph" w:styleId="7">
    <w:name w:val="toc 1"/>
    <w:basedOn w:val="1"/>
    <w:next w:val="1"/>
    <w:qFormat/>
    <w:uiPriority w:val="39"/>
    <w:pPr>
      <w:spacing w:beforeLines="115"/>
    </w:pPr>
    <w:rPr>
      <w:b/>
      <w:bCs/>
      <w:caps/>
      <w:sz w:val="32"/>
    </w:rPr>
  </w:style>
  <w:style w:type="paragraph" w:styleId="8">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9">
    <w:name w:val="Body Text First Indent"/>
    <w:basedOn w:val="4"/>
    <w:next w:val="10"/>
    <w:qFormat/>
    <w:uiPriority w:val="0"/>
    <w:pPr>
      <w:spacing w:after="120" w:afterLines="0"/>
      <w:ind w:firstLine="420" w:firstLineChars="100"/>
    </w:pPr>
    <w:rPr>
      <w:rFonts w:ascii="Times New Roman" w:hAnsi="Times New Roman" w:eastAsia="宋体"/>
      <w:sz w:val="21"/>
    </w:rPr>
  </w:style>
  <w:style w:type="paragraph" w:styleId="10">
    <w:name w:val="Body Text First Indent 2"/>
    <w:basedOn w:val="6"/>
    <w:next w:val="1"/>
    <w:unhideWhenUsed/>
    <w:qFormat/>
    <w:uiPriority w:val="99"/>
    <w:pPr>
      <w:ind w:firstLine="420" w:firstLineChars="200"/>
    </w:pPr>
    <w:rPr>
      <w:sz w:val="21"/>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默认段落字体 Para Char Char Char Char Char Char Char Char Char Char"/>
    <w:basedOn w:val="1"/>
    <w:link w:val="13"/>
    <w:qFormat/>
    <w:uiPriority w:val="0"/>
    <w:pPr>
      <w:tabs>
        <w:tab w:val="right" w:pos="-2120"/>
      </w:tabs>
      <w:snapToGrid w:val="0"/>
    </w:pPr>
  </w:style>
  <w:style w:type="character" w:styleId="15">
    <w:name w:val="Strong"/>
    <w:basedOn w:val="13"/>
    <w:qFormat/>
    <w:uiPriority w:val="0"/>
  </w:style>
  <w:style w:type="character" w:styleId="16">
    <w:name w:val="FollowedHyperlink"/>
    <w:basedOn w:val="13"/>
    <w:qFormat/>
    <w:uiPriority w:val="0"/>
    <w:rPr>
      <w:color w:val="333333"/>
      <w:u w:val="none"/>
    </w:rPr>
  </w:style>
  <w:style w:type="character" w:styleId="17">
    <w:name w:val="Emphasis"/>
    <w:basedOn w:val="13"/>
    <w:autoRedefine/>
    <w:qFormat/>
    <w:uiPriority w:val="0"/>
  </w:style>
  <w:style w:type="character" w:styleId="18">
    <w:name w:val="HTML Definition"/>
    <w:basedOn w:val="13"/>
    <w:autoRedefine/>
    <w:qFormat/>
    <w:uiPriority w:val="0"/>
  </w:style>
  <w:style w:type="character" w:styleId="19">
    <w:name w:val="HTML Typewriter"/>
    <w:basedOn w:val="13"/>
    <w:autoRedefine/>
    <w:qFormat/>
    <w:uiPriority w:val="0"/>
    <w:rPr>
      <w:rFonts w:hint="default" w:ascii="monospace" w:hAnsi="monospace" w:eastAsia="monospace" w:cs="monospace"/>
      <w:sz w:val="20"/>
    </w:rPr>
  </w:style>
  <w:style w:type="character" w:styleId="20">
    <w:name w:val="HTML Acronym"/>
    <w:basedOn w:val="13"/>
    <w:qFormat/>
    <w:uiPriority w:val="0"/>
  </w:style>
  <w:style w:type="character" w:styleId="21">
    <w:name w:val="HTML Variable"/>
    <w:basedOn w:val="13"/>
    <w:qFormat/>
    <w:uiPriority w:val="0"/>
  </w:style>
  <w:style w:type="character" w:styleId="22">
    <w:name w:val="Hyperlink"/>
    <w:basedOn w:val="13"/>
    <w:qFormat/>
    <w:uiPriority w:val="0"/>
    <w:rPr>
      <w:color w:val="333333"/>
      <w:u w:val="none"/>
    </w:rPr>
  </w:style>
  <w:style w:type="character" w:styleId="23">
    <w:name w:val="HTML Code"/>
    <w:basedOn w:val="13"/>
    <w:qFormat/>
    <w:uiPriority w:val="0"/>
    <w:rPr>
      <w:rFonts w:ascii="monospace" w:hAnsi="monospace" w:eastAsia="monospace" w:cs="monospace"/>
      <w:sz w:val="20"/>
    </w:rPr>
  </w:style>
  <w:style w:type="character" w:styleId="24">
    <w:name w:val="HTML Cite"/>
    <w:basedOn w:val="13"/>
    <w:autoRedefine/>
    <w:qFormat/>
    <w:uiPriority w:val="0"/>
  </w:style>
  <w:style w:type="character" w:styleId="25">
    <w:name w:val="HTML Keyboard"/>
    <w:basedOn w:val="13"/>
    <w:qFormat/>
    <w:uiPriority w:val="0"/>
    <w:rPr>
      <w:rFonts w:hint="default" w:ascii="monospace" w:hAnsi="monospace" w:eastAsia="monospace" w:cs="monospace"/>
      <w:sz w:val="20"/>
    </w:rPr>
  </w:style>
  <w:style w:type="character" w:styleId="26">
    <w:name w:val="HTML Sample"/>
    <w:basedOn w:val="13"/>
    <w:autoRedefine/>
    <w:qFormat/>
    <w:uiPriority w:val="0"/>
    <w:rPr>
      <w:rFonts w:hint="default" w:ascii="monospace" w:hAnsi="monospace" w:eastAsia="monospace" w:cs="monospace"/>
    </w:rPr>
  </w:style>
  <w:style w:type="paragraph" w:customStyle="1" w:styleId="27">
    <w:name w:val="表格文字"/>
    <w:next w:val="4"/>
    <w:qFormat/>
    <w:uiPriority w:val="0"/>
    <w:pPr>
      <w:widowControl w:val="0"/>
      <w:spacing w:before="120" w:after="120"/>
      <w:jc w:val="both"/>
    </w:pPr>
    <w:rPr>
      <w:rFonts w:ascii="新宋体" w:hAnsi="宋体" w:eastAsia="新宋体" w:cs="Times New Roman"/>
      <w:bCs/>
      <w:color w:val="000000"/>
      <w:kern w:val="0"/>
      <w:sz w:val="18"/>
      <w:szCs w:val="18"/>
      <w:lang w:val="en-US" w:eastAsia="zh-CN" w:bidi="ar-SA"/>
    </w:rPr>
  </w:style>
  <w:style w:type="paragraph" w:customStyle="1" w:styleId="28">
    <w:name w:val="正文1"/>
    <w:basedOn w:val="1"/>
    <w:qFormat/>
    <w:uiPriority w:val="0"/>
    <w:pPr>
      <w:adjustRightInd w:val="0"/>
      <w:spacing w:line="318" w:lineRule="atLeast"/>
      <w:ind w:left="369" w:firstLine="369"/>
      <w:textAlignment w:val="baseline"/>
    </w:pPr>
    <w:rPr>
      <w:rFonts w:ascii="宋体"/>
      <w:szCs w:val="20"/>
    </w:rPr>
  </w:style>
  <w:style w:type="paragraph" w:customStyle="1" w:styleId="29">
    <w:name w:val="文档正文"/>
    <w:basedOn w:val="1"/>
    <w:qFormat/>
    <w:uiPriority w:val="0"/>
    <w:pPr>
      <w:adjustRightInd w:val="0"/>
      <w:spacing w:line="480" w:lineRule="atLeast"/>
      <w:ind w:firstLine="567"/>
      <w:textAlignment w:val="baseline"/>
    </w:pPr>
    <w:rPr>
      <w:rFonts w:ascii="Ari" w:eastAsia="Ari"/>
      <w:kern w:val="0"/>
      <w:sz w:val="28"/>
      <w:szCs w:val="20"/>
    </w:rPr>
  </w:style>
  <w:style w:type="character" w:customStyle="1" w:styleId="30">
    <w:name w:val="font21"/>
    <w:basedOn w:val="13"/>
    <w:qFormat/>
    <w:uiPriority w:val="0"/>
    <w:rPr>
      <w:rFonts w:hint="eastAsia" w:ascii="微软雅黑" w:hAnsi="微软雅黑" w:eastAsia="微软雅黑" w:cs="微软雅黑"/>
      <w:color w:val="000000"/>
      <w:sz w:val="21"/>
      <w:szCs w:val="21"/>
      <w:u w:val="none"/>
    </w:rPr>
  </w:style>
  <w:style w:type="character" w:customStyle="1" w:styleId="31">
    <w:name w:val="font01"/>
    <w:basedOn w:val="13"/>
    <w:autoRedefine/>
    <w:qFormat/>
    <w:uiPriority w:val="0"/>
    <w:rPr>
      <w:rFonts w:hint="default" w:ascii="Times New Roman" w:hAnsi="Times New Roman" w:cs="Times New Roman"/>
      <w:color w:val="000000"/>
      <w:sz w:val="21"/>
      <w:szCs w:val="21"/>
      <w:u w:val="none"/>
    </w:rPr>
  </w:style>
  <w:style w:type="character" w:customStyle="1" w:styleId="32">
    <w:name w:val="font11"/>
    <w:basedOn w:val="13"/>
    <w:autoRedefine/>
    <w:qFormat/>
    <w:uiPriority w:val="0"/>
    <w:rPr>
      <w:rFonts w:hint="default" w:ascii="Times New Roman" w:hAnsi="Times New Roman" w:cs="Times New Roman"/>
      <w:color w:val="000000"/>
      <w:sz w:val="21"/>
      <w:szCs w:val="21"/>
      <w:u w:val="none"/>
    </w:rPr>
  </w:style>
  <w:style w:type="paragraph" w:customStyle="1" w:styleId="33">
    <w:name w:val="_Style 27"/>
    <w:basedOn w:val="1"/>
    <w:next w:val="1"/>
    <w:autoRedefine/>
    <w:qFormat/>
    <w:uiPriority w:val="0"/>
    <w:pPr>
      <w:pBdr>
        <w:bottom w:val="single" w:color="auto" w:sz="6" w:space="1"/>
      </w:pBdr>
      <w:jc w:val="center"/>
    </w:pPr>
    <w:rPr>
      <w:rFonts w:ascii="Arial" w:eastAsia="宋体"/>
      <w:vanish/>
      <w:sz w:val="16"/>
    </w:rPr>
  </w:style>
  <w:style w:type="paragraph" w:customStyle="1" w:styleId="34">
    <w:name w:val="_Style 28"/>
    <w:basedOn w:val="1"/>
    <w:next w:val="1"/>
    <w:autoRedefine/>
    <w:qFormat/>
    <w:uiPriority w:val="0"/>
    <w:pPr>
      <w:pBdr>
        <w:top w:val="single" w:color="auto" w:sz="6" w:space="1"/>
      </w:pBdr>
      <w:jc w:val="center"/>
    </w:pPr>
    <w:rPr>
      <w:rFonts w:ascii="Arial" w:eastAsia="宋体"/>
      <w:vanish/>
      <w:sz w:val="16"/>
    </w:rPr>
  </w:style>
  <w:style w:type="paragraph" w:customStyle="1" w:styleId="35">
    <w:name w:val="_Style 29"/>
    <w:basedOn w:val="1"/>
    <w:next w:val="1"/>
    <w:qFormat/>
    <w:uiPriority w:val="0"/>
    <w:pPr>
      <w:pBdr>
        <w:bottom w:val="single" w:color="auto" w:sz="6" w:space="1"/>
      </w:pBdr>
      <w:jc w:val="center"/>
    </w:pPr>
    <w:rPr>
      <w:rFonts w:ascii="Arial" w:eastAsia="宋体"/>
      <w:vanish/>
      <w:sz w:val="16"/>
    </w:rPr>
  </w:style>
  <w:style w:type="paragraph" w:customStyle="1" w:styleId="36">
    <w:name w:val="_Style 30"/>
    <w:basedOn w:val="1"/>
    <w:next w:val="1"/>
    <w:autoRedefine/>
    <w:qFormat/>
    <w:uiPriority w:val="0"/>
    <w:pPr>
      <w:pBdr>
        <w:top w:val="single" w:color="auto" w:sz="6" w:space="1"/>
      </w:pBdr>
      <w:jc w:val="center"/>
    </w:pPr>
    <w:rPr>
      <w:rFonts w:ascii="Arial" w:eastAsia="宋体"/>
      <w:vanish/>
      <w:sz w:val="16"/>
    </w:rPr>
  </w:style>
  <w:style w:type="character" w:customStyle="1" w:styleId="37">
    <w:name w:val="toolbarlabel2"/>
    <w:basedOn w:val="13"/>
    <w:qFormat/>
    <w:uiPriority w:val="0"/>
  </w:style>
  <w:style w:type="character" w:customStyle="1" w:styleId="38">
    <w:name w:val="toolbarlabel"/>
    <w:basedOn w:val="13"/>
    <w:qFormat/>
    <w:uiPriority w:val="0"/>
    <w:rPr>
      <w:color w:val="333333"/>
      <w:sz w:val="18"/>
      <w:szCs w:val="18"/>
    </w:rPr>
  </w:style>
  <w:style w:type="character" w:customStyle="1" w:styleId="39">
    <w:name w:val="margin_right20"/>
    <w:basedOn w:val="13"/>
    <w:qFormat/>
    <w:uiPriority w:val="0"/>
  </w:style>
  <w:style w:type="character" w:customStyle="1" w:styleId="40">
    <w:name w:val="hover"/>
    <w:basedOn w:val="13"/>
    <w:qFormat/>
    <w:uiPriority w:val="0"/>
    <w:rPr>
      <w:color w:val="0063BA"/>
    </w:rPr>
  </w:style>
  <w:style w:type="character" w:customStyle="1" w:styleId="41">
    <w:name w:val="cur"/>
    <w:basedOn w:val="13"/>
    <w:qFormat/>
    <w:uiPriority w:val="0"/>
    <w:rPr>
      <w:color w:val="E22323"/>
    </w:rPr>
  </w:style>
  <w:style w:type="character" w:customStyle="1" w:styleId="42">
    <w:name w:val="active2"/>
    <w:basedOn w:val="13"/>
    <w:qFormat/>
    <w:uiPriority w:val="0"/>
    <w:rPr>
      <w:color w:val="FFFFFF"/>
      <w:shd w:val="clear" w:fill="E22323"/>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1327</Words>
  <Characters>1508</Characters>
  <Lines>1</Lines>
  <Paragraphs>1</Paragraphs>
  <TotalTime>2</TotalTime>
  <ScaleCrop>false</ScaleCrop>
  <LinksUpToDate>false</LinksUpToDate>
  <CharactersWithSpaces>1577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2019-08-26T04:21:00Z</dcterms:created>
  <dc:creator>Administrator</dc:creator>
  <cp:lastModifiedBy>Tonny</cp:lastModifiedBy>
  <cp:lastPrinted>2021-04-21T01:51:00Z</cp:lastPrinted>
  <dcterms:modified xsi:type="dcterms:W3CDTF">2026-08-12T07:30:16Z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921B42A609BD4AE7B579E5CE961C2777_13</vt:lpwstr>
  </property>
  <property fmtid="{D5CDD505-2E9C-101B-9397-08002B2CF9AE}" pid="4" name="KSOTemplateDocerSaveRecord">
    <vt:lpwstr>eyJoZGlkIjoiOTVhMzgwY2M4ZGNkNThjMzk5NTdkZWViY2FkOGZjMDMiLCJ1c2VySWQiOiIzMjkxMDEyODUifQ==</vt:lpwstr>
  </property>
</Properties>
</file>