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pacing w:line="480" w:lineRule="auto"/>
        <w:ind w:firstLine="420" w:firstLineChars="0"/>
        <w:jc w:val="center"/>
        <w:rPr>
          <w:rFonts w:hint="eastAsia" w:ascii="宋体" w:hAnsi="宋体" w:eastAsia="宋体" w:cs="宋体"/>
          <w:b/>
          <w:bCs/>
          <w:color w:val="auto"/>
          <w:kern w:val="2"/>
          <w:sz w:val="48"/>
          <w:szCs w:val="48"/>
          <w:highlight w:val="none"/>
          <w:lang w:val="en-US" w:eastAsia="zh-CN" w:bidi="ar-SA"/>
        </w:rPr>
      </w:pPr>
    </w:p>
    <w:p>
      <w:pPr>
        <w:jc w:val="center"/>
        <w:outlineLvl w:val="0"/>
        <w:rPr>
          <w:rFonts w:hint="eastAsia" w:ascii="宋体" w:hAnsi="宋体" w:cs="宋体"/>
          <w:b/>
          <w:bCs/>
          <w:color w:val="auto"/>
          <w:sz w:val="40"/>
          <w:szCs w:val="40"/>
          <w:highlight w:val="none"/>
          <w:lang w:val="en-US" w:eastAsia="zh-CN"/>
        </w:rPr>
      </w:pPr>
      <w:r>
        <w:rPr>
          <w:rFonts w:hint="eastAsia" w:ascii="宋体" w:hAnsi="宋体" w:cs="宋体"/>
          <w:b/>
          <w:bCs/>
          <w:color w:val="auto"/>
          <w:sz w:val="40"/>
          <w:szCs w:val="40"/>
          <w:highlight w:val="none"/>
          <w:lang w:val="en-US" w:eastAsia="zh-CN"/>
        </w:rPr>
        <w:t>沁阳市常平中心幼儿园校尉营分园配套工程项目</w:t>
      </w:r>
    </w:p>
    <w:p>
      <w:pPr>
        <w:jc w:val="both"/>
        <w:outlineLvl w:val="0"/>
        <w:rPr>
          <w:rFonts w:hint="eastAsia" w:ascii="宋体" w:hAnsi="宋体" w:cs="宋体"/>
          <w:b/>
          <w:bCs/>
          <w:color w:val="auto"/>
          <w:sz w:val="72"/>
          <w:szCs w:val="72"/>
          <w:highlight w:val="none"/>
        </w:rPr>
      </w:pPr>
    </w:p>
    <w:p>
      <w:pPr>
        <w:jc w:val="center"/>
        <w:outlineLvl w:val="0"/>
        <w:rPr>
          <w:rFonts w:hint="eastAsia" w:ascii="宋体" w:hAnsi="宋体" w:cs="宋体"/>
          <w:b/>
          <w:color w:val="auto"/>
          <w:sz w:val="28"/>
          <w:szCs w:val="28"/>
          <w:highlight w:val="none"/>
        </w:rPr>
      </w:pPr>
      <w:r>
        <w:rPr>
          <w:rFonts w:hint="eastAsia" w:ascii="宋体" w:hAnsi="宋体" w:cs="宋体"/>
          <w:b/>
          <w:bCs/>
          <w:color w:val="auto"/>
          <w:sz w:val="72"/>
          <w:szCs w:val="72"/>
          <w:highlight w:val="none"/>
        </w:rPr>
        <w:t>竞争性磋商文件</w:t>
      </w:r>
    </w:p>
    <w:p>
      <w:pPr>
        <w:pStyle w:val="9"/>
        <w:rPr>
          <w:rFonts w:hint="eastAsia" w:ascii="宋体" w:hAnsi="宋体" w:eastAsia="宋体" w:cs="宋体"/>
          <w:b/>
          <w:bCs/>
          <w:sz w:val="24"/>
          <w:szCs w:val="24"/>
          <w:highlight w:val="none"/>
        </w:rPr>
      </w:pPr>
    </w:p>
    <w:p>
      <w:pPr>
        <w:pStyle w:val="9"/>
        <w:ind w:firstLine="2891" w:firstLineChars="1200"/>
        <w:rPr>
          <w:rFonts w:hint="default"/>
          <w:color w:val="auto"/>
          <w:highlight w:val="none"/>
          <w:lang w:val="en-US" w:eastAsia="zh-CN"/>
        </w:rPr>
      </w:pPr>
      <w:r>
        <w:rPr>
          <w:rFonts w:hint="eastAsia" w:ascii="宋体" w:hAnsi="宋体" w:eastAsia="宋体" w:cs="宋体"/>
          <w:b/>
          <w:bCs/>
          <w:sz w:val="24"/>
          <w:szCs w:val="24"/>
          <w:highlight w:val="none"/>
        </w:rPr>
        <w:t>采购编号：</w:t>
      </w:r>
      <w:r>
        <w:rPr>
          <w:rFonts w:hint="eastAsia" w:ascii="宋体" w:hAnsi="宋体" w:eastAsia="宋体" w:cs="宋体"/>
          <w:b/>
          <w:bCs/>
          <w:kern w:val="2"/>
          <w:sz w:val="24"/>
          <w:szCs w:val="24"/>
          <w:highlight w:val="none"/>
          <w:lang w:val="en-US" w:eastAsia="zh-CN" w:bidi="ar-SA"/>
        </w:rPr>
        <w:t>沁财磋商采购-2026-43</w:t>
      </w:r>
    </w:p>
    <w:p>
      <w:pPr>
        <w:spacing w:line="360" w:lineRule="auto"/>
        <w:ind w:firstLine="2891" w:firstLineChars="1200"/>
        <w:jc w:val="both"/>
        <w:rPr>
          <w:rFonts w:hint="eastAsia" w:ascii="宋体" w:hAnsi="宋体" w:eastAsia="宋体" w:cs="宋体"/>
          <w:b/>
          <w:bCs/>
          <w:sz w:val="24"/>
          <w:szCs w:val="24"/>
          <w:highlight w:val="yellow"/>
        </w:rPr>
      </w:pPr>
      <w:r>
        <w:rPr>
          <w:rFonts w:hint="eastAsia" w:ascii="宋体" w:hAnsi="宋体" w:eastAsia="宋体" w:cs="宋体"/>
          <w:b/>
          <w:bCs/>
          <w:sz w:val="24"/>
          <w:szCs w:val="24"/>
          <w:highlight w:val="none"/>
        </w:rPr>
        <w:t>项目编号：</w:t>
      </w:r>
      <w:r>
        <w:rPr>
          <w:rFonts w:hint="eastAsia" w:ascii="宋体" w:hAnsi="宋体" w:eastAsia="宋体" w:cs="宋体"/>
          <w:b/>
          <w:bCs/>
          <w:color w:val="auto"/>
          <w:spacing w:val="-6"/>
          <w:sz w:val="30"/>
          <w:szCs w:val="30"/>
          <w:highlight w:val="none"/>
        </w:rPr>
        <w:t>沁公资采购Q2026-</w:t>
      </w:r>
      <w:r>
        <w:rPr>
          <w:rFonts w:hint="eastAsia" w:ascii="宋体" w:hAnsi="宋体" w:cs="宋体"/>
          <w:b/>
          <w:bCs/>
          <w:color w:val="auto"/>
          <w:spacing w:val="-6"/>
          <w:sz w:val="30"/>
          <w:szCs w:val="30"/>
          <w:highlight w:val="none"/>
          <w:lang w:val="en-US" w:eastAsia="zh-CN"/>
        </w:rPr>
        <w:t>045</w:t>
      </w:r>
      <w:r>
        <w:rPr>
          <w:rFonts w:hint="eastAsia" w:ascii="宋体" w:hAnsi="宋体" w:eastAsia="宋体" w:cs="宋体"/>
          <w:b/>
          <w:bCs/>
          <w:color w:val="auto"/>
          <w:spacing w:val="-6"/>
          <w:sz w:val="30"/>
          <w:szCs w:val="30"/>
          <w:highlight w:val="none"/>
          <w:lang w:val="en-US" w:eastAsia="zh-CN"/>
        </w:rPr>
        <w:t>号</w:t>
      </w:r>
    </w:p>
    <w:p>
      <w:pPr>
        <w:pStyle w:val="3"/>
        <w:rPr>
          <w:rFonts w:hint="eastAsia"/>
        </w:rPr>
      </w:pPr>
    </w:p>
    <w:p>
      <w:pPr>
        <w:pStyle w:val="3"/>
        <w:rPr>
          <w:rFonts w:hint="eastAsia"/>
        </w:rPr>
      </w:pPr>
    </w:p>
    <w:p>
      <w:pPr>
        <w:rPr>
          <w:rFonts w:hint="default"/>
          <w:color w:val="auto"/>
          <w:highlight w:val="none"/>
          <w:lang w:val="en-US" w:eastAsia="zh-CN"/>
        </w:rPr>
      </w:pPr>
    </w:p>
    <w:p>
      <w:pPr>
        <w:rPr>
          <w:rFonts w:hint="default"/>
          <w:color w:val="auto"/>
          <w:highlight w:val="none"/>
          <w:lang w:val="en-US" w:eastAsia="zh-CN"/>
        </w:rPr>
      </w:pPr>
    </w:p>
    <w:p>
      <w:pPr>
        <w:pStyle w:val="25"/>
        <w:ind w:left="0" w:leftChars="0" w:firstLine="0" w:firstLineChars="0"/>
        <w:rPr>
          <w:rFonts w:hint="eastAsia" w:ascii="宋体" w:hAnsi="宋体" w:eastAsia="宋体" w:cs="宋体"/>
          <w:b/>
          <w:color w:val="auto"/>
          <w:szCs w:val="28"/>
          <w:highlight w:val="none"/>
        </w:rPr>
      </w:pPr>
    </w:p>
    <w:p>
      <w:pPr>
        <w:rPr>
          <w:rFonts w:hint="eastAsia"/>
          <w:color w:val="auto"/>
          <w:highlight w:val="none"/>
        </w:rPr>
      </w:pPr>
    </w:p>
    <w:p>
      <w:pPr>
        <w:jc w:val="left"/>
        <w:rPr>
          <w:rFonts w:hint="eastAsia" w:ascii="宋体" w:hAnsi="宋体" w:eastAsia="宋体" w:cs="宋体"/>
          <w:color w:val="auto"/>
          <w:kern w:val="0"/>
          <w:sz w:val="30"/>
          <w:szCs w:val="30"/>
          <w:highlight w:val="none"/>
          <w:lang w:eastAsia="zh-CN"/>
        </w:rPr>
      </w:pPr>
      <w:r>
        <w:rPr>
          <w:rFonts w:hint="eastAsia" w:ascii="方正仿宋_GB2312" w:hAnsi="方正仿宋_GB2312" w:eastAsia="方正仿宋_GB2312" w:cs="方正仿宋_GB2312"/>
          <w:b/>
          <w:bCs/>
          <w:sz w:val="84"/>
          <w:szCs w:val="84"/>
        </w:rPr>
        <w:drawing>
          <wp:anchor distT="0" distB="0" distL="114300" distR="114300" simplePos="0" relativeHeight="251659264" behindDoc="1" locked="0" layoutInCell="1" allowOverlap="1">
            <wp:simplePos x="0" y="0"/>
            <wp:positionH relativeFrom="column">
              <wp:posOffset>1495425</wp:posOffset>
            </wp:positionH>
            <wp:positionV relativeFrom="paragraph">
              <wp:posOffset>544830</wp:posOffset>
            </wp:positionV>
            <wp:extent cx="2985135" cy="1664335"/>
            <wp:effectExtent l="0" t="0" r="5715" b="12065"/>
            <wp:wrapTight wrapText="bothSides">
              <wp:wrapPolygon>
                <wp:start x="0" y="0"/>
                <wp:lineTo x="0" y="21262"/>
                <wp:lineTo x="21504" y="21262"/>
                <wp:lineTo x="21504" y="0"/>
                <wp:lineTo x="0" y="0"/>
              </wp:wrapPolygon>
            </wp:wrapTight>
            <wp:docPr id="5" name="图片 5" descr="2c81e36a1599ad2cae5e18d9bb6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c81e36a1599ad2cae5e18d9bb62968"/>
                    <pic:cNvPicPr>
                      <a:picLocks noChangeAspect="1"/>
                    </pic:cNvPicPr>
                  </pic:nvPicPr>
                  <pic:blipFill>
                    <a:blip r:embed="rId12"/>
                    <a:stretch>
                      <a:fillRect/>
                    </a:stretch>
                  </pic:blipFill>
                  <pic:spPr>
                    <a:xfrm>
                      <a:off x="0" y="0"/>
                      <a:ext cx="2985135" cy="1664335"/>
                    </a:xfrm>
                    <a:prstGeom prst="rect">
                      <a:avLst/>
                    </a:prstGeom>
                    <a:noFill/>
                    <a:ln>
                      <a:noFill/>
                    </a:ln>
                  </pic:spPr>
                </pic:pic>
              </a:graphicData>
            </a:graphic>
          </wp:anchor>
        </w:drawing>
      </w:r>
    </w:p>
    <w:p>
      <w:pPr>
        <w:ind w:firstLine="1800" w:firstLineChars="600"/>
        <w:jc w:val="left"/>
        <w:rPr>
          <w:rFonts w:hint="eastAsia" w:ascii="宋体" w:hAnsi="宋体" w:eastAsia="宋体" w:cs="宋体"/>
          <w:color w:val="auto"/>
          <w:kern w:val="0"/>
          <w:sz w:val="30"/>
          <w:szCs w:val="30"/>
          <w:highlight w:val="none"/>
          <w:lang w:eastAsia="zh-CN"/>
        </w:rPr>
      </w:pPr>
    </w:p>
    <w:p>
      <w:pPr>
        <w:ind w:firstLine="1807" w:firstLineChars="600"/>
        <w:jc w:val="left"/>
        <w:outlineLvl w:val="0"/>
        <w:rPr>
          <w:rFonts w:hint="eastAsia" w:ascii="宋体" w:hAnsi="宋体" w:eastAsia="宋体" w:cs="宋体"/>
          <w:b/>
          <w:bCs/>
          <w:color w:val="auto"/>
          <w:kern w:val="0"/>
          <w:sz w:val="30"/>
          <w:szCs w:val="30"/>
          <w:highlight w:val="none"/>
          <w:lang w:eastAsia="zh-CN"/>
        </w:rPr>
      </w:pPr>
    </w:p>
    <w:p>
      <w:pPr>
        <w:ind w:firstLine="1807" w:firstLineChars="600"/>
        <w:jc w:val="left"/>
        <w:outlineLvl w:val="0"/>
        <w:rPr>
          <w:rFonts w:hint="eastAsia" w:ascii="宋体" w:hAnsi="宋体" w:eastAsia="宋体" w:cs="宋体"/>
          <w:b/>
          <w:bCs/>
          <w:color w:val="auto"/>
          <w:kern w:val="0"/>
          <w:sz w:val="30"/>
          <w:szCs w:val="30"/>
          <w:highlight w:val="none"/>
          <w:lang w:eastAsia="zh-CN"/>
        </w:rPr>
      </w:pPr>
    </w:p>
    <w:p>
      <w:pPr>
        <w:ind w:firstLine="1807" w:firstLineChars="600"/>
        <w:jc w:val="left"/>
        <w:outlineLvl w:val="0"/>
        <w:rPr>
          <w:rFonts w:hint="eastAsia" w:ascii="宋体" w:hAnsi="宋体" w:eastAsia="宋体" w:cs="宋体"/>
          <w:b/>
          <w:bCs/>
          <w:color w:val="auto"/>
          <w:kern w:val="0"/>
          <w:sz w:val="30"/>
          <w:szCs w:val="30"/>
          <w:highlight w:val="none"/>
          <w:lang w:eastAsia="zh-CN"/>
        </w:rPr>
      </w:pPr>
    </w:p>
    <w:p>
      <w:pPr>
        <w:ind w:firstLine="1807" w:firstLineChars="600"/>
        <w:jc w:val="left"/>
        <w:outlineLvl w:val="0"/>
        <w:rPr>
          <w:rFonts w:hint="eastAsia" w:ascii="宋体" w:hAnsi="宋体" w:eastAsia="宋体" w:cs="宋体"/>
          <w:b/>
          <w:bCs/>
          <w:color w:val="auto"/>
          <w:kern w:val="0"/>
          <w:sz w:val="30"/>
          <w:szCs w:val="30"/>
          <w:highlight w:val="none"/>
          <w:lang w:eastAsia="zh-CN"/>
        </w:rPr>
      </w:pPr>
    </w:p>
    <w:p>
      <w:pPr>
        <w:ind w:firstLine="1807" w:firstLineChars="600"/>
        <w:jc w:val="left"/>
        <w:outlineLvl w:val="0"/>
        <w:rPr>
          <w:rFonts w:hint="eastAsia" w:ascii="宋体" w:hAnsi="宋体" w:eastAsia="宋体" w:cs="宋体"/>
          <w:b/>
          <w:bCs/>
          <w:color w:val="auto"/>
          <w:kern w:val="0"/>
          <w:sz w:val="30"/>
          <w:szCs w:val="30"/>
          <w:highlight w:val="none"/>
          <w:lang w:eastAsia="zh-CN"/>
        </w:rPr>
      </w:pPr>
    </w:p>
    <w:p>
      <w:pPr>
        <w:ind w:firstLine="1807" w:firstLineChars="600"/>
        <w:jc w:val="left"/>
        <w:outlineLvl w:val="0"/>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lang w:eastAsia="zh-CN"/>
        </w:rPr>
        <w:t>采</w:t>
      </w:r>
      <w:r>
        <w:rPr>
          <w:rFonts w:hint="eastAsia" w:ascii="宋体" w:hAnsi="宋体" w:eastAsia="宋体" w:cs="宋体"/>
          <w:b/>
          <w:bCs/>
          <w:color w:val="auto"/>
          <w:kern w:val="0"/>
          <w:sz w:val="30"/>
          <w:szCs w:val="30"/>
          <w:highlight w:val="none"/>
        </w:rPr>
        <w:t xml:space="preserve">   </w:t>
      </w:r>
      <w:r>
        <w:rPr>
          <w:rFonts w:hint="eastAsia" w:ascii="宋体" w:hAnsi="宋体" w:eastAsia="宋体" w:cs="宋体"/>
          <w:b/>
          <w:bCs/>
          <w:color w:val="auto"/>
          <w:kern w:val="0"/>
          <w:sz w:val="30"/>
          <w:szCs w:val="30"/>
          <w:highlight w:val="none"/>
          <w:lang w:eastAsia="zh-CN"/>
        </w:rPr>
        <w:t>购</w:t>
      </w:r>
      <w:r>
        <w:rPr>
          <w:rFonts w:hint="eastAsia" w:ascii="宋体" w:hAnsi="宋体" w:eastAsia="宋体" w:cs="宋体"/>
          <w:b/>
          <w:bCs/>
          <w:color w:val="auto"/>
          <w:kern w:val="0"/>
          <w:sz w:val="30"/>
          <w:szCs w:val="30"/>
          <w:highlight w:val="none"/>
        </w:rPr>
        <w:t xml:space="preserve">   人：</w:t>
      </w:r>
      <w:r>
        <w:rPr>
          <w:rFonts w:hint="eastAsia" w:ascii="宋体" w:hAnsi="宋体" w:cs="宋体"/>
          <w:b/>
          <w:bCs/>
          <w:color w:val="auto"/>
          <w:kern w:val="0"/>
          <w:sz w:val="30"/>
          <w:szCs w:val="30"/>
          <w:highlight w:val="none"/>
          <w:lang w:eastAsia="zh-CN"/>
        </w:rPr>
        <w:t>沁阳市常平中心幼儿园</w:t>
      </w:r>
    </w:p>
    <w:p>
      <w:pPr>
        <w:ind w:firstLine="1807" w:firstLineChars="600"/>
        <w:jc w:val="left"/>
        <w:rPr>
          <w:rFonts w:hint="eastAsia" w:ascii="宋体" w:hAnsi="宋体" w:eastAsia="宋体" w:cs="宋体"/>
          <w:b/>
          <w:bCs/>
          <w:color w:val="auto"/>
          <w:kern w:val="0"/>
          <w:sz w:val="30"/>
          <w:szCs w:val="30"/>
          <w:highlight w:val="none"/>
          <w:lang w:eastAsia="zh-CN"/>
        </w:rPr>
      </w:pPr>
      <w:r>
        <w:rPr>
          <w:rFonts w:hint="eastAsia" w:ascii="宋体" w:hAnsi="宋体" w:eastAsia="宋体" w:cs="宋体"/>
          <w:b/>
          <w:bCs/>
          <w:color w:val="auto"/>
          <w:kern w:val="0"/>
          <w:sz w:val="30"/>
          <w:szCs w:val="30"/>
          <w:highlight w:val="none"/>
          <w:lang w:eastAsia="zh-CN"/>
        </w:rPr>
        <w:t>采购</w:t>
      </w:r>
      <w:r>
        <w:rPr>
          <w:rFonts w:hint="eastAsia" w:ascii="宋体" w:hAnsi="宋体" w:eastAsia="宋体" w:cs="宋体"/>
          <w:b/>
          <w:bCs/>
          <w:color w:val="auto"/>
          <w:kern w:val="0"/>
          <w:sz w:val="30"/>
          <w:szCs w:val="30"/>
          <w:highlight w:val="none"/>
        </w:rPr>
        <w:t>代理机构：</w:t>
      </w:r>
      <w:r>
        <w:rPr>
          <w:rFonts w:hint="eastAsia" w:ascii="宋体" w:hAnsi="宋体" w:cs="宋体"/>
          <w:b/>
          <w:bCs/>
          <w:color w:val="auto"/>
          <w:kern w:val="0"/>
          <w:sz w:val="30"/>
          <w:szCs w:val="30"/>
          <w:highlight w:val="none"/>
          <w:lang w:eastAsia="zh-CN"/>
        </w:rPr>
        <w:t>河南惠德工程咨询有限公司</w:t>
      </w:r>
    </w:p>
    <w:p>
      <w:pPr>
        <w:ind w:firstLine="1807" w:firstLineChars="600"/>
        <w:jc w:val="both"/>
        <w:outlineLvl w:val="0"/>
        <w:rPr>
          <w:rFonts w:hint="eastAsia" w:ascii="宋体" w:hAnsi="宋体" w:eastAsia="宋体" w:cs="宋体"/>
          <w:color w:val="auto"/>
          <w:kern w:val="0"/>
          <w:sz w:val="30"/>
          <w:szCs w:val="30"/>
          <w:highlight w:val="none"/>
        </w:rPr>
        <w:sectPr>
          <w:headerReference r:id="rId3" w:type="default"/>
          <w:footerReference r:id="rId4" w:type="default"/>
          <w:footerReference r:id="rId5" w:type="even"/>
          <w:pgSz w:w="11906" w:h="16838"/>
          <w:pgMar w:top="1440" w:right="1366" w:bottom="1440" w:left="1080" w:header="851" w:footer="992" w:gutter="0"/>
          <w:pgBorders>
            <w:top w:val="none" w:sz="0" w:space="0"/>
            <w:left w:val="none" w:sz="0" w:space="0"/>
            <w:bottom w:val="none" w:sz="0" w:space="0"/>
            <w:right w:val="none" w:sz="0" w:space="0"/>
          </w:pgBorders>
          <w:cols w:space="720" w:num="1"/>
          <w:titlePg/>
          <w:docGrid w:type="lines" w:linePitch="312" w:charSpace="0"/>
        </w:sectPr>
      </w:pPr>
      <w:r>
        <w:rPr>
          <w:rFonts w:hint="eastAsia" w:ascii="宋体" w:hAnsi="宋体" w:eastAsia="宋体" w:cs="宋体"/>
          <w:b/>
          <w:bCs/>
          <w:color w:val="auto"/>
          <w:kern w:val="0"/>
          <w:sz w:val="30"/>
          <w:szCs w:val="30"/>
          <w:highlight w:val="none"/>
        </w:rPr>
        <w:t>编 制  时 间</w:t>
      </w:r>
      <w:r>
        <w:rPr>
          <w:rFonts w:hint="eastAsia" w:ascii="宋体" w:hAnsi="宋体" w:eastAsia="宋体" w:cs="宋体"/>
          <w:color w:val="auto"/>
          <w:kern w:val="0"/>
          <w:sz w:val="30"/>
          <w:szCs w:val="30"/>
          <w:highlight w:val="none"/>
        </w:rPr>
        <w:t>：</w:t>
      </w:r>
      <w:r>
        <w:rPr>
          <w:rFonts w:hint="eastAsia" w:ascii="宋体" w:hAnsi="宋体" w:eastAsia="宋体" w:cs="宋体"/>
          <w:b/>
          <w:bCs/>
          <w:color w:val="auto"/>
          <w:kern w:val="0"/>
          <w:sz w:val="30"/>
          <w:szCs w:val="30"/>
          <w:highlight w:val="none"/>
        </w:rPr>
        <w:t>二〇二</w:t>
      </w:r>
      <w:r>
        <w:rPr>
          <w:rFonts w:hint="eastAsia" w:ascii="宋体" w:hAnsi="宋体" w:cs="宋体"/>
          <w:b/>
          <w:bCs/>
          <w:color w:val="auto"/>
          <w:kern w:val="0"/>
          <w:sz w:val="30"/>
          <w:szCs w:val="30"/>
          <w:highlight w:val="none"/>
          <w:lang w:eastAsia="zh-CN"/>
        </w:rPr>
        <w:t>六</w:t>
      </w:r>
      <w:r>
        <w:rPr>
          <w:rFonts w:hint="eastAsia" w:ascii="宋体" w:hAnsi="宋体" w:eastAsia="宋体" w:cs="宋体"/>
          <w:b/>
          <w:bCs/>
          <w:color w:val="auto"/>
          <w:kern w:val="0"/>
          <w:sz w:val="30"/>
          <w:szCs w:val="30"/>
          <w:highlight w:val="none"/>
        </w:rPr>
        <w:t>年</w:t>
      </w:r>
      <w:r>
        <w:rPr>
          <w:rFonts w:hint="eastAsia" w:ascii="宋体" w:hAnsi="宋体" w:cs="宋体"/>
          <w:b/>
          <w:bCs/>
          <w:color w:val="auto"/>
          <w:kern w:val="0"/>
          <w:sz w:val="30"/>
          <w:szCs w:val="30"/>
          <w:highlight w:val="none"/>
          <w:lang w:eastAsia="zh-CN"/>
        </w:rPr>
        <w:t>七</w:t>
      </w:r>
      <w:r>
        <w:rPr>
          <w:rFonts w:hint="eastAsia" w:ascii="宋体" w:hAnsi="宋体" w:eastAsia="宋体" w:cs="宋体"/>
          <w:b/>
          <w:bCs/>
          <w:color w:val="auto"/>
          <w:kern w:val="0"/>
          <w:sz w:val="30"/>
          <w:szCs w:val="30"/>
          <w:highlight w:val="none"/>
        </w:rPr>
        <w:t>月</w:t>
      </w:r>
    </w:p>
    <w:p>
      <w:pPr>
        <w:rPr>
          <w:rFonts w:hint="eastAsia" w:ascii="Book Antiqua" w:hAnsi="Book Antiqua" w:eastAsia="楷体_GB2312" w:cs="Times New Roman"/>
          <w:b/>
          <w:bCs/>
          <w:color w:val="auto"/>
          <w:kern w:val="2"/>
          <w:sz w:val="44"/>
          <w:szCs w:val="40"/>
          <w:highlight w:val="none"/>
          <w:lang w:val="en-US" w:eastAsia="zh-CN" w:bidi="ar-SA"/>
        </w:rPr>
      </w:pPr>
    </w:p>
    <w:p>
      <w:pPr>
        <w:jc w:val="center"/>
        <w:rPr>
          <w:rFonts w:hint="eastAsia" w:ascii="Book Antiqua" w:hAnsi="Book Antiqua" w:eastAsia="楷体_GB2312" w:cs="Times New Roman"/>
          <w:b/>
          <w:bCs/>
          <w:color w:val="auto"/>
          <w:kern w:val="2"/>
          <w:sz w:val="44"/>
          <w:szCs w:val="40"/>
          <w:highlight w:val="none"/>
          <w:lang w:val="en-US" w:eastAsia="zh-CN" w:bidi="ar-SA"/>
        </w:rPr>
      </w:pPr>
      <w:r>
        <w:rPr>
          <w:rFonts w:hint="eastAsia" w:ascii="Book Antiqua" w:hAnsi="Book Antiqua" w:eastAsia="楷体_GB2312" w:cs="Times New Roman"/>
          <w:b/>
          <w:bCs/>
          <w:color w:val="auto"/>
          <w:kern w:val="2"/>
          <w:sz w:val="44"/>
          <w:szCs w:val="40"/>
          <w:highlight w:val="none"/>
          <w:lang w:val="en-US" w:eastAsia="zh-CN" w:bidi="ar-SA"/>
        </w:rPr>
        <w:t>目  录</w:t>
      </w:r>
    </w:p>
    <w:p>
      <w:pPr>
        <w:pStyle w:val="9"/>
        <w:rPr>
          <w:rFonts w:hint="eastAsia" w:ascii="宋体" w:hAnsi="宋体" w:eastAsia="宋体" w:cs="宋体"/>
          <w:color w:val="auto"/>
          <w:sz w:val="28"/>
          <w:szCs w:val="28"/>
          <w:highlight w:val="none"/>
        </w:rPr>
      </w:pPr>
    </w:p>
    <w:p>
      <w:pPr>
        <w:pStyle w:val="18"/>
        <w:tabs>
          <w:tab w:val="right" w:leader="dot" w:pos="94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8"/>
          <w:szCs w:val="28"/>
          <w:highlight w:val="none"/>
          <w:lang w:val="en-US" w:eastAsia="zh-CN"/>
        </w:rPr>
        <w:fldChar w:fldCharType="begin"/>
      </w:r>
      <w:r>
        <w:rPr>
          <w:rFonts w:hint="eastAsia" w:ascii="宋体" w:hAnsi="宋体" w:eastAsia="宋体" w:cs="宋体"/>
          <w:color w:val="auto"/>
          <w:sz w:val="28"/>
          <w:szCs w:val="28"/>
          <w:highlight w:val="none"/>
          <w:lang w:val="en-US" w:eastAsia="zh-CN"/>
        </w:rPr>
        <w:instrText xml:space="preserve">TOC \o "1-3" \h \u </w:instrText>
      </w:r>
      <w:r>
        <w:rPr>
          <w:rFonts w:hint="eastAsia" w:ascii="宋体" w:hAnsi="宋体" w:eastAsia="宋体" w:cs="宋体"/>
          <w:color w:val="auto"/>
          <w:sz w:val="28"/>
          <w:szCs w:val="28"/>
          <w:highlight w:val="none"/>
          <w:lang w:val="en-US" w:eastAsia="zh-CN"/>
        </w:rPr>
        <w:fldChar w:fldCharType="separate"/>
      </w: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_Toc954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bCs/>
          <w:color w:val="auto"/>
          <w:sz w:val="24"/>
          <w:szCs w:val="24"/>
          <w:highlight w:val="none"/>
        </w:rPr>
        <w:t>第</w:t>
      </w:r>
      <w:r>
        <w:rPr>
          <w:rFonts w:hint="eastAsia" w:ascii="宋体" w:hAnsi="宋体" w:eastAsia="宋体" w:cs="宋体"/>
          <w:bCs/>
          <w:color w:val="auto"/>
          <w:sz w:val="24"/>
          <w:szCs w:val="24"/>
          <w:highlight w:val="none"/>
          <w:lang w:val="en-US" w:eastAsia="zh-CN"/>
        </w:rPr>
        <w:t>一</w:t>
      </w:r>
      <w:r>
        <w:rPr>
          <w:rFonts w:hint="eastAsia" w:ascii="宋体" w:hAnsi="宋体" w:eastAsia="宋体" w:cs="宋体"/>
          <w:bCs/>
          <w:color w:val="auto"/>
          <w:sz w:val="24"/>
          <w:szCs w:val="24"/>
          <w:highlight w:val="none"/>
        </w:rPr>
        <w:t xml:space="preserve">章  </w:t>
      </w:r>
      <w:r>
        <w:rPr>
          <w:rFonts w:hint="eastAsia" w:ascii="宋体" w:hAnsi="宋体" w:eastAsia="宋体" w:cs="宋体"/>
          <w:bCs/>
          <w:color w:val="auto"/>
          <w:sz w:val="24"/>
          <w:szCs w:val="24"/>
          <w:highlight w:val="none"/>
          <w:lang w:eastAsia="zh-CN"/>
        </w:rPr>
        <w:t>竞争性磋商公告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_Toc954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18"/>
        <w:tabs>
          <w:tab w:val="right" w:leader="dot" w:pos="94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_Toc6246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lang w:val="en-US" w:eastAsia="zh-CN" w:bidi="ar-SA"/>
        </w:rPr>
        <w:t>第二章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_Toc6246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20"/>
        <w:tabs>
          <w:tab w:val="right" w:leader="dot" w:pos="94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_Toc27722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bCs/>
          <w:color w:val="auto"/>
          <w:sz w:val="24"/>
          <w:szCs w:val="24"/>
          <w:highlight w:val="none"/>
          <w:lang w:eastAsia="zh-CN"/>
        </w:rPr>
        <w:t>一、</w:t>
      </w:r>
      <w:r>
        <w:rPr>
          <w:rFonts w:hint="eastAsia" w:ascii="宋体" w:hAnsi="宋体" w:eastAsia="宋体" w:cs="宋体"/>
          <w:bCs/>
          <w:color w:val="auto"/>
          <w:sz w:val="24"/>
          <w:szCs w:val="24"/>
          <w:highlight w:val="none"/>
        </w:rPr>
        <w:t>供应商须知前附表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_Toc27722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20"/>
        <w:tabs>
          <w:tab w:val="right" w:leader="dot" w:pos="94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_Toc24655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二、竞争性磋商文件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_Toc24655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20"/>
        <w:tabs>
          <w:tab w:val="right" w:leader="dot" w:pos="94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_Toc1249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三、响应性文件的编制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20"/>
        <w:tabs>
          <w:tab w:val="right" w:leader="dot" w:pos="9460"/>
        </w:tabs>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_Toc26171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四、响应性文件的递交</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_Toc26171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20"/>
        <w:tabs>
          <w:tab w:val="right" w:leader="dot" w:pos="9460"/>
        </w:tabs>
        <w:spacing w:line="360" w:lineRule="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_Toc8745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五、竞争性磋商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_Toc8745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lang w:val="en-US" w:eastAsia="zh-CN"/>
        </w:rPr>
        <w:fldChar w:fldCharType="end"/>
      </w:r>
    </w:p>
    <w:p>
      <w:pPr>
        <w:pStyle w:val="20"/>
        <w:tabs>
          <w:tab w:val="right" w:leader="dot" w:pos="9460"/>
        </w:tabs>
        <w:spacing w:line="360" w:lineRule="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_Toc9948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六、评定标准</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2</w:t>
      </w:r>
    </w:p>
    <w:p>
      <w:pPr>
        <w:pStyle w:val="20"/>
        <w:tabs>
          <w:tab w:val="right" w:leader="dot" w:pos="9460"/>
        </w:tabs>
        <w:spacing w:line="360" w:lineRule="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_Toc9722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七、成交通知书</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6</w:t>
      </w:r>
    </w:p>
    <w:p>
      <w:pPr>
        <w:pStyle w:val="20"/>
        <w:tabs>
          <w:tab w:val="right" w:leader="dot" w:pos="9460"/>
        </w:tabs>
        <w:spacing w:line="360" w:lineRule="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_Toc7407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八、合同授予</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7</w:t>
      </w:r>
    </w:p>
    <w:p>
      <w:pPr>
        <w:pStyle w:val="20"/>
        <w:tabs>
          <w:tab w:val="right" w:leader="dot" w:pos="9460"/>
        </w:tabs>
        <w:spacing w:line="360" w:lineRule="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_Toc18262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九、质疑处理</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9</w:t>
      </w:r>
    </w:p>
    <w:p>
      <w:pPr>
        <w:pStyle w:val="18"/>
        <w:tabs>
          <w:tab w:val="right" w:leader="dot" w:pos="9460"/>
        </w:tabs>
        <w:spacing w:line="360" w:lineRule="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_Toc23608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第三章 采购内容及要求</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0</w:t>
      </w:r>
    </w:p>
    <w:p>
      <w:pPr>
        <w:pStyle w:val="18"/>
        <w:tabs>
          <w:tab w:val="right" w:leader="dot" w:pos="9460"/>
        </w:tabs>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_Toc28032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color w:val="auto"/>
          <w:sz w:val="24"/>
          <w:szCs w:val="24"/>
          <w:highlight w:val="none"/>
        </w:rPr>
        <w:t>第四章 响应性文件内容及格式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1</w:t>
      </w:r>
    </w:p>
    <w:p>
      <w:pPr>
        <w:pStyle w:val="18"/>
        <w:tabs>
          <w:tab w:val="right" w:leader="dot" w:pos="9460"/>
        </w:tabs>
        <w:spacing w:line="360" w:lineRule="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fldChar w:fldCharType="begin"/>
      </w:r>
      <w:r>
        <w:rPr>
          <w:rFonts w:hint="eastAsia" w:ascii="宋体" w:hAnsi="宋体" w:eastAsia="宋体" w:cs="宋体"/>
          <w:color w:val="auto"/>
          <w:sz w:val="24"/>
          <w:szCs w:val="24"/>
          <w:highlight w:val="none"/>
          <w:lang w:val="en-US" w:eastAsia="zh-CN"/>
        </w:rPr>
        <w:instrText xml:space="preserve"> HYPERLINK \l _Toc24652 </w:instrText>
      </w:r>
      <w:r>
        <w:rPr>
          <w:rFonts w:hint="eastAsia" w:ascii="宋体" w:hAnsi="宋体" w:eastAsia="宋体" w:cs="宋体"/>
          <w:color w:val="auto"/>
          <w:sz w:val="24"/>
          <w:szCs w:val="24"/>
          <w:highlight w:val="none"/>
          <w:lang w:val="en-US" w:eastAsia="zh-CN"/>
        </w:rPr>
        <w:fldChar w:fldCharType="separate"/>
      </w:r>
      <w:r>
        <w:rPr>
          <w:rFonts w:hint="eastAsia" w:ascii="宋体" w:hAnsi="宋体" w:eastAsia="宋体" w:cs="宋体"/>
          <w:bCs/>
          <w:color w:val="auto"/>
          <w:sz w:val="24"/>
          <w:szCs w:val="24"/>
          <w:highlight w:val="none"/>
        </w:rPr>
        <w:t xml:space="preserve">第五章 </w:t>
      </w:r>
      <w:r>
        <w:rPr>
          <w:rFonts w:hint="eastAsia" w:ascii="宋体" w:hAnsi="宋体" w:eastAsia="宋体" w:cs="宋体"/>
          <w:bCs/>
          <w:color w:val="auto"/>
          <w:sz w:val="24"/>
          <w:szCs w:val="24"/>
          <w:highlight w:val="none"/>
          <w:lang w:eastAsia="zh-CN"/>
        </w:rPr>
        <w:t>施工</w:t>
      </w:r>
      <w:r>
        <w:rPr>
          <w:rFonts w:hint="eastAsia" w:ascii="宋体" w:hAnsi="宋体" w:eastAsia="宋体" w:cs="宋体"/>
          <w:bCs/>
          <w:color w:val="auto"/>
          <w:sz w:val="24"/>
          <w:szCs w:val="24"/>
          <w:highlight w:val="none"/>
        </w:rPr>
        <w:t>合同</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4</w:t>
      </w:r>
    </w:p>
    <w:p>
      <w:pPr>
        <w:pStyle w:val="20"/>
        <w:jc w:val="center"/>
        <w:rPr>
          <w:rFonts w:hint="eastAsia" w:ascii="宋体" w:hAnsi="宋体" w:eastAsia="宋体" w:cs="宋体"/>
          <w:color w:val="auto"/>
          <w:sz w:val="28"/>
          <w:szCs w:val="28"/>
          <w:highlight w:val="none"/>
        </w:rPr>
      </w:pPr>
    </w:p>
    <w:p>
      <w:pPr>
        <w:pStyle w:val="10"/>
        <w:bidi w:val="0"/>
        <w:rPr>
          <w:rFonts w:hint="eastAsia" w:eastAsia="楷体_GB2312"/>
          <w:color w:val="auto"/>
          <w:highlight w:val="none"/>
          <w:lang w:val="en-US" w:eastAsia="zh-CN"/>
        </w:rPr>
      </w:pPr>
      <w:r>
        <w:rPr>
          <w:rFonts w:hint="eastAsia" w:ascii="宋体" w:hAnsi="宋体" w:eastAsia="宋体" w:cs="宋体"/>
          <w:color w:val="auto"/>
          <w:sz w:val="28"/>
          <w:szCs w:val="28"/>
          <w:highlight w:val="none"/>
          <w:lang w:val="en-US" w:eastAsia="zh-CN"/>
        </w:rPr>
        <w:fldChar w:fldCharType="end"/>
      </w:r>
    </w:p>
    <w:p>
      <w:pPr>
        <w:pStyle w:val="2"/>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br w:type="page"/>
      </w:r>
      <w:bookmarkStart w:id="0" w:name="_Toc954"/>
      <w:bookmarkStart w:id="1" w:name="_Toc18180"/>
      <w:r>
        <w:rPr>
          <w:rStyle w:val="43"/>
          <w:rFonts w:hint="eastAsia"/>
          <w:b/>
          <w:bCs/>
          <w:color w:val="auto"/>
          <w:sz w:val="36"/>
          <w:szCs w:val="36"/>
          <w:highlight w:val="none"/>
        </w:rPr>
        <w:t>第</w:t>
      </w:r>
      <w:r>
        <w:rPr>
          <w:rStyle w:val="43"/>
          <w:rFonts w:hint="eastAsia"/>
          <w:b/>
          <w:bCs/>
          <w:color w:val="auto"/>
          <w:sz w:val="36"/>
          <w:szCs w:val="36"/>
          <w:highlight w:val="none"/>
          <w:lang w:val="en-US" w:eastAsia="zh-CN"/>
        </w:rPr>
        <w:t>一</w:t>
      </w:r>
      <w:r>
        <w:rPr>
          <w:rStyle w:val="43"/>
          <w:rFonts w:hint="eastAsia"/>
          <w:b/>
          <w:bCs/>
          <w:color w:val="auto"/>
          <w:sz w:val="36"/>
          <w:szCs w:val="36"/>
          <w:highlight w:val="none"/>
        </w:rPr>
        <w:t xml:space="preserve">章  </w:t>
      </w:r>
      <w:r>
        <w:rPr>
          <w:rStyle w:val="43"/>
          <w:rFonts w:hint="eastAsia"/>
          <w:b/>
          <w:bCs/>
          <w:color w:val="auto"/>
          <w:sz w:val="36"/>
          <w:szCs w:val="36"/>
          <w:highlight w:val="none"/>
          <w:lang w:eastAsia="zh-CN"/>
        </w:rPr>
        <w:t>竞争性磋商公告</w:t>
      </w:r>
      <w:bookmarkEnd w:id="0"/>
      <w:bookmarkEnd w:id="1"/>
    </w:p>
    <w:p>
      <w:pPr>
        <w:adjustRightInd w:val="0"/>
        <w:jc w:val="center"/>
        <w:textAlignment w:val="baseline"/>
        <w:outlineLvl w:val="1"/>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沁阳市常平中心幼儿园校尉营分园配套工程项目</w:t>
      </w:r>
    </w:p>
    <w:p>
      <w:pPr>
        <w:adjustRightInd w:val="0"/>
        <w:jc w:val="center"/>
        <w:textAlignment w:val="baseline"/>
        <w:outlineLvl w:val="1"/>
        <w:rPr>
          <w:rFonts w:hint="eastAsia" w:ascii="宋体" w:hAnsi="宋体" w:cs="宋体"/>
          <w:b/>
          <w:bCs/>
          <w:color w:val="auto"/>
          <w:sz w:val="32"/>
          <w:szCs w:val="32"/>
          <w:highlight w:val="none"/>
        </w:rPr>
      </w:pPr>
      <w:r>
        <w:rPr>
          <w:rFonts w:hint="eastAsia" w:ascii="宋体" w:hAnsi="宋体" w:eastAsia="宋体" w:cs="宋体"/>
          <w:b/>
          <w:bCs/>
          <w:color w:val="auto"/>
          <w:sz w:val="28"/>
          <w:szCs w:val="28"/>
          <w:highlight w:val="none"/>
          <w:lang w:val="en-US" w:eastAsia="zh-CN"/>
        </w:rPr>
        <w:t>竞争性磋商公告(不见面开标)</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沁阳市常平中心幼儿园校尉营分园配套工程项目</w:t>
      </w:r>
      <w:r>
        <w:rPr>
          <w:rFonts w:hint="eastAsia" w:ascii="宋体" w:hAnsi="宋体" w:eastAsia="宋体" w:cs="宋体"/>
          <w:color w:val="auto"/>
          <w:sz w:val="21"/>
          <w:szCs w:val="21"/>
          <w:highlight w:val="none"/>
        </w:rPr>
        <w:t>的潜在供应商应在</w:t>
      </w:r>
      <w:r>
        <w:rPr>
          <w:rFonts w:hint="eastAsia" w:ascii="宋体" w:hAnsi="宋体" w:eastAsia="宋体" w:cs="宋体"/>
          <w:b/>
          <w:bCs/>
          <w:color w:val="auto"/>
          <w:sz w:val="21"/>
          <w:szCs w:val="21"/>
          <w:highlight w:val="none"/>
          <w:u w:val="single"/>
        </w:rPr>
        <w:t>焦作市公共资源交易中心网站</w:t>
      </w:r>
      <w:r>
        <w:rPr>
          <w:rFonts w:hint="eastAsia" w:ascii="宋体" w:hAnsi="宋体" w:eastAsia="宋体" w:cs="宋体"/>
          <w:color w:val="auto"/>
          <w:sz w:val="21"/>
          <w:szCs w:val="21"/>
          <w:highlight w:val="none"/>
        </w:rPr>
        <w:t>获取竞争性磋商文件并于</w:t>
      </w:r>
      <w:r>
        <w:rPr>
          <w:rFonts w:hint="eastAsia" w:ascii="宋体" w:hAnsi="宋体" w:cs="宋体"/>
          <w:b/>
          <w:bCs/>
          <w:color w:val="auto"/>
          <w:kern w:val="0"/>
          <w:sz w:val="21"/>
          <w:szCs w:val="21"/>
          <w:highlight w:val="none"/>
          <w:lang w:eastAsia="zh-CN"/>
        </w:rPr>
        <w:t>2026</w:t>
      </w:r>
      <w:r>
        <w:rPr>
          <w:rFonts w:hint="eastAsia" w:ascii="宋体" w:hAnsi="宋体" w:eastAsia="宋体" w:cs="宋体"/>
          <w:b/>
          <w:bCs/>
          <w:color w:val="auto"/>
          <w:kern w:val="0"/>
          <w:sz w:val="21"/>
          <w:szCs w:val="21"/>
          <w:highlight w:val="none"/>
        </w:rPr>
        <w:t>年</w:t>
      </w:r>
      <w:r>
        <w:rPr>
          <w:rFonts w:hint="eastAsia" w:ascii="宋体" w:hAnsi="宋体" w:cs="宋体"/>
          <w:b/>
          <w:bCs/>
          <w:color w:val="auto"/>
          <w:kern w:val="0"/>
          <w:sz w:val="21"/>
          <w:szCs w:val="21"/>
          <w:highlight w:val="none"/>
          <w:lang w:val="en-US" w:eastAsia="zh-CN"/>
        </w:rPr>
        <w:t>8</w:t>
      </w:r>
      <w:r>
        <w:rPr>
          <w:rFonts w:hint="eastAsia" w:ascii="宋体" w:hAnsi="宋体" w:eastAsia="宋体" w:cs="宋体"/>
          <w:b/>
          <w:bCs/>
          <w:color w:val="auto"/>
          <w:kern w:val="0"/>
          <w:sz w:val="21"/>
          <w:szCs w:val="21"/>
          <w:highlight w:val="none"/>
        </w:rPr>
        <w:t>月</w:t>
      </w:r>
      <w:r>
        <w:rPr>
          <w:rFonts w:hint="eastAsia" w:ascii="宋体" w:hAnsi="宋体" w:cs="宋体"/>
          <w:b/>
          <w:bCs/>
          <w:color w:val="auto"/>
          <w:kern w:val="0"/>
          <w:sz w:val="21"/>
          <w:szCs w:val="21"/>
          <w:highlight w:val="none"/>
          <w:lang w:val="en-US" w:eastAsia="zh-CN"/>
        </w:rPr>
        <w:t>14</w:t>
      </w:r>
      <w:r>
        <w:rPr>
          <w:rFonts w:hint="eastAsia" w:ascii="宋体" w:hAnsi="宋体" w:eastAsia="宋体" w:cs="宋体"/>
          <w:b/>
          <w:bCs/>
          <w:color w:val="auto"/>
          <w:kern w:val="0"/>
          <w:sz w:val="21"/>
          <w:szCs w:val="21"/>
          <w:highlight w:val="none"/>
        </w:rPr>
        <w:t>日</w:t>
      </w:r>
      <w:r>
        <w:rPr>
          <w:rFonts w:hint="eastAsia" w:ascii="宋体" w:hAnsi="宋体" w:cs="宋体"/>
          <w:b/>
          <w:bCs/>
          <w:color w:val="auto"/>
          <w:kern w:val="0"/>
          <w:sz w:val="21"/>
          <w:szCs w:val="21"/>
          <w:highlight w:val="none"/>
          <w:lang w:val="en-US" w:eastAsia="zh-CN"/>
        </w:rPr>
        <w:t>8</w:t>
      </w:r>
      <w:r>
        <w:rPr>
          <w:rFonts w:hint="eastAsia" w:ascii="宋体" w:hAnsi="宋体" w:eastAsia="宋体" w:cs="宋体"/>
          <w:b/>
          <w:bCs/>
          <w:color w:val="auto"/>
          <w:kern w:val="0"/>
          <w:sz w:val="21"/>
          <w:szCs w:val="21"/>
          <w:highlight w:val="none"/>
        </w:rPr>
        <w:t>时</w:t>
      </w:r>
      <w:r>
        <w:rPr>
          <w:rFonts w:hint="eastAsia" w:ascii="宋体" w:hAnsi="宋体" w:cs="宋体"/>
          <w:b/>
          <w:bCs/>
          <w:color w:val="auto"/>
          <w:kern w:val="0"/>
          <w:sz w:val="21"/>
          <w:szCs w:val="21"/>
          <w:highlight w:val="none"/>
          <w:lang w:val="en-US" w:eastAsia="zh-CN"/>
        </w:rPr>
        <w:t>30</w:t>
      </w:r>
      <w:r>
        <w:rPr>
          <w:rFonts w:hint="eastAsia" w:ascii="宋体" w:hAnsi="宋体" w:eastAsia="宋体" w:cs="宋体"/>
          <w:b/>
          <w:bCs/>
          <w:color w:val="auto"/>
          <w:kern w:val="0"/>
          <w:sz w:val="21"/>
          <w:szCs w:val="21"/>
          <w:highlight w:val="none"/>
        </w:rPr>
        <w:t>分</w:t>
      </w:r>
      <w:r>
        <w:rPr>
          <w:rFonts w:hint="eastAsia" w:ascii="宋体" w:hAnsi="宋体" w:eastAsia="宋体" w:cs="宋体"/>
          <w:color w:val="auto"/>
          <w:sz w:val="21"/>
          <w:szCs w:val="21"/>
          <w:highlight w:val="none"/>
        </w:rPr>
        <w:t>（北京时间）前提交响应性文件。</w:t>
      </w:r>
    </w:p>
    <w:p>
      <w:pPr>
        <w:keepNext w:val="0"/>
        <w:keepLines w:val="0"/>
        <w:pageBreakBefore w:val="0"/>
        <w:widowControl w:val="0"/>
        <w:kinsoku/>
        <w:wordWrap/>
        <w:overflowPunct/>
        <w:topLinePunct w:val="0"/>
        <w:bidi w:val="0"/>
        <w:spacing w:line="50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一、项目基本情况</w:t>
      </w:r>
    </w:p>
    <w:p>
      <w:pPr>
        <w:keepNext w:val="0"/>
        <w:keepLines w:val="0"/>
        <w:pageBreakBefore w:val="0"/>
        <w:widowControl w:val="0"/>
        <w:kinsoku/>
        <w:wordWrap/>
        <w:overflowPunct/>
        <w:topLinePunct w:val="0"/>
        <w:bidi w:val="0"/>
        <w:spacing w:line="50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1、采购编号：沁财磋商采购-2026-43</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32" w:firstLineChars="300"/>
        <w:textAlignment w:val="auto"/>
        <w:rPr>
          <w:rFonts w:hint="default" w:ascii="宋体" w:hAnsi="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项目编号：</w:t>
      </w:r>
      <w:r>
        <w:rPr>
          <w:rFonts w:hint="eastAsia" w:ascii="宋体" w:hAnsi="宋体" w:eastAsia="宋体" w:cs="宋体"/>
          <w:color w:val="auto"/>
          <w:spacing w:val="-3"/>
          <w:sz w:val="24"/>
          <w:szCs w:val="24"/>
          <w:highlight w:val="none"/>
        </w:rPr>
        <w:t>沁公资采购Q2026-</w:t>
      </w:r>
      <w:r>
        <w:rPr>
          <w:rFonts w:hint="eastAsia" w:ascii="宋体" w:hAnsi="宋体" w:cs="宋体"/>
          <w:color w:val="auto"/>
          <w:spacing w:val="-3"/>
          <w:sz w:val="24"/>
          <w:szCs w:val="24"/>
          <w:highlight w:val="none"/>
          <w:lang w:val="en-US" w:eastAsia="zh-CN"/>
        </w:rPr>
        <w:t>045</w:t>
      </w:r>
      <w:r>
        <w:rPr>
          <w:rFonts w:hint="eastAsia" w:ascii="宋体" w:hAnsi="宋体" w:eastAsia="宋体" w:cs="宋体"/>
          <w:color w:val="auto"/>
          <w:spacing w:val="-3"/>
          <w:sz w:val="24"/>
          <w:szCs w:val="24"/>
          <w:highlight w:val="none"/>
          <w:lang w:val="en-US" w:eastAsia="zh-CN"/>
        </w:rPr>
        <w:t>号</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2、项目名称：</w:t>
      </w:r>
      <w:r>
        <w:rPr>
          <w:rFonts w:hint="eastAsia" w:ascii="宋体" w:hAnsi="宋体" w:cs="宋体"/>
          <w:color w:val="auto"/>
          <w:sz w:val="21"/>
          <w:szCs w:val="21"/>
          <w:highlight w:val="none"/>
          <w:lang w:val="en-US" w:eastAsia="zh-CN"/>
        </w:rPr>
        <w:t>沁阳市常平中心幼儿园校尉营分园配套工程项目</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3、采购方式：竞争性磋商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4、预算金额：</w:t>
      </w:r>
      <w:r>
        <w:rPr>
          <w:rFonts w:hint="eastAsia" w:ascii="宋体" w:hAnsi="宋体" w:cs="宋体"/>
          <w:color w:val="auto"/>
          <w:sz w:val="21"/>
          <w:szCs w:val="21"/>
          <w:highlight w:val="none"/>
          <w:lang w:val="en-US" w:eastAsia="zh-CN"/>
        </w:rPr>
        <w:t>1665733.73元</w:t>
      </w:r>
    </w:p>
    <w:p>
      <w:pPr>
        <w:keepNext w:val="0"/>
        <w:keepLines w:val="0"/>
        <w:pageBreakBefore w:val="0"/>
        <w:widowControl w:val="0"/>
        <w:kinsoku/>
        <w:wordWrap/>
        <w:overflowPunct/>
        <w:topLinePunct w:val="0"/>
        <w:autoSpaceDE/>
        <w:autoSpaceDN/>
        <w:bidi w:val="0"/>
        <w:adjustRightInd/>
        <w:snapToGrid/>
        <w:spacing w:line="500" w:lineRule="exact"/>
        <w:ind w:firstLine="840" w:firstLineChars="4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cs="宋体"/>
          <w:color w:val="auto"/>
          <w:sz w:val="21"/>
          <w:szCs w:val="21"/>
          <w:highlight w:val="none"/>
          <w:lang w:val="en-US" w:eastAsia="zh-CN"/>
        </w:rPr>
        <w:t>1665733.73元</w:t>
      </w:r>
    </w:p>
    <w:tbl>
      <w:tblPr>
        <w:tblStyle w:val="26"/>
        <w:tblW w:w="9246" w:type="dxa"/>
        <w:jc w:val="center"/>
        <w:tblInd w:w="0" w:type="dxa"/>
        <w:tblLayout w:type="fixed"/>
        <w:tblCellMar>
          <w:top w:w="15" w:type="dxa"/>
          <w:left w:w="15" w:type="dxa"/>
          <w:bottom w:w="15" w:type="dxa"/>
          <w:right w:w="15" w:type="dxa"/>
        </w:tblCellMar>
      </w:tblPr>
      <w:tblGrid>
        <w:gridCol w:w="545"/>
        <w:gridCol w:w="1650"/>
        <w:gridCol w:w="1760"/>
        <w:gridCol w:w="1364"/>
        <w:gridCol w:w="1282"/>
        <w:gridCol w:w="1159"/>
        <w:gridCol w:w="1486"/>
      </w:tblGrid>
      <w:tr>
        <w:tblPrEx>
          <w:tblLayout w:type="fixed"/>
          <w:tblCellMar>
            <w:top w:w="15" w:type="dxa"/>
            <w:left w:w="15" w:type="dxa"/>
            <w:bottom w:w="15" w:type="dxa"/>
            <w:right w:w="15" w:type="dxa"/>
          </w:tblCellMar>
        </w:tblPrEx>
        <w:trPr>
          <w:trHeight w:val="570" w:hRule="atLeast"/>
          <w:jc w:val="center"/>
        </w:trPr>
        <w:tc>
          <w:tcPr>
            <w:tcW w:w="545"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650"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包号</w:t>
            </w:r>
          </w:p>
        </w:tc>
        <w:tc>
          <w:tcPr>
            <w:tcW w:w="1760"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包名称</w:t>
            </w:r>
          </w:p>
        </w:tc>
        <w:tc>
          <w:tcPr>
            <w:tcW w:w="1364"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包预算</w:t>
            </w:r>
          </w:p>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元</w:t>
            </w:r>
            <w:r>
              <w:rPr>
                <w:rFonts w:hint="eastAsia" w:ascii="宋体" w:hAnsi="宋体" w:eastAsia="宋体" w:cs="宋体"/>
                <w:color w:val="auto"/>
                <w:sz w:val="21"/>
                <w:szCs w:val="21"/>
                <w:highlight w:val="none"/>
              </w:rPr>
              <w:t>）</w:t>
            </w:r>
          </w:p>
        </w:tc>
        <w:tc>
          <w:tcPr>
            <w:tcW w:w="1282"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包最高限价</w:t>
            </w:r>
          </w:p>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元</w:t>
            </w:r>
            <w:r>
              <w:rPr>
                <w:rFonts w:hint="eastAsia" w:ascii="宋体" w:hAnsi="宋体" w:eastAsia="宋体" w:cs="宋体"/>
                <w:color w:val="auto"/>
                <w:sz w:val="21"/>
                <w:szCs w:val="21"/>
                <w:highlight w:val="none"/>
              </w:rPr>
              <w:t>）</w:t>
            </w:r>
          </w:p>
        </w:tc>
        <w:tc>
          <w:tcPr>
            <w:tcW w:w="1159"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是否专门面向中小企业</w:t>
            </w:r>
          </w:p>
        </w:tc>
        <w:tc>
          <w:tcPr>
            <w:tcW w:w="1486" w:type="dxa"/>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采购预留金额（</w:t>
            </w:r>
            <w:r>
              <w:rPr>
                <w:rFonts w:hint="eastAsia" w:ascii="宋体" w:hAnsi="宋体" w:eastAsia="宋体" w:cs="宋体"/>
                <w:color w:val="auto"/>
                <w:sz w:val="21"/>
                <w:szCs w:val="21"/>
                <w:highlight w:val="none"/>
                <w:lang w:val="en-US" w:eastAsia="zh-CN"/>
              </w:rPr>
              <w:t>元</w:t>
            </w:r>
            <w:r>
              <w:rPr>
                <w:rFonts w:hint="eastAsia" w:ascii="宋体" w:hAnsi="宋体" w:eastAsia="宋体" w:cs="宋体"/>
                <w:color w:val="auto"/>
                <w:sz w:val="21"/>
                <w:szCs w:val="21"/>
                <w:highlight w:val="none"/>
              </w:rPr>
              <w:t>）</w:t>
            </w:r>
          </w:p>
        </w:tc>
      </w:tr>
      <w:tr>
        <w:tblPrEx>
          <w:tblLayout w:type="fixed"/>
          <w:tblCellMar>
            <w:top w:w="15" w:type="dxa"/>
            <w:left w:w="15" w:type="dxa"/>
            <w:bottom w:w="15" w:type="dxa"/>
            <w:right w:w="15" w:type="dxa"/>
          </w:tblCellMar>
        </w:tblPrEx>
        <w:trPr>
          <w:trHeight w:val="570" w:hRule="atLeast"/>
          <w:jc w:val="center"/>
        </w:trPr>
        <w:tc>
          <w:tcPr>
            <w:tcW w:w="545"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both"/>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沁公资采购Q2026-045号-1 </w:t>
            </w:r>
          </w:p>
        </w:tc>
        <w:tc>
          <w:tcPr>
            <w:tcW w:w="176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沁阳市常平中心幼儿园校尉营分园配套工程项目</w:t>
            </w:r>
          </w:p>
        </w:tc>
        <w:tc>
          <w:tcPr>
            <w:tcW w:w="136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1665733.73</w:t>
            </w:r>
          </w:p>
        </w:tc>
        <w:tc>
          <w:tcPr>
            <w:tcW w:w="1282"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1665733.73</w:t>
            </w:r>
          </w:p>
        </w:tc>
        <w:tc>
          <w:tcPr>
            <w:tcW w:w="115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是</w:t>
            </w:r>
          </w:p>
        </w:tc>
        <w:tc>
          <w:tcPr>
            <w:tcW w:w="148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bidi w:val="0"/>
              <w:spacing w:line="500" w:lineRule="exact"/>
              <w:jc w:val="center"/>
              <w:textAlignment w:val="auto"/>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1665733.73</w:t>
            </w:r>
          </w:p>
        </w:tc>
      </w:tr>
    </w:tbl>
    <w:p>
      <w:pPr>
        <w:keepNext w:val="0"/>
        <w:keepLines w:val="0"/>
        <w:pageBreakBefore w:val="0"/>
        <w:widowControl w:val="0"/>
        <w:numPr>
          <w:ilvl w:val="0"/>
          <w:numId w:val="0"/>
        </w:numPr>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5、</w:t>
      </w:r>
      <w:r>
        <w:rPr>
          <w:rFonts w:hint="eastAsia" w:ascii="宋体" w:hAnsi="宋体" w:eastAsia="宋体" w:cs="宋体"/>
          <w:color w:val="auto"/>
          <w:sz w:val="21"/>
          <w:szCs w:val="21"/>
          <w:highlight w:val="none"/>
        </w:rPr>
        <w:t>采购需求（包括但不限于标的的名称、数量、简要技术需求或服务要求等）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5.1、</w:t>
      </w:r>
      <w:r>
        <w:rPr>
          <w:rFonts w:hint="eastAsia" w:ascii="宋体" w:hAnsi="宋体" w:eastAsia="宋体" w:cs="宋体"/>
          <w:color w:val="auto"/>
          <w:sz w:val="21"/>
          <w:szCs w:val="21"/>
          <w:highlight w:val="none"/>
          <w:lang w:val="en-US" w:eastAsia="zh-CN"/>
        </w:rPr>
        <w:t>本工程为</w:t>
      </w:r>
      <w:r>
        <w:rPr>
          <w:rFonts w:hint="eastAsia" w:ascii="宋体" w:hAnsi="宋体" w:cs="宋体"/>
          <w:color w:val="auto"/>
          <w:sz w:val="21"/>
          <w:szCs w:val="21"/>
          <w:highlight w:val="none"/>
          <w:lang w:val="en-US" w:eastAsia="zh-CN"/>
        </w:rPr>
        <w:t>沁阳市常平中心幼儿园校尉营分园配套工程项目</w:t>
      </w:r>
      <w:r>
        <w:rPr>
          <w:rFonts w:hint="eastAsia" w:ascii="宋体" w:hAnsi="宋体" w:eastAsia="宋体" w:cs="宋体"/>
          <w:color w:val="auto"/>
          <w:sz w:val="21"/>
          <w:szCs w:val="21"/>
          <w:highlight w:val="none"/>
          <w:lang w:val="en-US" w:eastAsia="zh-CN"/>
        </w:rPr>
        <w:t>，建筑面积</w:t>
      </w:r>
      <w:r>
        <w:rPr>
          <w:rFonts w:hint="eastAsia" w:ascii="宋体" w:hAnsi="宋体" w:cs="宋体"/>
          <w:color w:val="auto"/>
          <w:sz w:val="21"/>
          <w:szCs w:val="21"/>
          <w:highlight w:val="none"/>
          <w:lang w:val="en-US" w:eastAsia="zh-CN"/>
        </w:rPr>
        <w:t>约</w:t>
      </w:r>
      <w:r>
        <w:rPr>
          <w:rFonts w:hint="eastAsia" w:ascii="宋体" w:hAnsi="宋体" w:eastAsia="宋体" w:cs="宋体"/>
          <w:color w:val="auto"/>
          <w:sz w:val="21"/>
          <w:szCs w:val="21"/>
          <w:highlight w:val="none"/>
          <w:lang w:val="en-US" w:eastAsia="zh-CN"/>
        </w:rPr>
        <w:t>1359平方米，</w:t>
      </w:r>
      <w:r>
        <w:rPr>
          <w:rFonts w:hint="eastAsia" w:ascii="宋体" w:hAnsi="宋体" w:cs="宋体"/>
          <w:color w:val="auto"/>
          <w:sz w:val="21"/>
          <w:szCs w:val="21"/>
          <w:highlight w:val="none"/>
          <w:lang w:val="en-US" w:eastAsia="zh-CN"/>
        </w:rPr>
        <w:t>主要内容包括：</w:t>
      </w:r>
      <w:r>
        <w:rPr>
          <w:rFonts w:hint="eastAsia" w:ascii="宋体" w:hAnsi="宋体" w:eastAsia="宋体" w:cs="宋体"/>
          <w:color w:val="auto"/>
          <w:sz w:val="21"/>
          <w:szCs w:val="21"/>
          <w:highlight w:val="none"/>
          <w:lang w:val="en-US" w:eastAsia="zh-CN"/>
        </w:rPr>
        <w:t>户外场地、消防水池</w:t>
      </w:r>
      <w:r>
        <w:rPr>
          <w:rFonts w:hint="eastAsia" w:ascii="宋体" w:hAnsi="宋体" w:cs="宋体"/>
          <w:color w:val="auto"/>
          <w:sz w:val="21"/>
          <w:szCs w:val="21"/>
          <w:highlight w:val="none"/>
          <w:lang w:val="en-US" w:eastAsia="zh-CN"/>
        </w:rPr>
        <w:t>等。</w:t>
      </w:r>
      <w:r>
        <w:rPr>
          <w:rFonts w:hint="eastAsia" w:ascii="宋体" w:hAnsi="宋体" w:eastAsia="宋体" w:cs="宋体"/>
          <w:color w:val="auto"/>
          <w:kern w:val="0"/>
          <w:szCs w:val="21"/>
          <w:highlight w:val="none"/>
          <w:lang w:val="en-US" w:eastAsia="zh-CN"/>
        </w:rPr>
        <w:t>(详见工程量清单）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5.2、</w:t>
      </w:r>
      <w:r>
        <w:rPr>
          <w:rFonts w:hint="eastAsia" w:ascii="宋体" w:hAnsi="宋体" w:eastAsia="宋体" w:cs="宋体"/>
          <w:color w:val="auto"/>
          <w:sz w:val="21"/>
          <w:szCs w:val="21"/>
          <w:highlight w:val="none"/>
          <w:lang w:val="en-US" w:eastAsia="zh-CN"/>
        </w:rPr>
        <w:t>人工费：</w:t>
      </w:r>
      <w:r>
        <w:rPr>
          <w:rFonts w:hint="eastAsia" w:ascii="宋体" w:hAnsi="宋体" w:cs="宋体"/>
          <w:color w:val="auto"/>
          <w:sz w:val="21"/>
          <w:szCs w:val="21"/>
          <w:highlight w:val="none"/>
          <w:lang w:val="en-US" w:eastAsia="zh-CN"/>
        </w:rPr>
        <w:t>321306.53</w:t>
      </w:r>
      <w:r>
        <w:rPr>
          <w:rFonts w:hint="eastAsia" w:ascii="宋体" w:hAnsi="宋体" w:eastAsia="宋体" w:cs="宋体"/>
          <w:color w:val="auto"/>
          <w:sz w:val="21"/>
          <w:szCs w:val="21"/>
          <w:highlight w:val="none"/>
          <w:lang w:val="en-US" w:eastAsia="zh-CN"/>
        </w:rPr>
        <w:t>元</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6、合同的履行期限：</w:t>
      </w:r>
      <w:r>
        <w:rPr>
          <w:rFonts w:hint="eastAsia" w:ascii="宋体" w:hAnsi="宋体" w:cs="宋体"/>
          <w:color w:val="auto"/>
          <w:sz w:val="21"/>
          <w:szCs w:val="21"/>
          <w:highlight w:val="none"/>
          <w:lang w:val="en-US" w:eastAsia="zh-CN"/>
        </w:rPr>
        <w:t xml:space="preserve"> 90</w:t>
      </w:r>
      <w:r>
        <w:rPr>
          <w:rFonts w:hint="eastAsia" w:ascii="宋体" w:hAnsi="宋体" w:eastAsia="宋体" w:cs="宋体"/>
          <w:color w:val="auto"/>
          <w:sz w:val="21"/>
          <w:szCs w:val="21"/>
          <w:highlight w:val="none"/>
        </w:rPr>
        <w:t>日历天</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7、本项目是否接受联合体投标：否</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8、是否接受进口产品：否</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9、是否专门面向中小企业：</w:t>
      </w:r>
      <w:r>
        <w:rPr>
          <w:rFonts w:hint="eastAsia" w:ascii="宋体" w:hAnsi="宋体" w:eastAsia="宋体" w:cs="宋体"/>
          <w:color w:val="auto"/>
          <w:sz w:val="21"/>
          <w:szCs w:val="21"/>
          <w:highlight w:val="none"/>
          <w:lang w:val="en-US" w:eastAsia="zh-CN"/>
        </w:rPr>
        <w:t>是</w:t>
      </w:r>
    </w:p>
    <w:p>
      <w:pPr>
        <w:keepNext w:val="0"/>
        <w:keepLines w:val="0"/>
        <w:pageBreakBefore w:val="0"/>
        <w:widowControl w:val="0"/>
        <w:kinsoku/>
        <w:wordWrap/>
        <w:overflowPunct/>
        <w:topLinePunct w:val="0"/>
        <w:bidi w:val="0"/>
        <w:spacing w:line="50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的资格要求：</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2、落实政府采购政策满足的资格要求：</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shd w:val="clear" w:color="auto" w:fill="FFFFFF"/>
        </w:rPr>
        <w:t>本项目执行促进中小企业发展政策(监狱企业、残疾人福利性企业视同小微企业)等政府采购政策</w:t>
      </w:r>
      <w:r>
        <w:rPr>
          <w:rFonts w:hint="eastAsia" w:ascii="宋体" w:hAnsi="宋体" w:eastAsia="宋体" w:cs="宋体"/>
          <w:color w:val="auto"/>
          <w:sz w:val="21"/>
          <w:szCs w:val="21"/>
          <w:highlight w:val="none"/>
          <w:shd w:val="clear" w:color="auto" w:fill="FFFFFF"/>
          <w:lang w:eastAsia="zh-CN"/>
        </w:rPr>
        <w:t>。</w:t>
      </w:r>
    </w:p>
    <w:p>
      <w:pPr>
        <w:keepNext w:val="0"/>
        <w:keepLines w:val="0"/>
        <w:pageBreakBefore w:val="0"/>
        <w:widowControl w:val="0"/>
        <w:kinsoku/>
        <w:wordWrap/>
        <w:overflowPunct/>
        <w:topLinePunct w:val="0"/>
        <w:bidi w:val="0"/>
        <w:spacing w:line="500" w:lineRule="exact"/>
        <w:ind w:firstLine="420"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本项目的特定资格要求：</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3.1供应商应具备独立企业法人资格，具有有效的营业执照，法定代表人或主要负责人所在的公司近三年内没有违法违规的行为； </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3.2供应商应具有建设行政主管部门颁发的建筑工程施工总承包三级及以上资质，且具备有效的安全生产许可证，并在人员、设备、资金等方面具备相应的施工能力； </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3.3拟派项目经理要求：具有建筑工程专业二级及以上建造师资格（不含临时）及有效的安全生产考核合格证书（B证）；且未担任其他在建工程项目经理(提供无在建工程承诺函)； 注：本文件所指“在建项目”是指：项目尚未竣工或已中标未开工。如果“在建项目”项目 经理有变更情况的，需在响应性文件中附变更证明材料，否则视为项目经理有“在建项目”； </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3.4拟派项目技术负责人具有相关专业中级及以上职称； </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3.5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查询渠道：失信被执行人和重大税收违法失信主体(查询网址“信用中国”网站</w:t>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"https://www.creditchina.gov.cn/、"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https://www.creditchina.gov.cn/、</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“中国执行信息公开网”网站</w:t>
      </w:r>
    </w:p>
    <w:p>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"https://zxgk.court.gov.cn/)、政府采购严重违法失信行为记录名单(查询网址"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https://zxgk.court.gov.cn/)、政府采购严重违法失信行为记录名单(查询网址</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“中国政府采购网”网站(http://www.ccgp.gov.cn)。（以采购人或采购代理机构提供磋商当日查询结果为准）；</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yellow"/>
          <w:shd w:val="clear" w:color="auto" w:fill="FFFFFF"/>
        </w:rPr>
      </w:pPr>
    </w:p>
    <w:p>
      <w:pPr>
        <w:spacing w:before="171" w:after="0" w:line="240" w:lineRule="auto"/>
        <w:ind w:right="857" w:firstLine="420" w:firstLineChars="200"/>
        <w:rPr>
          <w:rFonts w:ascii="Times New Roman" w:hAnsi="Times New Roman" w:cs="Times New Roman"/>
          <w:color w:val="010302"/>
        </w:rPr>
      </w:pPr>
      <w:r>
        <w:rPr>
          <w:rFonts w:ascii="宋体" w:hAnsi="宋体" w:cs="宋体"/>
          <w:color w:val="000000"/>
          <w:sz w:val="21"/>
          <w:szCs w:val="21"/>
        </w:rPr>
        <w:t>3.</w:t>
      </w:r>
      <w:r>
        <w:rPr>
          <w:rFonts w:ascii="宋体" w:hAnsi="宋体" w:cs="宋体"/>
          <w:color w:val="000000"/>
          <w:spacing w:val="51"/>
          <w:sz w:val="21"/>
          <w:szCs w:val="21"/>
        </w:rPr>
        <w:t>6</w:t>
      </w:r>
      <w:r>
        <w:rPr>
          <w:rFonts w:ascii="宋体" w:hAnsi="宋体" w:cs="宋体"/>
          <w:color w:val="000000"/>
          <w:sz w:val="21"/>
          <w:szCs w:val="21"/>
        </w:rPr>
        <w:t>供应商必须提供投标承诺函；</w:t>
      </w:r>
      <w:r>
        <w:rPr>
          <w:rFonts w:ascii="Times New Roman" w:hAnsi="Times New Roman" w:cs="Times New Roman"/>
          <w:sz w:val="21"/>
          <w:szCs w:val="21"/>
        </w:rPr>
        <w:t xml:space="preserve"> </w:t>
      </w:r>
    </w:p>
    <w:p>
      <w:pPr>
        <w:keepNext w:val="0"/>
        <w:keepLines w:val="0"/>
        <w:pageBreakBefore w:val="0"/>
        <w:widowControl w:val="0"/>
        <w:kinsoku/>
        <w:wordWrap/>
        <w:overflowPunct/>
        <w:topLinePunct w:val="0"/>
        <w:bidi w:val="0"/>
        <w:spacing w:line="500" w:lineRule="exact"/>
        <w:ind w:firstLine="420" w:firstLineChars="200"/>
        <w:textAlignment w:val="auto"/>
        <w:outlineLvl w:val="1"/>
        <w:rPr>
          <w:rFonts w:ascii="宋体" w:hAnsi="宋体" w:cs="宋体"/>
          <w:color w:val="000000"/>
          <w:sz w:val="21"/>
          <w:szCs w:val="21"/>
        </w:rPr>
      </w:pPr>
      <w:r>
        <w:rPr>
          <w:rFonts w:ascii="宋体" w:hAnsi="宋体" w:cs="宋体"/>
          <w:color w:val="000000"/>
          <w:sz w:val="21"/>
          <w:szCs w:val="21"/>
        </w:rPr>
        <w:t>3.</w:t>
      </w:r>
      <w:r>
        <w:rPr>
          <w:rFonts w:ascii="宋体" w:hAnsi="宋体" w:cs="宋体"/>
          <w:color w:val="000000"/>
          <w:spacing w:val="51"/>
          <w:sz w:val="21"/>
          <w:szCs w:val="21"/>
        </w:rPr>
        <w:t>7</w:t>
      </w:r>
      <w:r>
        <w:rPr>
          <w:rFonts w:ascii="宋体" w:hAnsi="宋体" w:cs="宋体"/>
          <w:color w:val="000000"/>
          <w:sz w:val="21"/>
          <w:szCs w:val="21"/>
        </w:rPr>
        <w:t>本项目不接受联合体参加磋商（无需提供任何声明、承诺）</w:t>
      </w:r>
    </w:p>
    <w:p>
      <w:pPr>
        <w:keepNext w:val="0"/>
        <w:keepLines w:val="0"/>
        <w:pageBreakBefore w:val="0"/>
        <w:widowControl w:val="0"/>
        <w:kinsoku/>
        <w:wordWrap/>
        <w:overflowPunct/>
        <w:topLinePunct w:val="0"/>
        <w:bidi w:val="0"/>
        <w:spacing w:line="500" w:lineRule="exact"/>
        <w:ind w:firstLine="420" w:firstLineChars="200"/>
        <w:textAlignment w:val="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三、获取采购文件</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时间：</w:t>
      </w:r>
      <w:r>
        <w:rPr>
          <w:rFonts w:hint="eastAsia" w:ascii="宋体" w:hAnsi="宋体" w:cs="宋体"/>
          <w:b/>
          <w:bCs/>
          <w:color w:val="auto"/>
          <w:kern w:val="0"/>
          <w:szCs w:val="21"/>
          <w:highlight w:val="none"/>
          <w:lang w:val="en-US" w:eastAsia="zh-CN"/>
        </w:rPr>
        <w:t>2026</w:t>
      </w:r>
      <w:r>
        <w:rPr>
          <w:rFonts w:hint="eastAsia" w:ascii="宋体" w:hAnsi="宋体" w:eastAsia="宋体" w:cs="宋体"/>
          <w:b/>
          <w:bCs/>
          <w:color w:val="auto"/>
          <w:kern w:val="0"/>
          <w:szCs w:val="21"/>
          <w:highlight w:val="none"/>
          <w:lang w:val="en-US" w:eastAsia="zh-CN"/>
        </w:rPr>
        <w:t>年</w:t>
      </w:r>
      <w:r>
        <w:rPr>
          <w:rFonts w:hint="eastAsia" w:ascii="宋体" w:hAnsi="宋体" w:cs="宋体"/>
          <w:b/>
          <w:bCs/>
          <w:color w:val="auto"/>
          <w:kern w:val="0"/>
          <w:szCs w:val="21"/>
          <w:highlight w:val="none"/>
          <w:lang w:val="en-US" w:eastAsia="zh-CN"/>
        </w:rPr>
        <w:t>8</w:t>
      </w:r>
      <w:r>
        <w:rPr>
          <w:rFonts w:hint="eastAsia" w:ascii="宋体" w:hAnsi="宋体" w:eastAsia="宋体" w:cs="宋体"/>
          <w:b/>
          <w:bCs/>
          <w:color w:val="auto"/>
          <w:kern w:val="0"/>
          <w:szCs w:val="21"/>
          <w:highlight w:val="none"/>
          <w:lang w:val="en-US" w:eastAsia="zh-CN"/>
        </w:rPr>
        <w:t>月</w:t>
      </w:r>
      <w:r>
        <w:rPr>
          <w:rFonts w:hint="eastAsia" w:ascii="宋体" w:hAnsi="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lang w:val="en-US" w:eastAsia="zh-CN"/>
        </w:rPr>
        <w:t>日</w:t>
      </w:r>
      <w:r>
        <w:rPr>
          <w:rFonts w:hint="eastAsia" w:ascii="宋体" w:hAnsi="宋体" w:eastAsia="宋体" w:cs="宋体"/>
          <w:b/>
          <w:bCs/>
          <w:color w:val="auto"/>
          <w:kern w:val="0"/>
          <w:szCs w:val="21"/>
          <w:highlight w:val="none"/>
        </w:rPr>
        <w:t xml:space="preserve"> 至 </w:t>
      </w:r>
      <w:r>
        <w:rPr>
          <w:rFonts w:hint="eastAsia" w:ascii="宋体" w:hAnsi="宋体" w:cs="宋体"/>
          <w:b/>
          <w:bCs/>
          <w:color w:val="auto"/>
          <w:kern w:val="0"/>
          <w:szCs w:val="21"/>
          <w:highlight w:val="none"/>
          <w:lang w:eastAsia="zh-CN"/>
        </w:rPr>
        <w:t>2026</w:t>
      </w:r>
      <w:r>
        <w:rPr>
          <w:rFonts w:hint="eastAsia" w:ascii="宋体" w:hAnsi="宋体" w:eastAsia="宋体" w:cs="宋体"/>
          <w:b/>
          <w:bCs/>
          <w:color w:val="auto"/>
          <w:kern w:val="0"/>
          <w:szCs w:val="21"/>
          <w:highlight w:val="none"/>
        </w:rPr>
        <w:t>年</w:t>
      </w:r>
      <w:r>
        <w:rPr>
          <w:rFonts w:hint="eastAsia" w:ascii="宋体" w:hAnsi="宋体" w:cs="宋体"/>
          <w:b/>
          <w:bCs/>
          <w:color w:val="auto"/>
          <w:kern w:val="0"/>
          <w:szCs w:val="21"/>
          <w:highlight w:val="none"/>
          <w:lang w:val="en-US" w:eastAsia="zh-CN"/>
        </w:rPr>
        <w:t xml:space="preserve"> 8 </w:t>
      </w:r>
      <w:r>
        <w:rPr>
          <w:rFonts w:hint="eastAsia" w:ascii="宋体" w:hAnsi="宋体" w:eastAsia="宋体" w:cs="宋体"/>
          <w:b/>
          <w:bCs/>
          <w:color w:val="auto"/>
          <w:kern w:val="0"/>
          <w:szCs w:val="21"/>
          <w:highlight w:val="none"/>
        </w:rPr>
        <w:t>月</w:t>
      </w:r>
      <w:r>
        <w:rPr>
          <w:rFonts w:hint="eastAsia" w:ascii="宋体" w:hAnsi="宋体" w:cs="宋体"/>
          <w:b/>
          <w:bCs/>
          <w:color w:val="auto"/>
          <w:kern w:val="0"/>
          <w:szCs w:val="21"/>
          <w:highlight w:val="none"/>
          <w:lang w:val="en-US" w:eastAsia="zh-CN"/>
        </w:rPr>
        <w:t>7</w:t>
      </w:r>
      <w:r>
        <w:rPr>
          <w:rFonts w:hint="eastAsia" w:ascii="宋体" w:hAnsi="宋体" w:eastAsia="宋体" w:cs="宋体"/>
          <w:b/>
          <w:bCs/>
          <w:color w:val="auto"/>
          <w:kern w:val="0"/>
          <w:szCs w:val="21"/>
          <w:highlight w:val="none"/>
        </w:rPr>
        <w:t>日</w:t>
      </w:r>
      <w:r>
        <w:rPr>
          <w:rFonts w:hint="eastAsia" w:ascii="宋体" w:hAnsi="宋体" w:eastAsia="宋体" w:cs="宋体"/>
          <w:color w:val="auto"/>
          <w:szCs w:val="21"/>
          <w:highlight w:val="none"/>
        </w:rPr>
        <w:t>，每天上午</w:t>
      </w:r>
      <w:r>
        <w:rPr>
          <w:rFonts w:hint="eastAsia" w:ascii="宋体" w:hAnsi="宋体" w:eastAsia="宋体" w:cs="宋体"/>
          <w:color w:val="auto"/>
          <w:szCs w:val="21"/>
          <w:highlight w:val="none"/>
          <w:lang w:val="en-US" w:eastAsia="zh-CN"/>
        </w:rPr>
        <w:t>00</w:t>
      </w:r>
      <w:r>
        <w:rPr>
          <w:rFonts w:hint="eastAsia" w:ascii="宋体" w:hAnsi="宋体" w:eastAsia="宋体" w:cs="宋体"/>
          <w:color w:val="auto"/>
          <w:szCs w:val="21"/>
          <w:highlight w:val="none"/>
        </w:rPr>
        <w:t>:00至12:00下午12:00至23:</w:t>
      </w:r>
      <w:r>
        <w:rPr>
          <w:rFonts w:hint="eastAsia" w:ascii="宋体" w:hAnsi="宋体" w:eastAsia="宋体" w:cs="宋体"/>
          <w:color w:val="auto"/>
          <w:szCs w:val="21"/>
          <w:highlight w:val="none"/>
          <w:lang w:val="en-US" w:eastAsia="zh-CN"/>
        </w:rPr>
        <w:t>59</w:t>
      </w:r>
      <w:r>
        <w:rPr>
          <w:rFonts w:hint="eastAsia" w:ascii="宋体" w:hAnsi="宋体" w:eastAsia="宋体" w:cs="宋体"/>
          <w:color w:val="auto"/>
          <w:szCs w:val="21"/>
          <w:highlight w:val="none"/>
        </w:rPr>
        <w:t>（北京时间，法定节假日除外。）</w:t>
      </w:r>
    </w:p>
    <w:p>
      <w:pPr>
        <w:keepNext w:val="0"/>
        <w:keepLines w:val="0"/>
        <w:pageBreakBefore w:val="0"/>
        <w:widowControl w:val="0"/>
        <w:kinsoku/>
        <w:wordWrap/>
        <w:overflowPunct/>
        <w:topLinePunct w:val="0"/>
        <w:bidi w:val="0"/>
        <w:spacing w:line="500" w:lineRule="exact"/>
        <w:ind w:firstLine="420"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地点：焦作市公共资源交易中心网站；</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方式：本项目采用电子开评标（不见面开标），凡有意参加本项目的，请登陆焦作市公共资源交易中心网站会员系统进行网上下载磋商文件；</w:t>
      </w:r>
    </w:p>
    <w:p>
      <w:pPr>
        <w:keepNext w:val="0"/>
        <w:keepLines w:val="0"/>
        <w:pageBreakBefore w:val="0"/>
        <w:widowControl w:val="0"/>
        <w:kinsoku/>
        <w:wordWrap/>
        <w:overflowPunct/>
        <w:topLinePunct w:val="0"/>
        <w:bidi w:val="0"/>
        <w:spacing w:line="500" w:lineRule="exact"/>
        <w:ind w:firstLine="420" w:firstLineChars="200"/>
        <w:textAlignment w:val="auto"/>
        <w:outlineLvl w:val="2"/>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售价：0元。</w:t>
      </w:r>
    </w:p>
    <w:p>
      <w:pPr>
        <w:keepNext w:val="0"/>
        <w:keepLines w:val="0"/>
        <w:pageBreakBefore w:val="0"/>
        <w:widowControl w:val="0"/>
        <w:kinsoku/>
        <w:wordWrap/>
        <w:overflowPunct/>
        <w:topLinePunct w:val="0"/>
        <w:bidi w:val="0"/>
        <w:spacing w:line="500" w:lineRule="exact"/>
        <w:ind w:firstLine="420" w:firstLineChars="200"/>
        <w:textAlignment w:val="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w:t>
      </w:r>
      <w:r>
        <w:rPr>
          <w:rFonts w:hint="eastAsia" w:ascii="宋体" w:hAnsi="宋体" w:eastAsia="宋体" w:cs="宋体"/>
          <w:color w:val="auto"/>
          <w:szCs w:val="21"/>
          <w:highlight w:val="none"/>
          <w:lang w:eastAsia="zh-CN"/>
        </w:rPr>
        <w:t>响应性文件</w:t>
      </w:r>
      <w:r>
        <w:rPr>
          <w:rFonts w:hint="eastAsia" w:ascii="宋体" w:hAnsi="宋体" w:eastAsia="宋体" w:cs="宋体"/>
          <w:color w:val="auto"/>
          <w:szCs w:val="21"/>
          <w:highlight w:val="none"/>
        </w:rPr>
        <w:t>提交</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1.截</w:t>
      </w:r>
      <w:r>
        <w:rPr>
          <w:rFonts w:hint="eastAsia" w:ascii="宋体" w:hAnsi="宋体" w:eastAsia="宋体" w:cs="宋体"/>
          <w:color w:val="auto"/>
          <w:sz w:val="21"/>
          <w:szCs w:val="21"/>
          <w:highlight w:val="none"/>
          <w:lang w:eastAsia="zh-CN"/>
        </w:rPr>
        <w:t>止</w:t>
      </w:r>
      <w:r>
        <w:rPr>
          <w:rFonts w:hint="eastAsia" w:ascii="宋体" w:hAnsi="宋体" w:eastAsia="宋体" w:cs="宋体"/>
          <w:color w:val="auto"/>
          <w:sz w:val="21"/>
          <w:szCs w:val="21"/>
          <w:highlight w:val="none"/>
        </w:rPr>
        <w:t>时间：</w:t>
      </w:r>
      <w:r>
        <w:rPr>
          <w:rFonts w:hint="eastAsia" w:ascii="宋体" w:hAnsi="宋体" w:cs="宋体"/>
          <w:b/>
          <w:bCs/>
          <w:color w:val="auto"/>
          <w:kern w:val="0"/>
          <w:sz w:val="21"/>
          <w:szCs w:val="21"/>
          <w:highlight w:val="none"/>
          <w:lang w:val="en-US" w:eastAsia="zh-CN"/>
        </w:rPr>
        <w:t>2026</w:t>
      </w:r>
      <w:r>
        <w:rPr>
          <w:rFonts w:hint="eastAsia" w:ascii="宋体" w:hAnsi="宋体" w:eastAsia="宋体" w:cs="宋体"/>
          <w:b/>
          <w:bCs/>
          <w:color w:val="auto"/>
          <w:kern w:val="0"/>
          <w:sz w:val="21"/>
          <w:szCs w:val="21"/>
          <w:highlight w:val="none"/>
          <w:lang w:val="en-US" w:eastAsia="zh-CN"/>
        </w:rPr>
        <w:t>年</w:t>
      </w:r>
      <w:r>
        <w:rPr>
          <w:rFonts w:hint="eastAsia" w:ascii="宋体" w:hAnsi="宋体" w:cs="宋体"/>
          <w:b/>
          <w:bCs/>
          <w:color w:val="auto"/>
          <w:kern w:val="0"/>
          <w:sz w:val="21"/>
          <w:szCs w:val="21"/>
          <w:highlight w:val="none"/>
          <w:lang w:val="en-US" w:eastAsia="zh-CN"/>
        </w:rPr>
        <w:t xml:space="preserve"> 8</w:t>
      </w:r>
      <w:r>
        <w:rPr>
          <w:rFonts w:hint="eastAsia" w:ascii="宋体" w:hAnsi="宋体" w:eastAsia="宋体" w:cs="宋体"/>
          <w:b/>
          <w:bCs/>
          <w:color w:val="auto"/>
          <w:kern w:val="0"/>
          <w:sz w:val="21"/>
          <w:szCs w:val="21"/>
          <w:highlight w:val="none"/>
          <w:lang w:val="en-US" w:eastAsia="zh-CN"/>
        </w:rPr>
        <w:t>月</w:t>
      </w:r>
      <w:r>
        <w:rPr>
          <w:rFonts w:hint="eastAsia" w:ascii="宋体" w:hAnsi="宋体" w:cs="宋体"/>
          <w:b/>
          <w:bCs/>
          <w:color w:val="auto"/>
          <w:kern w:val="0"/>
          <w:sz w:val="21"/>
          <w:szCs w:val="21"/>
          <w:highlight w:val="none"/>
          <w:lang w:val="en-US" w:eastAsia="zh-CN"/>
        </w:rPr>
        <w:t>14</w:t>
      </w:r>
      <w:r>
        <w:rPr>
          <w:rFonts w:hint="eastAsia" w:ascii="宋体" w:hAnsi="宋体" w:eastAsia="宋体" w:cs="宋体"/>
          <w:b/>
          <w:bCs/>
          <w:color w:val="auto"/>
          <w:kern w:val="0"/>
          <w:sz w:val="21"/>
          <w:szCs w:val="21"/>
          <w:highlight w:val="none"/>
          <w:lang w:val="en-US" w:eastAsia="zh-CN"/>
        </w:rPr>
        <w:t>日</w:t>
      </w:r>
      <w:r>
        <w:rPr>
          <w:rFonts w:hint="eastAsia" w:ascii="宋体" w:hAnsi="宋体" w:cs="宋体"/>
          <w:b/>
          <w:bCs/>
          <w:color w:val="auto"/>
          <w:kern w:val="0"/>
          <w:sz w:val="21"/>
          <w:szCs w:val="21"/>
          <w:highlight w:val="none"/>
          <w:lang w:val="en-US" w:eastAsia="zh-CN"/>
        </w:rPr>
        <w:t xml:space="preserve"> 8 </w:t>
      </w:r>
      <w:r>
        <w:rPr>
          <w:rFonts w:hint="eastAsia" w:ascii="宋体" w:hAnsi="宋体" w:eastAsia="宋体" w:cs="宋体"/>
          <w:b/>
          <w:bCs/>
          <w:color w:val="auto"/>
          <w:kern w:val="0"/>
          <w:sz w:val="21"/>
          <w:szCs w:val="21"/>
          <w:highlight w:val="none"/>
          <w:lang w:val="en-US" w:eastAsia="zh-CN"/>
        </w:rPr>
        <w:t>时</w:t>
      </w:r>
      <w:r>
        <w:rPr>
          <w:rFonts w:hint="eastAsia" w:ascii="宋体" w:hAnsi="宋体" w:cs="宋体"/>
          <w:b/>
          <w:bCs/>
          <w:color w:val="auto"/>
          <w:kern w:val="0"/>
          <w:sz w:val="21"/>
          <w:szCs w:val="21"/>
          <w:highlight w:val="none"/>
          <w:lang w:val="en-US" w:eastAsia="zh-CN"/>
        </w:rPr>
        <w:t xml:space="preserve"> 30</w:t>
      </w:r>
      <w:r>
        <w:rPr>
          <w:rFonts w:hint="eastAsia" w:ascii="宋体" w:hAnsi="宋体" w:eastAsia="宋体" w:cs="宋体"/>
          <w:b/>
          <w:bCs/>
          <w:color w:val="auto"/>
          <w:kern w:val="0"/>
          <w:sz w:val="21"/>
          <w:szCs w:val="21"/>
          <w:highlight w:val="none"/>
          <w:lang w:val="en-US" w:eastAsia="zh-CN"/>
        </w:rPr>
        <w:t>分</w:t>
      </w:r>
      <w:r>
        <w:rPr>
          <w:rFonts w:hint="eastAsia" w:ascii="宋体" w:hAnsi="宋体" w:eastAsia="宋体" w:cs="宋体"/>
          <w:color w:val="auto"/>
          <w:sz w:val="21"/>
          <w:szCs w:val="21"/>
          <w:highlight w:val="none"/>
        </w:rPr>
        <w:t>（北京时间）</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2.地点：焦作市公共资源交易中心网站会员系统</w:t>
      </w:r>
    </w:p>
    <w:p>
      <w:pPr>
        <w:keepNext w:val="0"/>
        <w:keepLines w:val="0"/>
        <w:pageBreakBefore w:val="0"/>
        <w:widowControl w:val="0"/>
        <w:kinsoku/>
        <w:wordWrap/>
        <w:overflowPunct/>
        <w:topLinePunct w:val="0"/>
        <w:bidi w:val="0"/>
        <w:spacing w:line="50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r>
        <w:rPr>
          <w:rFonts w:hint="eastAsia" w:ascii="宋体" w:hAnsi="宋体" w:eastAsia="宋体" w:cs="宋体"/>
          <w:color w:val="auto"/>
          <w:sz w:val="21"/>
          <w:szCs w:val="21"/>
          <w:highlight w:val="none"/>
          <w:lang w:eastAsia="zh-CN"/>
        </w:rPr>
        <w:t>响应性文件</w:t>
      </w:r>
      <w:r>
        <w:rPr>
          <w:rFonts w:hint="eastAsia" w:ascii="宋体" w:hAnsi="宋体" w:eastAsia="宋体" w:cs="宋体"/>
          <w:color w:val="auto"/>
          <w:sz w:val="21"/>
          <w:szCs w:val="21"/>
          <w:highlight w:val="none"/>
        </w:rPr>
        <w:t>开启</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时间：</w:t>
      </w:r>
      <w:r>
        <w:rPr>
          <w:rFonts w:hint="eastAsia" w:ascii="宋体" w:hAnsi="宋体" w:cs="宋体"/>
          <w:b/>
          <w:bCs/>
          <w:color w:val="auto"/>
          <w:kern w:val="0"/>
          <w:sz w:val="21"/>
          <w:szCs w:val="21"/>
          <w:highlight w:val="none"/>
          <w:lang w:val="en-US" w:eastAsia="zh-CN"/>
        </w:rPr>
        <w:t>2026</w:t>
      </w:r>
      <w:r>
        <w:rPr>
          <w:rFonts w:hint="eastAsia" w:ascii="宋体" w:hAnsi="宋体" w:eastAsia="宋体" w:cs="宋体"/>
          <w:b/>
          <w:bCs/>
          <w:color w:val="auto"/>
          <w:kern w:val="0"/>
          <w:sz w:val="21"/>
          <w:szCs w:val="21"/>
          <w:highlight w:val="none"/>
          <w:lang w:val="en-US" w:eastAsia="zh-CN"/>
        </w:rPr>
        <w:t>年</w:t>
      </w:r>
      <w:r>
        <w:rPr>
          <w:rFonts w:hint="eastAsia" w:ascii="宋体" w:hAnsi="宋体" w:cs="宋体"/>
          <w:b/>
          <w:bCs/>
          <w:color w:val="auto"/>
          <w:kern w:val="0"/>
          <w:sz w:val="21"/>
          <w:szCs w:val="21"/>
          <w:highlight w:val="none"/>
          <w:lang w:val="en-US" w:eastAsia="zh-CN"/>
        </w:rPr>
        <w:t xml:space="preserve">8 </w:t>
      </w:r>
      <w:r>
        <w:rPr>
          <w:rFonts w:hint="eastAsia" w:ascii="宋体" w:hAnsi="宋体" w:eastAsia="宋体" w:cs="宋体"/>
          <w:b/>
          <w:bCs/>
          <w:color w:val="auto"/>
          <w:kern w:val="0"/>
          <w:sz w:val="21"/>
          <w:szCs w:val="21"/>
          <w:highlight w:val="none"/>
          <w:lang w:val="en-US" w:eastAsia="zh-CN"/>
        </w:rPr>
        <w:t>月</w:t>
      </w:r>
      <w:r>
        <w:rPr>
          <w:rFonts w:hint="eastAsia" w:ascii="宋体" w:hAnsi="宋体" w:cs="宋体"/>
          <w:b/>
          <w:bCs/>
          <w:color w:val="auto"/>
          <w:kern w:val="0"/>
          <w:sz w:val="21"/>
          <w:szCs w:val="21"/>
          <w:highlight w:val="none"/>
          <w:lang w:val="en-US" w:eastAsia="zh-CN"/>
        </w:rPr>
        <w:t>14</w:t>
      </w:r>
      <w:r>
        <w:rPr>
          <w:rFonts w:hint="eastAsia" w:ascii="宋体" w:hAnsi="宋体" w:eastAsia="宋体" w:cs="宋体"/>
          <w:b/>
          <w:bCs/>
          <w:color w:val="auto"/>
          <w:kern w:val="0"/>
          <w:sz w:val="21"/>
          <w:szCs w:val="21"/>
          <w:highlight w:val="none"/>
          <w:lang w:val="en-US" w:eastAsia="zh-CN"/>
        </w:rPr>
        <w:t>日</w:t>
      </w:r>
      <w:r>
        <w:rPr>
          <w:rFonts w:hint="eastAsia" w:ascii="宋体" w:hAnsi="宋体" w:cs="宋体"/>
          <w:b/>
          <w:bCs/>
          <w:color w:val="auto"/>
          <w:kern w:val="0"/>
          <w:sz w:val="21"/>
          <w:szCs w:val="21"/>
          <w:highlight w:val="none"/>
          <w:lang w:val="en-US" w:eastAsia="zh-CN"/>
        </w:rPr>
        <w:t>8</w:t>
      </w:r>
      <w:r>
        <w:rPr>
          <w:rFonts w:hint="eastAsia" w:ascii="宋体" w:hAnsi="宋体" w:eastAsia="宋体" w:cs="宋体"/>
          <w:b/>
          <w:bCs/>
          <w:color w:val="auto"/>
          <w:kern w:val="0"/>
          <w:sz w:val="21"/>
          <w:szCs w:val="21"/>
          <w:highlight w:val="none"/>
          <w:lang w:val="en-US" w:eastAsia="zh-CN"/>
        </w:rPr>
        <w:t>时</w:t>
      </w:r>
      <w:r>
        <w:rPr>
          <w:rFonts w:hint="eastAsia" w:ascii="宋体" w:hAnsi="宋体" w:cs="宋体"/>
          <w:b/>
          <w:bCs/>
          <w:color w:val="auto"/>
          <w:kern w:val="0"/>
          <w:sz w:val="21"/>
          <w:szCs w:val="21"/>
          <w:highlight w:val="none"/>
          <w:lang w:val="en-US" w:eastAsia="zh-CN"/>
        </w:rPr>
        <w:t>30</w:t>
      </w:r>
      <w:r>
        <w:rPr>
          <w:rFonts w:hint="eastAsia" w:ascii="宋体" w:hAnsi="宋体" w:eastAsia="宋体" w:cs="宋体"/>
          <w:b/>
          <w:bCs/>
          <w:color w:val="auto"/>
          <w:kern w:val="0"/>
          <w:sz w:val="21"/>
          <w:szCs w:val="21"/>
          <w:highlight w:val="none"/>
          <w:lang w:val="en-US" w:eastAsia="zh-CN"/>
        </w:rPr>
        <w:t>分</w:t>
      </w:r>
      <w:r>
        <w:rPr>
          <w:rFonts w:hint="eastAsia" w:ascii="宋体" w:hAnsi="宋体" w:eastAsia="宋体" w:cs="宋体"/>
          <w:color w:val="auto"/>
          <w:sz w:val="21"/>
          <w:szCs w:val="21"/>
          <w:highlight w:val="none"/>
        </w:rPr>
        <w:t>（北京时间）</w:t>
      </w:r>
    </w:p>
    <w:p>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地点：</w:t>
      </w:r>
      <w:r>
        <w:rPr>
          <w:rFonts w:hint="eastAsia" w:ascii="宋体" w:hAnsi="宋体" w:eastAsia="宋体" w:cs="宋体"/>
          <w:color w:val="auto"/>
          <w:sz w:val="24"/>
          <w:szCs w:val="24"/>
          <w:highlight w:val="none"/>
          <w:lang w:val="en-US" w:eastAsia="zh-CN"/>
        </w:rPr>
        <w:t>沁阳市公共资源交易中心（沁阳市太行大道朱载堉文化艺术中心南配楼东幢）二楼开标室。</w:t>
      </w:r>
    </w:p>
    <w:p>
      <w:pPr>
        <w:keepNext w:val="0"/>
        <w:keepLines w:val="0"/>
        <w:pageBreakBefore w:val="0"/>
        <w:widowControl w:val="0"/>
        <w:kinsoku/>
        <w:wordWrap/>
        <w:overflowPunct/>
        <w:topLinePunct w:val="0"/>
        <w:bidi w:val="0"/>
        <w:spacing w:line="50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六、发布公告的媒介及公告期限</w:t>
      </w:r>
    </w:p>
    <w:p>
      <w:pPr>
        <w:keepNext w:val="0"/>
        <w:keepLines w:val="0"/>
        <w:pageBreakBefore w:val="0"/>
        <w:widowControl/>
        <w:kinsoku w:val="0"/>
        <w:wordWrap/>
        <w:overflowPunct/>
        <w:topLinePunct w:val="0"/>
        <w:autoSpaceDE w:val="0"/>
        <w:autoSpaceDN w:val="0"/>
        <w:bidi w:val="0"/>
        <w:adjustRightInd w:val="0"/>
        <w:snapToGrid w:val="0"/>
        <w:spacing w:line="440" w:lineRule="exact"/>
        <w:ind w:firstLine="420" w:firstLineChars="200"/>
        <w:textAlignment w:val="baseline"/>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本次招标公告在《中国招标投标公共服务平台》《河南省政府采购网》《焦作市政府采购网》《焦作市公共资源交易中心网》《沁阳市公共资源交易中心网》上发布。招标公告期限为五个工作日。</w:t>
      </w:r>
    </w:p>
    <w:p>
      <w:pPr>
        <w:keepNext w:val="0"/>
        <w:keepLines w:val="0"/>
        <w:pageBreakBefore w:val="0"/>
        <w:widowControl w:val="0"/>
        <w:kinsoku/>
        <w:wordWrap/>
        <w:overflowPunct/>
        <w:topLinePunct w:val="0"/>
        <w:bidi w:val="0"/>
        <w:spacing w:line="50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七、其他补充事宜</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提醒：本项目采用“远程不见面”的开标方式。供应商无需到沁阳市公共资源交易中心现场参加磋商会议，无需到达现场提交原件资料。供应商应当投标截止前，登录远程开标大厅，在线准时参加磋商活动并进行文件解密、答疑澄清等。在规定时间内响应性文件未解密的供应商，视为放弃投标。</w:t>
      </w:r>
    </w:p>
    <w:p>
      <w:pPr>
        <w:keepNext w:val="0"/>
        <w:keepLines w:val="0"/>
        <w:pageBreakBefore w:val="0"/>
        <w:widowControl w:val="0"/>
        <w:kinsoku/>
        <w:wordWrap/>
        <w:overflowPunct/>
        <w:topLinePunct w:val="0"/>
        <w:bidi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特别提醒：</w:t>
      </w:r>
      <w:r>
        <w:rPr>
          <w:rFonts w:hint="eastAsia" w:ascii="宋体" w:hAnsi="宋体" w:eastAsia="宋体" w:cs="宋体"/>
          <w:color w:val="auto"/>
          <w:sz w:val="21"/>
          <w:szCs w:val="21"/>
          <w:highlight w:val="none"/>
        </w:rPr>
        <w:t>本项目采用不见面开标方式和全程电子化评标的方式进行，潜在供应商可提前在焦作市交易中心官网首页---下载中心--下载《焦作市电子招投标系统操作手册》和《焦作市公共资源交易平台不见面开标操作手册》、《响应性文件制作工作工具》等，查看操作说明，按要求进行响应性文件制作和上传等。为避免网络拥堵等不可控因素影响响应性文件的上传，请提前上传响应性文件，并在开标截止时间前登录不见面开标大厅，开标大厅网址（http://ggzy.jiaozuo.gov.cn/BidOpeningHall/bidhall/default/login ）</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http://222.143.135.34:7890/BidOpeningHall/bidhall/default/login），按要求解密响应性文件。因文件未及时上传导致投标失败的责任由供应商自行承担。具体要求详见竞争性磋商文件。技术支持请联系：平台统一技术服务电话为：400-998-0000、服务时间：周一至周日8：00-17：30。</w:t>
      </w:r>
    </w:p>
    <w:p>
      <w:pPr>
        <w:keepNext w:val="0"/>
        <w:keepLines w:val="0"/>
        <w:pageBreakBefore w:val="0"/>
        <w:widowControl w:val="0"/>
        <w:kinsoku/>
        <w:wordWrap/>
        <w:overflowPunct/>
        <w:topLinePunct w:val="0"/>
        <w:bidi w:val="0"/>
        <w:spacing w:line="500" w:lineRule="exact"/>
        <w:ind w:firstLine="420" w:firstLineChars="200"/>
        <w:textAlignment w:val="auto"/>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八、凡对本次</w:t>
      </w:r>
      <w:r>
        <w:rPr>
          <w:rFonts w:hint="eastAsia" w:ascii="宋体" w:hAnsi="宋体" w:eastAsia="宋体" w:cs="宋体"/>
          <w:color w:val="auto"/>
          <w:sz w:val="21"/>
          <w:szCs w:val="21"/>
          <w:highlight w:val="none"/>
          <w:lang w:eastAsia="zh-CN"/>
        </w:rPr>
        <w:t>竞争性磋商</w:t>
      </w:r>
      <w:r>
        <w:rPr>
          <w:rFonts w:hint="eastAsia" w:ascii="宋体" w:hAnsi="宋体" w:eastAsia="宋体" w:cs="宋体"/>
          <w:color w:val="auto"/>
          <w:sz w:val="21"/>
          <w:szCs w:val="21"/>
          <w:highlight w:val="none"/>
        </w:rPr>
        <w:t>提出询问，请按照以下方式联系</w:t>
      </w:r>
    </w:p>
    <w:p>
      <w:pPr>
        <w:keepNext w:val="0"/>
        <w:keepLines w:val="0"/>
        <w:pageBreakBefore w:val="0"/>
        <w:widowControl w:val="0"/>
        <w:kinsoku/>
        <w:wordWrap/>
        <w:overflowPunct/>
        <w:topLinePunct w:val="0"/>
        <w:bidi w:val="0"/>
        <w:spacing w:line="500" w:lineRule="exact"/>
        <w:ind w:firstLine="420" w:firstLineChars="200"/>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1、采购人信息</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cs="宋体"/>
          <w:color w:val="auto"/>
          <w:sz w:val="21"/>
          <w:szCs w:val="21"/>
          <w:highlight w:val="none"/>
          <w:lang w:eastAsia="zh-CN"/>
        </w:rPr>
        <w:t>沁阳市常平中心幼儿园</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地址：沁阳市西万镇校尉营村小学东50米</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eastAsia="zh-CN"/>
        </w:rPr>
        <w:t xml:space="preserve"> </w:t>
      </w:r>
      <w:r>
        <w:rPr>
          <w:rFonts w:hint="eastAsia" w:ascii="宋体" w:hAnsi="宋体" w:eastAsia="宋体" w:cs="宋体"/>
          <w:color w:val="auto"/>
          <w:sz w:val="21"/>
          <w:szCs w:val="21"/>
          <w:highlight w:val="none"/>
          <w:lang w:val="en-US" w:eastAsia="zh-CN"/>
        </w:rPr>
        <w:t xml:space="preserve">陈菲菲 </w:t>
      </w:r>
    </w:p>
    <w:p>
      <w:pPr>
        <w:keepNext w:val="0"/>
        <w:keepLines w:val="0"/>
        <w:pageBreakBefore w:val="0"/>
        <w:widowControl w:val="0"/>
        <w:kinsoku/>
        <w:wordWrap/>
        <w:overflowPunct/>
        <w:topLinePunct w:val="0"/>
        <w:bidi w:val="0"/>
        <w:spacing w:line="50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val="en-US" w:eastAsia="zh-CN"/>
        </w:rPr>
        <w:t xml:space="preserve">15838995520  </w:t>
      </w:r>
    </w:p>
    <w:p>
      <w:pPr>
        <w:keepNext w:val="0"/>
        <w:keepLines w:val="0"/>
        <w:pageBreakBefore w:val="0"/>
        <w:widowControl w:val="0"/>
        <w:kinsoku/>
        <w:wordWrap/>
        <w:overflowPunct/>
        <w:topLinePunct w:val="0"/>
        <w:bidi w:val="0"/>
        <w:spacing w:line="500" w:lineRule="exact"/>
        <w:ind w:firstLine="420" w:firstLineChars="200"/>
        <w:textAlignment w:val="auto"/>
        <w:outlineLvl w:val="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代理机构信息</w:t>
      </w:r>
      <w:r>
        <w:rPr>
          <w:rFonts w:hint="eastAsia" w:ascii="宋体" w:hAnsi="宋体" w:eastAsia="宋体" w:cs="宋体"/>
          <w:color w:val="auto"/>
          <w:sz w:val="21"/>
          <w:szCs w:val="21"/>
          <w:highlight w:val="none"/>
          <w:lang w:eastAsia="zh-CN"/>
        </w:rPr>
        <w:t>（如有）</w:t>
      </w:r>
    </w:p>
    <w:p>
      <w:pPr>
        <w:keepNext w:val="0"/>
        <w:keepLines w:val="0"/>
        <w:pageBreakBefore w:val="0"/>
        <w:widowControl w:val="0"/>
        <w:kinsoku/>
        <w:wordWrap/>
        <w:overflowPunct/>
        <w:topLinePunct w:val="0"/>
        <w:bidi w:val="0"/>
        <w:spacing w:line="500" w:lineRule="exact"/>
        <w:ind w:firstLine="420" w:firstLineChars="200"/>
        <w:textAlignment w:val="auto"/>
        <w:outlineLvl w:val="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代理机构：</w:t>
      </w:r>
      <w:r>
        <w:rPr>
          <w:rFonts w:hint="eastAsia" w:ascii="宋体" w:hAnsi="宋体" w:cs="宋体"/>
          <w:color w:val="auto"/>
          <w:sz w:val="21"/>
          <w:szCs w:val="21"/>
          <w:highlight w:val="none"/>
          <w:lang w:eastAsia="zh-CN"/>
        </w:rPr>
        <w:t>河南惠德工程咨询有限公司</w:t>
      </w:r>
    </w:p>
    <w:p>
      <w:pPr>
        <w:keepNext w:val="0"/>
        <w:keepLines w:val="0"/>
        <w:pageBreakBefore w:val="0"/>
        <w:widowControl w:val="0"/>
        <w:kinsoku/>
        <w:wordWrap/>
        <w:overflowPunct/>
        <w:topLinePunct w:val="0"/>
        <w:bidi w:val="0"/>
        <w:spacing w:line="500" w:lineRule="exact"/>
        <w:ind w:firstLine="420" w:firstLineChars="200"/>
        <w:textAlignment w:val="auto"/>
        <w:outlineLvl w:val="2"/>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河南省焦作市山阳区太极体育中心连廊</w:t>
      </w:r>
      <w:r>
        <w:rPr>
          <w:rFonts w:hint="eastAsia" w:ascii="宋体" w:hAnsi="宋体" w:eastAsia="宋体" w:cs="宋体"/>
          <w:color w:val="auto"/>
          <w:sz w:val="21"/>
          <w:szCs w:val="21"/>
          <w:highlight w:val="none"/>
          <w:lang w:val="en-US" w:eastAsia="zh-CN"/>
        </w:rPr>
        <w:t>42号</w:t>
      </w:r>
    </w:p>
    <w:p>
      <w:pPr>
        <w:keepNext w:val="0"/>
        <w:keepLines w:val="0"/>
        <w:pageBreakBefore w:val="0"/>
        <w:widowControl w:val="0"/>
        <w:kinsoku/>
        <w:wordWrap/>
        <w:overflowPunct/>
        <w:topLinePunct w:val="0"/>
        <w:bidi w:val="0"/>
        <w:spacing w:line="500" w:lineRule="exact"/>
        <w:ind w:firstLine="420" w:firstLineChars="200"/>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eastAsia="zh-CN"/>
        </w:rPr>
        <w:t>史思涵</w:t>
      </w:r>
      <w:r>
        <w:rPr>
          <w:rFonts w:hint="eastAsia" w:ascii="宋体" w:hAnsi="宋体" w:eastAsia="宋体" w:cs="宋体"/>
          <w:color w:val="auto"/>
          <w:sz w:val="21"/>
          <w:szCs w:val="21"/>
          <w:highlight w:val="none"/>
        </w:rPr>
        <w:t xml:space="preserve">   </w:t>
      </w:r>
    </w:p>
    <w:p>
      <w:pPr>
        <w:keepNext w:val="0"/>
        <w:keepLines w:val="0"/>
        <w:pageBreakBefore w:val="0"/>
        <w:widowControl w:val="0"/>
        <w:kinsoku/>
        <w:wordWrap/>
        <w:overflowPunct/>
        <w:topLinePunct w:val="0"/>
        <w:bidi w:val="0"/>
        <w:spacing w:line="500" w:lineRule="exact"/>
        <w:ind w:firstLine="420" w:firstLineChars="200"/>
        <w:textAlignment w:val="auto"/>
        <w:outlineLvl w:val="2"/>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电话：</w:t>
      </w:r>
      <w:r>
        <w:rPr>
          <w:rFonts w:hint="eastAsia" w:ascii="宋体" w:hAnsi="宋体" w:cs="宋体"/>
          <w:color w:val="auto"/>
          <w:sz w:val="21"/>
          <w:szCs w:val="21"/>
          <w:highlight w:val="none"/>
          <w:lang w:val="en-US" w:eastAsia="zh-CN"/>
        </w:rPr>
        <w:t>15517779278</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3、项目联系方式</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陈菲菲</w:t>
      </w: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val="en-US" w:eastAsia="zh-CN"/>
        </w:rPr>
        <w:t xml:space="preserve">15838995520  </w:t>
      </w:r>
    </w:p>
    <w:p>
      <w:pPr>
        <w:keepNext w:val="0"/>
        <w:keepLines w:val="0"/>
        <w:pageBreakBefore w:val="0"/>
        <w:widowControl w:val="0"/>
        <w:kinsoku/>
        <w:wordWrap/>
        <w:overflowPunct/>
        <w:topLinePunct w:val="0"/>
        <w:bidi w:val="0"/>
        <w:spacing w:line="500" w:lineRule="exact"/>
        <w:ind w:firstLine="420" w:firstLineChars="200"/>
        <w:textAlignment w:val="auto"/>
        <w:rPr>
          <w:rFonts w:hint="default" w:ascii="宋体" w:hAnsi="宋体" w:eastAsia="宋体" w:cs="宋体"/>
          <w:color w:val="auto"/>
          <w:sz w:val="21"/>
          <w:szCs w:val="21"/>
          <w:highlight w:val="none"/>
          <w:lang w:val="en-US" w:eastAsia="zh-CN"/>
        </w:rPr>
      </w:pPr>
    </w:p>
    <w:p>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 w:val="21"/>
          <w:szCs w:val="21"/>
          <w:highlight w:val="none"/>
          <w:lang w:val="en-US" w:eastAsia="zh-CN"/>
        </w:rPr>
      </w:pPr>
    </w:p>
    <w:p>
      <w:pPr>
        <w:pStyle w:val="10"/>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bidi w:val="0"/>
        <w:spacing w:line="500" w:lineRule="exact"/>
        <w:ind w:firstLine="420" w:firstLineChars="200"/>
        <w:jc w:val="righ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沁阳市常平中心幼儿园</w:t>
      </w:r>
    </w:p>
    <w:p>
      <w:pPr>
        <w:keepNext w:val="0"/>
        <w:keepLines w:val="0"/>
        <w:pageBreakBefore w:val="0"/>
        <w:widowControl w:val="0"/>
        <w:kinsoku/>
        <w:wordWrap/>
        <w:overflowPunct/>
        <w:topLinePunct w:val="0"/>
        <w:bidi w:val="0"/>
        <w:spacing w:line="500" w:lineRule="exact"/>
        <w:ind w:firstLine="420" w:firstLineChars="200"/>
        <w:jc w:val="right"/>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河南惠德工程咨询有限公司</w:t>
      </w:r>
    </w:p>
    <w:p>
      <w:pPr>
        <w:keepNext w:val="0"/>
        <w:keepLines w:val="0"/>
        <w:pageBreakBefore w:val="0"/>
        <w:widowControl w:val="0"/>
        <w:kinsoku/>
        <w:wordWrap/>
        <w:overflowPunct/>
        <w:topLinePunct w:val="0"/>
        <w:bidi w:val="0"/>
        <w:spacing w:line="500" w:lineRule="exact"/>
        <w:ind w:firstLine="422" w:firstLineChars="200"/>
        <w:jc w:val="right"/>
        <w:textAlignment w:val="auto"/>
        <w:rPr>
          <w:rFonts w:hint="eastAsia" w:ascii="宋体" w:hAnsi="宋体" w:cs="宋体"/>
          <w:b/>
          <w:bCs/>
          <w:color w:val="auto"/>
          <w:kern w:val="0"/>
          <w:sz w:val="21"/>
          <w:szCs w:val="21"/>
          <w:highlight w:val="none"/>
          <w:lang w:val="en-US" w:eastAsia="zh-CN"/>
        </w:rPr>
      </w:pPr>
    </w:p>
    <w:p>
      <w:pPr>
        <w:keepNext w:val="0"/>
        <w:keepLines w:val="0"/>
        <w:pageBreakBefore w:val="0"/>
        <w:widowControl w:val="0"/>
        <w:kinsoku/>
        <w:wordWrap/>
        <w:overflowPunct/>
        <w:topLinePunct w:val="0"/>
        <w:bidi w:val="0"/>
        <w:spacing w:line="500" w:lineRule="exact"/>
        <w:ind w:left="420" w:leftChars="0" w:firstLine="422" w:firstLineChars="200"/>
        <w:jc w:val="right"/>
        <w:textAlignment w:val="auto"/>
        <w:rPr>
          <w:rStyle w:val="43"/>
          <w:rFonts w:hint="eastAsia" w:ascii="Times New Roman" w:hAnsi="Times New Roman" w:eastAsia="宋体" w:cs="Times New Roman"/>
          <w:color w:val="auto"/>
          <w:sz w:val="36"/>
          <w:szCs w:val="36"/>
          <w:highlight w:val="none"/>
          <w:lang w:val="en-US" w:eastAsia="zh-CN" w:bidi="ar-SA"/>
        </w:rPr>
      </w:pPr>
      <w:r>
        <w:rPr>
          <w:rFonts w:hint="eastAsia" w:ascii="宋体" w:hAnsi="宋体" w:cs="宋体"/>
          <w:b/>
          <w:bCs/>
          <w:color w:val="auto"/>
          <w:kern w:val="0"/>
          <w:sz w:val="21"/>
          <w:szCs w:val="21"/>
          <w:highlight w:val="none"/>
          <w:lang w:val="en-US" w:eastAsia="zh-CN"/>
        </w:rPr>
        <w:t xml:space="preserve"> 2026</w:t>
      </w:r>
      <w:r>
        <w:rPr>
          <w:rFonts w:hint="eastAsia" w:ascii="宋体" w:hAnsi="宋体" w:eastAsia="宋体" w:cs="宋体"/>
          <w:b/>
          <w:bCs/>
          <w:color w:val="auto"/>
          <w:kern w:val="0"/>
          <w:sz w:val="21"/>
          <w:szCs w:val="21"/>
          <w:highlight w:val="none"/>
          <w:lang w:val="en-US" w:eastAsia="zh-CN"/>
        </w:rPr>
        <w:t>年</w:t>
      </w:r>
      <w:r>
        <w:rPr>
          <w:rFonts w:hint="eastAsia" w:ascii="宋体" w:hAnsi="宋体" w:cs="宋体"/>
          <w:b/>
          <w:bCs/>
          <w:color w:val="auto"/>
          <w:kern w:val="0"/>
          <w:sz w:val="21"/>
          <w:szCs w:val="21"/>
          <w:highlight w:val="none"/>
          <w:lang w:val="en-US" w:eastAsia="zh-CN"/>
        </w:rPr>
        <w:t>7</w:t>
      </w:r>
      <w:r>
        <w:rPr>
          <w:rFonts w:hint="eastAsia" w:ascii="宋体" w:hAnsi="宋体" w:eastAsia="宋体" w:cs="宋体"/>
          <w:b/>
          <w:bCs/>
          <w:color w:val="auto"/>
          <w:kern w:val="0"/>
          <w:sz w:val="21"/>
          <w:szCs w:val="21"/>
          <w:highlight w:val="none"/>
          <w:lang w:val="en-US" w:eastAsia="zh-CN"/>
        </w:rPr>
        <w:t>月</w:t>
      </w:r>
      <w:r>
        <w:rPr>
          <w:rFonts w:hint="eastAsia" w:ascii="宋体" w:hAnsi="宋体" w:cs="宋体"/>
          <w:b/>
          <w:bCs/>
          <w:color w:val="auto"/>
          <w:kern w:val="0"/>
          <w:sz w:val="21"/>
          <w:szCs w:val="21"/>
          <w:highlight w:val="none"/>
          <w:lang w:val="en-US" w:eastAsia="zh-CN"/>
        </w:rPr>
        <w:t>31</w:t>
      </w:r>
      <w:r>
        <w:rPr>
          <w:rFonts w:hint="eastAsia" w:ascii="宋体" w:hAnsi="宋体" w:eastAsia="宋体" w:cs="宋体"/>
          <w:b/>
          <w:bCs/>
          <w:color w:val="auto"/>
          <w:kern w:val="0"/>
          <w:sz w:val="21"/>
          <w:szCs w:val="21"/>
          <w:highlight w:val="none"/>
          <w:lang w:val="en-US" w:eastAsia="zh-CN"/>
        </w:rPr>
        <w:t>日</w:t>
      </w:r>
      <w:bookmarkStart w:id="2" w:name="_Toc12011"/>
      <w:bookmarkStart w:id="3" w:name="_Toc27072"/>
      <w:bookmarkStart w:id="4" w:name="_Toc6246"/>
      <w:bookmarkStart w:id="5" w:name="_Toc28063"/>
      <w:bookmarkStart w:id="6" w:name="_Toc22759"/>
    </w:p>
    <w:p>
      <w:pPr>
        <w:jc w:val="center"/>
        <w:outlineLvl w:val="0"/>
        <w:rPr>
          <w:rStyle w:val="43"/>
          <w:rFonts w:hint="eastAsia" w:ascii="Times New Roman" w:hAnsi="Times New Roman" w:eastAsia="宋体" w:cs="Times New Roman"/>
          <w:color w:val="auto"/>
          <w:sz w:val="36"/>
          <w:szCs w:val="36"/>
          <w:highlight w:val="none"/>
          <w:lang w:val="en-US" w:eastAsia="zh-CN" w:bidi="ar-SA"/>
        </w:rPr>
      </w:pPr>
      <w:r>
        <w:rPr>
          <w:rStyle w:val="43"/>
          <w:rFonts w:hint="eastAsia" w:ascii="Times New Roman" w:hAnsi="Times New Roman" w:eastAsia="宋体" w:cs="Times New Roman"/>
          <w:color w:val="auto"/>
          <w:sz w:val="36"/>
          <w:szCs w:val="36"/>
          <w:highlight w:val="none"/>
          <w:lang w:val="en-US" w:eastAsia="zh-CN" w:bidi="ar-SA"/>
        </w:rPr>
        <w:t xml:space="preserve">第二章  </w:t>
      </w:r>
      <w:bookmarkStart w:id="7" w:name="_Toc102045546"/>
      <w:bookmarkStart w:id="8" w:name="_Toc3706"/>
      <w:bookmarkStart w:id="9" w:name="_Toc27393"/>
      <w:r>
        <w:rPr>
          <w:rStyle w:val="43"/>
          <w:rFonts w:hint="eastAsia" w:ascii="Times New Roman" w:hAnsi="Times New Roman" w:eastAsia="宋体" w:cs="Times New Roman"/>
          <w:color w:val="auto"/>
          <w:sz w:val="36"/>
          <w:szCs w:val="36"/>
          <w:highlight w:val="none"/>
          <w:lang w:val="en-US" w:eastAsia="zh-CN" w:bidi="ar-SA"/>
        </w:rPr>
        <w:t>供应商须知</w:t>
      </w:r>
      <w:bookmarkEnd w:id="2"/>
      <w:bookmarkEnd w:id="3"/>
      <w:bookmarkEnd w:id="7"/>
      <w:bookmarkEnd w:id="8"/>
      <w:bookmarkEnd w:id="9"/>
    </w:p>
    <w:bookmarkEnd w:id="4"/>
    <w:p>
      <w:pPr>
        <w:pStyle w:val="3"/>
        <w:rPr>
          <w:rFonts w:hint="eastAsia"/>
          <w:b/>
          <w:bCs/>
          <w:color w:val="auto"/>
          <w:sz w:val="24"/>
          <w:szCs w:val="22"/>
          <w:highlight w:val="none"/>
          <w:lang w:eastAsia="zh-CN"/>
        </w:rPr>
      </w:pPr>
      <w:bookmarkStart w:id="10" w:name="_Toc1013"/>
      <w:bookmarkStart w:id="11" w:name="_Toc27722"/>
    </w:p>
    <w:p>
      <w:pPr>
        <w:pStyle w:val="3"/>
        <w:rPr>
          <w:rFonts w:hint="eastAsia"/>
          <w:b/>
          <w:bCs/>
          <w:color w:val="auto"/>
          <w:sz w:val="24"/>
          <w:szCs w:val="22"/>
          <w:highlight w:val="none"/>
        </w:rPr>
      </w:pPr>
      <w:r>
        <w:rPr>
          <w:rFonts w:hint="eastAsia"/>
          <w:b/>
          <w:bCs/>
          <w:color w:val="auto"/>
          <w:sz w:val="24"/>
          <w:szCs w:val="22"/>
          <w:highlight w:val="none"/>
          <w:lang w:eastAsia="zh-CN"/>
        </w:rPr>
        <w:t>一、</w:t>
      </w:r>
      <w:r>
        <w:rPr>
          <w:rFonts w:hint="eastAsia"/>
          <w:b/>
          <w:bCs/>
          <w:color w:val="auto"/>
          <w:sz w:val="24"/>
          <w:szCs w:val="22"/>
          <w:highlight w:val="none"/>
        </w:rPr>
        <w:t>供应商须知前附表</w:t>
      </w:r>
      <w:bookmarkEnd w:id="5"/>
      <w:bookmarkEnd w:id="6"/>
      <w:bookmarkEnd w:id="10"/>
      <w:bookmarkEnd w:id="11"/>
    </w:p>
    <w:tbl>
      <w:tblPr>
        <w:tblStyle w:val="26"/>
        <w:tblpPr w:leftFromText="180" w:rightFromText="180" w:vertAnchor="text" w:horzAnchor="page" w:tblpXSpec="center" w:tblpY="634"/>
        <w:tblOverlap w:val="never"/>
        <w:tblW w:w="94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262"/>
        <w:gridCol w:w="7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jc w:val="center"/>
        </w:trPr>
        <w:tc>
          <w:tcPr>
            <w:tcW w:w="500" w:type="dxa"/>
            <w:tcBorders>
              <w:top w:val="single" w:color="auto" w:sz="4" w:space="0"/>
            </w:tcBorders>
            <w:noWrap w:val="0"/>
            <w:vAlign w:val="center"/>
          </w:tcPr>
          <w:p>
            <w:pPr>
              <w:spacing w:before="156"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262" w:type="dxa"/>
            <w:tcBorders>
              <w:top w:val="single" w:color="auto" w:sz="4" w:space="0"/>
            </w:tcBorders>
            <w:noWrap w:val="0"/>
            <w:vAlign w:val="center"/>
          </w:tcPr>
          <w:p>
            <w:pPr>
              <w:spacing w:before="156"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条款</w:t>
            </w:r>
          </w:p>
        </w:tc>
        <w:tc>
          <w:tcPr>
            <w:tcW w:w="7700" w:type="dxa"/>
            <w:tcBorders>
              <w:top w:val="single" w:color="auto" w:sz="4" w:space="0"/>
            </w:tcBorders>
            <w:noWrap w:val="0"/>
            <w:vAlign w:val="center"/>
          </w:tcPr>
          <w:p>
            <w:pPr>
              <w:spacing w:before="156"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2" w:hRule="atLeast"/>
          <w:jc w:val="center"/>
        </w:trPr>
        <w:tc>
          <w:tcPr>
            <w:tcW w:w="500" w:type="dxa"/>
            <w:noWrap w:val="0"/>
            <w:vAlign w:val="center"/>
          </w:tcPr>
          <w:p>
            <w:pPr>
              <w:spacing w:before="156"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262" w:type="dxa"/>
            <w:noWrap w:val="0"/>
            <w:vAlign w:val="center"/>
          </w:tcPr>
          <w:p>
            <w:pPr>
              <w:spacing w:before="156" w:beforeLines="50" w:line="400" w:lineRule="exact"/>
              <w:ind w:left="947" w:leftChars="-4" w:hanging="955" w:hangingChars="455"/>
              <w:jc w:val="center"/>
              <w:rPr>
                <w:rFonts w:hint="eastAsia" w:ascii="宋体" w:hAnsi="宋体" w:cs="宋体"/>
                <w:color w:val="auto"/>
                <w:szCs w:val="21"/>
                <w:highlight w:val="none"/>
              </w:rPr>
            </w:pPr>
            <w:r>
              <w:rPr>
                <w:rFonts w:hint="eastAsia" w:ascii="宋体" w:hAnsi="宋体" w:cs="宋体"/>
                <w:color w:val="auto"/>
                <w:szCs w:val="21"/>
                <w:highlight w:val="none"/>
              </w:rPr>
              <w:t>项目概况</w:t>
            </w:r>
          </w:p>
        </w:tc>
        <w:tc>
          <w:tcPr>
            <w:tcW w:w="7700" w:type="dxa"/>
            <w:noWrap w:val="0"/>
            <w:vAlign w:val="center"/>
          </w:tcPr>
          <w:p>
            <w:pPr>
              <w:spacing w:line="400" w:lineRule="exact"/>
              <w:rPr>
                <w:rFonts w:hint="eastAsia" w:ascii="宋体" w:hAnsi="宋体" w:eastAsia="宋体" w:cs="宋体"/>
                <w:color w:val="auto"/>
                <w:kern w:val="0"/>
                <w:szCs w:val="21"/>
                <w:highlight w:val="none"/>
                <w:lang w:val="en-US" w:eastAsia="zh-CN"/>
              </w:rPr>
            </w:pPr>
            <w:r>
              <w:rPr>
                <w:rFonts w:hint="eastAsia" w:ascii="宋体" w:hAnsi="宋体" w:cs="宋体"/>
                <w:color w:val="auto"/>
                <w:kern w:val="0"/>
                <w:sz w:val="21"/>
                <w:szCs w:val="21"/>
                <w:lang w:val="en-US" w:eastAsia="zh-CN" w:bidi="ar-SA"/>
              </w:rPr>
              <w:t>1</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lang w:eastAsia="zh-CN"/>
              </w:rPr>
              <w:t>项目名称：沁阳市常平中心幼儿园校尉营分园配套工程项目</w:t>
            </w:r>
            <w:r>
              <w:rPr>
                <w:rFonts w:hint="eastAsia" w:ascii="宋体" w:hAnsi="宋体" w:eastAsia="宋体" w:cs="宋体"/>
                <w:color w:val="auto"/>
                <w:kern w:val="0"/>
                <w:szCs w:val="21"/>
                <w:highlight w:val="none"/>
                <w:lang w:val="en-US" w:eastAsia="zh-CN"/>
              </w:rPr>
              <w:t xml:space="preserve"> </w:t>
            </w:r>
          </w:p>
          <w:p>
            <w:pPr>
              <w:spacing w:line="400" w:lineRule="exac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2</w:t>
            </w:r>
            <w:r>
              <w:rPr>
                <w:rFonts w:hint="eastAsia" w:ascii="宋体" w:hAnsi="宋体" w:eastAsia="宋体" w:cs="宋体"/>
                <w:color w:val="auto"/>
                <w:kern w:val="0"/>
                <w:szCs w:val="21"/>
                <w:highlight w:val="none"/>
                <w:lang w:val="en-US" w:eastAsia="zh-CN"/>
              </w:rPr>
              <w:t>.服务地点：</w:t>
            </w:r>
            <w:r>
              <w:rPr>
                <w:rFonts w:hint="eastAsia" w:ascii="宋体" w:hAnsi="宋体" w:eastAsia="宋体" w:cs="宋体"/>
                <w:color w:val="auto"/>
                <w:sz w:val="21"/>
                <w:szCs w:val="21"/>
                <w:highlight w:val="none"/>
              </w:rPr>
              <w:t>沁阳市西万镇校尉营村</w:t>
            </w:r>
          </w:p>
          <w:p>
            <w:pPr>
              <w:spacing w:line="400" w:lineRule="exac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eastAsia="zh-CN"/>
              </w:rPr>
              <w:t>资金来源：财政资金</w:t>
            </w:r>
          </w:p>
          <w:p>
            <w:pPr>
              <w:spacing w:line="400" w:lineRule="exac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eastAsia="zh-CN"/>
              </w:rPr>
              <w:t>4.</w:t>
            </w:r>
            <w:r>
              <w:rPr>
                <w:rFonts w:hint="eastAsia" w:ascii="宋体" w:hAnsi="宋体" w:eastAsia="宋体" w:cs="宋体"/>
                <w:color w:val="auto"/>
                <w:kern w:val="0"/>
                <w:szCs w:val="21"/>
                <w:highlight w:val="none"/>
                <w:lang w:val="en-US" w:eastAsia="zh-CN"/>
              </w:rPr>
              <w:t>采购人：</w:t>
            </w:r>
            <w:r>
              <w:rPr>
                <w:rFonts w:hint="eastAsia" w:ascii="宋体" w:hAnsi="宋体" w:eastAsia="宋体" w:cs="宋体"/>
                <w:color w:val="auto"/>
                <w:kern w:val="0"/>
                <w:szCs w:val="21"/>
                <w:highlight w:val="none"/>
                <w:lang w:eastAsia="zh-CN"/>
              </w:rPr>
              <w:t>沁阳市常平中心幼儿园</w:t>
            </w:r>
          </w:p>
          <w:p>
            <w:pPr>
              <w:spacing w:line="400" w:lineRule="exact"/>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采购代理机构：河南惠德工程咨询有限公</w:t>
            </w:r>
            <w:r>
              <w:rPr>
                <w:rFonts w:hint="eastAsia" w:ascii="宋体" w:hAnsi="宋体" w:cs="宋体"/>
                <w:color w:val="auto"/>
                <w:kern w:val="0"/>
                <w:szCs w:val="21"/>
                <w:highlight w:val="none"/>
                <w:lang w:eastAsia="zh-CN"/>
              </w:rPr>
              <w:t>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5" w:hRule="atLeast"/>
          <w:jc w:val="center"/>
        </w:trPr>
        <w:tc>
          <w:tcPr>
            <w:tcW w:w="500" w:type="dxa"/>
            <w:noWrap w:val="0"/>
            <w:vAlign w:val="center"/>
          </w:tcPr>
          <w:p>
            <w:pPr>
              <w:spacing w:before="156"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262" w:type="dxa"/>
            <w:noWrap w:val="0"/>
            <w:vAlign w:val="center"/>
          </w:tcPr>
          <w:p>
            <w:pPr>
              <w:spacing w:before="156" w:beforeLines="50" w:line="400" w:lineRule="exact"/>
              <w:ind w:left="-4" w:leftChars="-4" w:hanging="4" w:hangingChars="2"/>
              <w:jc w:val="center"/>
              <w:rPr>
                <w:rFonts w:hint="eastAsia" w:ascii="宋体" w:hAnsi="宋体" w:cs="宋体"/>
                <w:color w:val="auto"/>
                <w:szCs w:val="21"/>
                <w:highlight w:val="none"/>
              </w:rPr>
            </w:pPr>
            <w:r>
              <w:rPr>
                <w:rFonts w:hint="eastAsia" w:ascii="宋体" w:hAnsi="宋体" w:cs="宋体"/>
                <w:color w:val="auto"/>
                <w:szCs w:val="21"/>
                <w:highlight w:val="none"/>
              </w:rPr>
              <w:t>供应商的资格要求</w:t>
            </w:r>
          </w:p>
        </w:tc>
        <w:tc>
          <w:tcPr>
            <w:tcW w:w="7700" w:type="dxa"/>
            <w:noWrap w:val="0"/>
            <w:vAlign w:val="center"/>
          </w:tcPr>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2、落实政府采购政策满足的资格要求：</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shd w:val="clear" w:color="auto" w:fill="FFFFFF"/>
              </w:rPr>
              <w:t>本项目执行促进中小企业发展政策(监狱企业、残疾人福利性企业视同小微企业)等政府采购政策</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bidi w:val="0"/>
              <w:spacing w:line="500" w:lineRule="exact"/>
              <w:textAlignment w:val="auto"/>
              <w:outlineLvl w:val="2"/>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本项目的特定资格要求：</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3.1供应商应具备独立企业法人资格，具有有效的营业执照，法定代表人或主要负责人所在的公司近三年内没有违法违规的行为； </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3.2供应商应具有建设行政主管部门颁发的建筑工程施工总承包三级及以上资质，且具备有效的安全生产许可证，并在人员、设备、资金等方面具备相应的施工能力； </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3.3拟派项目经理要求：具有建筑工程专业二级及以上建造师资格（不含临时）及有效的安全生产考核合格证书（B证）；且未担任其他在建工程项目经理(提供无在建工程承诺函)； 注：本文件所指“在建项目”是指：项目尚未竣工或已中标未开工。如果“在建项目”项目 经理有变更情况的，需在响应性文件中附变更证明材料，否则视为项目经理有“在建项目”； </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 xml:space="preserve">3.4拟派项目技术负责人具有相关专业中级及以上职称； </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3.5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查询渠道：失信被执行人和重大税收违法失信主体(查询网址“信用中国”网站</w:t>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"https://www.creditchina.gov.cn/、"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https://www.creditchina.gov.cn/、</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“中国执行信息公开网”网站</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"https://zxgk.court.gov.cn/)、政府采购严重违法失信行为记录名单(查询网址"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https://zxgk.court.gov.cn/)、政府采购严重违法失信行为记录名单(查询网址</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 xml:space="preserve">“中国政府采购网”网站(http://www.ccgp.gov.cn)。（以采购人或采购代理机构提供磋商当日查询结果为准）； </w:t>
            </w:r>
          </w:p>
          <w:p>
            <w:pPr>
              <w:spacing w:before="171" w:after="0" w:line="240" w:lineRule="auto"/>
              <w:ind w:right="857"/>
              <w:rPr>
                <w:rFonts w:ascii="Times New Roman" w:hAnsi="Times New Roman" w:cs="Times New Roman"/>
                <w:color w:val="010302"/>
              </w:rPr>
            </w:pPr>
            <w:r>
              <w:rPr>
                <w:rFonts w:ascii="宋体" w:hAnsi="宋体" w:cs="宋体"/>
                <w:color w:val="000000"/>
                <w:sz w:val="21"/>
                <w:szCs w:val="21"/>
              </w:rPr>
              <w:t>3.</w:t>
            </w:r>
            <w:r>
              <w:rPr>
                <w:rFonts w:ascii="宋体" w:hAnsi="宋体" w:cs="宋体"/>
                <w:color w:val="000000"/>
                <w:spacing w:val="51"/>
                <w:sz w:val="21"/>
                <w:szCs w:val="21"/>
              </w:rPr>
              <w:t>6</w:t>
            </w:r>
            <w:r>
              <w:rPr>
                <w:rFonts w:ascii="宋体" w:hAnsi="宋体" w:cs="宋体"/>
                <w:color w:val="000000"/>
                <w:sz w:val="21"/>
                <w:szCs w:val="21"/>
              </w:rPr>
              <w:t>供应商必须提供投标承诺函；</w:t>
            </w:r>
            <w:r>
              <w:rPr>
                <w:rFonts w:ascii="Times New Roman" w:hAnsi="Times New Roman" w:cs="Times New Roman"/>
                <w:sz w:val="21"/>
                <w:szCs w:val="21"/>
              </w:rPr>
              <w:t xml:space="preserve"> </w:t>
            </w:r>
          </w:p>
          <w:p>
            <w:pPr>
              <w:keepNext w:val="0"/>
              <w:keepLines w:val="0"/>
              <w:pageBreakBefore w:val="0"/>
              <w:widowControl w:val="0"/>
              <w:kinsoku/>
              <w:wordWrap/>
              <w:overflowPunct/>
              <w:topLinePunct w:val="0"/>
              <w:bidi w:val="0"/>
              <w:spacing w:line="500" w:lineRule="exact"/>
              <w:textAlignment w:val="auto"/>
              <w:outlineLvl w:val="1"/>
              <w:rPr>
                <w:rFonts w:hint="eastAsia"/>
                <w:color w:val="auto"/>
                <w:highlight w:val="none"/>
              </w:rPr>
            </w:pPr>
            <w:r>
              <w:rPr>
                <w:rFonts w:ascii="宋体" w:hAnsi="宋体" w:cs="宋体"/>
                <w:color w:val="000000"/>
                <w:sz w:val="21"/>
                <w:szCs w:val="21"/>
              </w:rPr>
              <w:t>3.</w:t>
            </w:r>
            <w:r>
              <w:rPr>
                <w:rFonts w:ascii="宋体" w:hAnsi="宋体" w:cs="宋体"/>
                <w:color w:val="000000"/>
                <w:spacing w:val="51"/>
                <w:sz w:val="21"/>
                <w:szCs w:val="21"/>
              </w:rPr>
              <w:t>7</w:t>
            </w:r>
            <w:r>
              <w:rPr>
                <w:rFonts w:ascii="宋体" w:hAnsi="宋体" w:cs="宋体"/>
                <w:color w:val="000000"/>
                <w:sz w:val="21"/>
                <w:szCs w:val="21"/>
              </w:rPr>
              <w:t>本项目不接受联合体参加磋商（无需提供任何声明、承诺）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500" w:type="dxa"/>
            <w:noWrap w:val="0"/>
            <w:vAlign w:val="center"/>
          </w:tcPr>
          <w:p>
            <w:pPr>
              <w:spacing w:before="156"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262" w:type="dxa"/>
            <w:noWrap w:val="0"/>
            <w:vAlign w:val="center"/>
          </w:tcPr>
          <w:p>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报价费用</w:t>
            </w:r>
          </w:p>
        </w:tc>
        <w:tc>
          <w:tcPr>
            <w:tcW w:w="7700" w:type="dxa"/>
            <w:noWrap w:val="0"/>
            <w:vAlign w:val="center"/>
          </w:tcPr>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无论报价和磋商的过程和结果如何，供应商自行承担所有与参加报名及磋商有关活动的全部费用。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57"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262"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响应性文件</w:t>
            </w:r>
            <w:r>
              <w:rPr>
                <w:rFonts w:hint="eastAsia" w:ascii="宋体" w:hAnsi="宋体" w:cs="宋体"/>
                <w:color w:val="auto"/>
                <w:szCs w:val="21"/>
                <w:highlight w:val="none"/>
              </w:rPr>
              <w:t>份数</w:t>
            </w:r>
          </w:p>
        </w:tc>
        <w:tc>
          <w:tcPr>
            <w:tcW w:w="770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加密的电子响应性文件壹份（.jztf 格式在会员系统指定位置上传），自备非加密的电子响应性文件一份。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149"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5</w:t>
            </w:r>
          </w:p>
        </w:tc>
        <w:tc>
          <w:tcPr>
            <w:tcW w:w="1262"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lang w:eastAsia="zh-CN"/>
              </w:rPr>
              <w:t>响应性文件</w:t>
            </w:r>
            <w:r>
              <w:rPr>
                <w:rFonts w:hint="eastAsia" w:ascii="宋体" w:hAnsi="宋体" w:cs="宋体"/>
                <w:color w:val="auto"/>
                <w:szCs w:val="21"/>
                <w:highlight w:val="none"/>
              </w:rPr>
              <w:t>密封和提交</w:t>
            </w:r>
          </w:p>
        </w:tc>
        <w:tc>
          <w:tcPr>
            <w:tcW w:w="770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spacing w:line="500" w:lineRule="exact"/>
              <w:textAlignment w:val="auto"/>
              <w:rPr>
                <w:rFonts w:hint="eastAsia" w:ascii="宋体" w:hAnsi="宋体" w:cs="宋体"/>
                <w:color w:val="auto"/>
                <w:kern w:val="2"/>
                <w:sz w:val="21"/>
                <w:szCs w:val="21"/>
                <w:highlight w:val="none"/>
                <w:lang w:val="zh-CN" w:eastAsia="zh-CN" w:bidi="ar-SA"/>
              </w:rPr>
            </w:pPr>
            <w:r>
              <w:rPr>
                <w:rFonts w:hint="eastAsia" w:ascii="宋体" w:hAnsi="宋体" w:eastAsia="宋体" w:cs="宋体"/>
                <w:color w:val="auto"/>
                <w:sz w:val="21"/>
                <w:szCs w:val="21"/>
                <w:highlight w:val="none"/>
                <w:shd w:val="clear" w:color="auto" w:fill="FFFFFF"/>
              </w:rPr>
              <w:t xml:space="preserve">1.本项目采用“远程不见面”开标方式，远程开标大厅网址为 </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w:t>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"https://ggzy.jiaozuo.gov.cn/BidOpeningHall/bidhall/default/login）或（http://222.143.135.34:7890/BidOpeningHall/bidhall/default/login）。加密电子响应性文件须在响应性文件提交截止时间前通过"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https://ggzy.jiaozuo.gov.cn/BidOpeningHall/bidhall/default/login）</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"https://ggzy.jiaozuo.gov.cn/BidOpeningHall/bidhall/default/login）或（http://222.143.135.34:7890/BidOpeningHall/bidhall/default/login）。加密电子响应性文件须在响应性文件提交截止时间前通过"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或</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"https://ggzy.jiaozuo.gov.cn/BidOpeningHall/bidhall/default/login）或（http://222.143.135.34:7890/BidOpeningHall/bidhall/default/login）。加密电子响应性文件须在响应性文件提交截止时间前通过"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（http://</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"file:///C:/Users/ADMINI~1/AppData/Local/Temp/PDFXEdit.Portable/pdfx-%7B5B8A751E-6C95-45A9-BF0E53B1BFF22762%7D/222.143.135.34"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222.143.135.34</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"https://ggzy.jiaozuo.gov.cn/BidOpeningHall/bidhall/default/login）或（http://222.143.135.34:7890/BidOpeningHall/bidhall/default/login）。加密电子响应性文件须在响应性文件提交截止时间前通过"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:7890/BidOpeningHall/bidhall/default/login）。</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 xml:space="preserve"> </w:t>
            </w:r>
            <w:r>
              <w:rPr>
                <w:rFonts w:hint="eastAsia" w:ascii="宋体" w:hAnsi="宋体" w:eastAsia="宋体" w:cs="宋体"/>
                <w:color w:val="auto"/>
                <w:sz w:val="21"/>
                <w:szCs w:val="21"/>
                <w:highlight w:val="none"/>
                <w:shd w:val="clear" w:color="auto" w:fill="FFFFFF"/>
              </w:rPr>
              <w:fldChar w:fldCharType="begin"/>
            </w:r>
            <w:r>
              <w:rPr>
                <w:rFonts w:hint="eastAsia" w:ascii="宋体" w:hAnsi="宋体" w:eastAsia="宋体" w:cs="宋体"/>
                <w:color w:val="auto"/>
                <w:sz w:val="21"/>
                <w:szCs w:val="21"/>
                <w:highlight w:val="none"/>
                <w:shd w:val="clear" w:color="auto" w:fill="FFFFFF"/>
              </w:rPr>
              <w:instrText xml:space="preserve"> HYPERLINK "https://ggzy.jiaozuo.gov.cn/BidOpeningHall/bidhall/default/login）或（http://222.143.135.34:7890/BidOpeningHall/bidhall/default/login）。加密电子响应性文件须在响应性文件提交截止时间前通过" </w:instrText>
            </w:r>
            <w:r>
              <w:rPr>
                <w:rFonts w:hint="eastAsia" w:ascii="宋体" w:hAnsi="宋体" w:eastAsia="宋体" w:cs="宋体"/>
                <w:color w:val="auto"/>
                <w:sz w:val="21"/>
                <w:szCs w:val="21"/>
                <w:highlight w:val="none"/>
                <w:shd w:val="clear" w:color="auto" w:fill="FFFFFF"/>
              </w:rPr>
              <w:fldChar w:fldCharType="separate"/>
            </w:r>
            <w:r>
              <w:rPr>
                <w:rFonts w:hint="eastAsia" w:ascii="宋体" w:hAnsi="宋体" w:eastAsia="宋体" w:cs="宋体"/>
                <w:color w:val="auto"/>
                <w:sz w:val="21"/>
                <w:szCs w:val="21"/>
                <w:highlight w:val="none"/>
                <w:shd w:val="clear" w:color="auto" w:fill="FFFFFF"/>
              </w:rPr>
              <w:t>加密电子响应性文件须在响应性文件提交截止时间前通过</w:t>
            </w:r>
            <w:r>
              <w:rPr>
                <w:rFonts w:hint="eastAsia" w:ascii="宋体" w:hAnsi="宋体" w:eastAsia="宋体" w:cs="宋体"/>
                <w:color w:val="auto"/>
                <w:sz w:val="21"/>
                <w:szCs w:val="21"/>
                <w:highlight w:val="none"/>
                <w:shd w:val="clear" w:color="auto" w:fill="FFFFFF"/>
              </w:rPr>
              <w:fldChar w:fldCharType="end"/>
            </w:r>
            <w:r>
              <w:rPr>
                <w:rFonts w:hint="eastAsia" w:ascii="宋体" w:hAnsi="宋体" w:eastAsia="宋体" w:cs="宋体"/>
                <w:color w:val="auto"/>
                <w:sz w:val="21"/>
                <w:szCs w:val="21"/>
                <w:highlight w:val="none"/>
                <w:shd w:val="clear" w:color="auto" w:fill="FFFFFF"/>
              </w:rPr>
              <w:t xml:space="preserve">“焦作市公共资源交 易中心”网站-交易平台加密上传。 </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 xml:space="preserve">供应商不需要到开标现场参加磋商会议，除电子响应性文件外，磋商时不再接 受任何纸质文件、资料等。 </w:t>
            </w:r>
            <w:r>
              <w:rPr>
                <w:rFonts w:hint="eastAsia" w:ascii="宋体" w:hAnsi="宋体" w:eastAsia="宋体" w:cs="宋体"/>
                <w:color w:val="auto"/>
                <w:sz w:val="21"/>
                <w:szCs w:val="21"/>
                <w:highlight w:val="none"/>
                <w:shd w:val="clear" w:color="auto" w:fill="FFFFFF"/>
              </w:rPr>
              <w:br w:type="textWrapping"/>
            </w:r>
            <w:r>
              <w:rPr>
                <w:rFonts w:hint="eastAsia" w:ascii="宋体" w:hAnsi="宋体" w:eastAsia="宋体" w:cs="宋体"/>
                <w:color w:val="auto"/>
                <w:sz w:val="21"/>
                <w:szCs w:val="21"/>
                <w:highlight w:val="none"/>
                <w:shd w:val="clear" w:color="auto" w:fill="FFFFFF"/>
              </w:rPr>
              <w:t xml:space="preserve">2.未在响应性文件提交截止时间前完成上传加密的电子响应性文件视为逾期送 达。逾期上传或未按规定方式上传加密的电子响应性文件，投标无效。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0"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262"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lang w:eastAsia="zh-CN"/>
              </w:rPr>
              <w:t>响应性文件</w:t>
            </w:r>
            <w:r>
              <w:rPr>
                <w:rFonts w:hint="eastAsia" w:ascii="宋体" w:hAnsi="宋体" w:cs="宋体"/>
                <w:color w:val="auto"/>
                <w:szCs w:val="21"/>
                <w:highlight w:val="none"/>
              </w:rPr>
              <w:t>递交截止及磋商会时间</w:t>
            </w:r>
          </w:p>
        </w:tc>
        <w:tc>
          <w:tcPr>
            <w:tcW w:w="7700" w:type="dxa"/>
            <w:tcBorders>
              <w:top w:val="single" w:color="000000" w:sz="4" w:space="0"/>
              <w:left w:val="nil"/>
              <w:bottom w:val="single" w:color="000000" w:sz="4" w:space="0"/>
              <w:right w:val="single" w:color="000000" w:sz="4" w:space="0"/>
            </w:tcBorders>
            <w:noWrap w:val="0"/>
            <w:vAlign w:val="center"/>
          </w:tcPr>
          <w:p>
            <w:pPr>
              <w:numPr>
                <w:ilvl w:val="0"/>
                <w:numId w:val="0"/>
              </w:numPr>
              <w:spacing w:line="400" w:lineRule="exact"/>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2026</w:t>
            </w:r>
            <w:r>
              <w:rPr>
                <w:rFonts w:hint="eastAsia" w:ascii="宋体" w:hAnsi="宋体" w:eastAsia="宋体" w:cs="宋体"/>
                <w:b w:val="0"/>
                <w:bCs w:val="0"/>
                <w:color w:val="auto"/>
                <w:sz w:val="21"/>
                <w:szCs w:val="21"/>
                <w:highlight w:val="none"/>
                <w:lang w:val="en-US" w:eastAsia="zh-CN"/>
              </w:rPr>
              <w:t>年</w:t>
            </w: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lang w:val="en-US" w:eastAsia="zh-CN"/>
              </w:rPr>
              <w:t>月</w:t>
            </w:r>
            <w:r>
              <w:rPr>
                <w:rFonts w:hint="eastAsia" w:ascii="宋体" w:hAnsi="宋体" w:cs="宋体"/>
                <w:b w:val="0"/>
                <w:bCs w:val="0"/>
                <w:color w:val="auto"/>
                <w:sz w:val="21"/>
                <w:szCs w:val="21"/>
                <w:highlight w:val="none"/>
                <w:lang w:val="en-US" w:eastAsia="zh-CN"/>
              </w:rPr>
              <w:t xml:space="preserve">  </w:t>
            </w:r>
            <w:r>
              <w:rPr>
                <w:rFonts w:hint="eastAsia" w:ascii="宋体" w:hAnsi="宋体" w:eastAsia="宋体" w:cs="宋体"/>
                <w:b w:val="0"/>
                <w:bCs w:val="0"/>
                <w:color w:val="auto"/>
                <w:sz w:val="21"/>
                <w:szCs w:val="21"/>
                <w:highlight w:val="none"/>
                <w:lang w:val="en-US" w:eastAsia="zh-CN"/>
              </w:rPr>
              <w:t>日上午</w:t>
            </w: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kern w:val="0"/>
                <w:sz w:val="21"/>
                <w:szCs w:val="21"/>
                <w:highlight w:val="none"/>
                <w:lang w:val="en-US" w:eastAsia="zh-CN"/>
              </w:rPr>
              <w:t>时</w:t>
            </w:r>
            <w:r>
              <w:rPr>
                <w:rFonts w:hint="eastAsia" w:ascii="宋体" w:hAnsi="宋体" w:cs="宋体"/>
                <w:b w:val="0"/>
                <w:bCs w:val="0"/>
                <w:color w:val="auto"/>
                <w:kern w:val="0"/>
                <w:sz w:val="21"/>
                <w:szCs w:val="21"/>
                <w:highlight w:val="none"/>
                <w:lang w:val="en-US" w:eastAsia="zh-CN"/>
              </w:rPr>
              <w:t>30</w:t>
            </w:r>
            <w:r>
              <w:rPr>
                <w:rFonts w:hint="eastAsia" w:ascii="宋体" w:hAnsi="宋体" w:eastAsia="宋体" w:cs="宋体"/>
                <w:b w:val="0"/>
                <w:bCs w:val="0"/>
                <w:color w:val="auto"/>
                <w:kern w:val="0"/>
                <w:sz w:val="21"/>
                <w:szCs w:val="21"/>
                <w:highlight w:val="none"/>
                <w:lang w:val="en-US" w:eastAsia="zh-CN"/>
              </w:rPr>
              <w:t>分</w:t>
            </w:r>
            <w:r>
              <w:rPr>
                <w:rFonts w:hint="eastAsia" w:ascii="宋体" w:hAnsi="宋体" w:eastAsia="宋体" w:cs="宋体"/>
                <w:b w:val="0"/>
                <w:bCs w:val="0"/>
                <w:color w:val="auto"/>
                <w:sz w:val="21"/>
                <w:szCs w:val="21"/>
                <w:highlight w:val="none"/>
              </w:rPr>
              <w:t>（北京时间）</w:t>
            </w:r>
          </w:p>
          <w:p>
            <w:pPr>
              <w:pStyle w:val="76"/>
              <w:rPr>
                <w:rFonts w:hint="eastAsia" w:ascii="宋体" w:hAnsi="宋体" w:cs="宋体"/>
                <w:color w:val="auto"/>
                <w:szCs w:val="21"/>
                <w:highlight w:val="none"/>
              </w:rPr>
            </w:pPr>
            <w:r>
              <w:rPr>
                <w:rFonts w:hint="eastAsia" w:ascii="宋体" w:hAnsi="宋体" w:cs="宋体"/>
                <w:b w:val="0"/>
                <w:bCs w:val="0"/>
                <w:color w:val="auto"/>
                <w:szCs w:val="21"/>
                <w:highlight w:val="none"/>
              </w:rPr>
              <w:t>2.</w:t>
            </w:r>
            <w:r>
              <w:rPr>
                <w:rFonts w:hint="eastAsia" w:ascii="宋体" w:hAnsi="宋体" w:cs="宋体"/>
                <w:b w:val="0"/>
                <w:bCs w:val="0"/>
                <w:color w:val="auto"/>
                <w:szCs w:val="21"/>
                <w:highlight w:val="none"/>
                <w:lang w:eastAsia="zh-CN" w:bidi="ar"/>
              </w:rPr>
              <w:t>供应商</w:t>
            </w:r>
            <w:r>
              <w:rPr>
                <w:rFonts w:hint="eastAsia" w:ascii="宋体" w:hAnsi="宋体" w:cs="宋体"/>
                <w:b w:val="0"/>
                <w:bCs w:val="0"/>
                <w:color w:val="auto"/>
                <w:szCs w:val="21"/>
                <w:highlight w:val="none"/>
                <w:lang w:bidi="ar"/>
              </w:rPr>
              <w:t>应当在</w:t>
            </w:r>
            <w:r>
              <w:rPr>
                <w:rFonts w:hint="eastAsia" w:ascii="宋体" w:hAnsi="宋体" w:cs="宋体"/>
                <w:b w:val="0"/>
                <w:bCs w:val="0"/>
                <w:color w:val="auto"/>
                <w:szCs w:val="21"/>
                <w:highlight w:val="none"/>
                <w:lang w:eastAsia="zh-CN" w:bidi="ar"/>
              </w:rPr>
              <w:t>响应性文件</w:t>
            </w:r>
            <w:r>
              <w:rPr>
                <w:rFonts w:hint="eastAsia" w:ascii="宋体" w:hAnsi="宋体" w:cs="宋体"/>
                <w:b w:val="0"/>
                <w:bCs w:val="0"/>
                <w:color w:val="auto"/>
                <w:szCs w:val="21"/>
                <w:highlight w:val="none"/>
                <w:lang w:bidi="ar"/>
              </w:rPr>
              <w:t>递交截止时间前，登录远程开标大厅，凭制作</w:t>
            </w:r>
            <w:r>
              <w:rPr>
                <w:rFonts w:hint="eastAsia" w:ascii="宋体" w:hAnsi="宋体" w:cs="宋体"/>
                <w:b w:val="0"/>
                <w:bCs w:val="0"/>
                <w:color w:val="auto"/>
                <w:szCs w:val="21"/>
                <w:highlight w:val="none"/>
                <w:lang w:eastAsia="zh-CN" w:bidi="ar"/>
              </w:rPr>
              <w:t>响应性文件</w:t>
            </w:r>
            <w:r>
              <w:rPr>
                <w:rFonts w:hint="eastAsia" w:ascii="宋体" w:hAnsi="宋体" w:cs="宋体"/>
                <w:b w:val="0"/>
                <w:bCs w:val="0"/>
                <w:color w:val="auto"/>
                <w:szCs w:val="21"/>
                <w:highlight w:val="none"/>
                <w:lang w:bidi="ar"/>
              </w:rPr>
              <w:t>所用的企业 CA 密匙在线解密文件等，解密时间为</w:t>
            </w:r>
            <w:r>
              <w:rPr>
                <w:rFonts w:hint="eastAsia" w:ascii="宋体" w:hAnsi="宋体" w:cs="宋体"/>
                <w:b w:val="0"/>
                <w:bCs w:val="0"/>
                <w:color w:val="auto"/>
                <w:szCs w:val="21"/>
                <w:highlight w:val="none"/>
                <w:lang w:eastAsia="zh-CN" w:bidi="ar"/>
              </w:rPr>
              <w:t>响应性文件</w:t>
            </w:r>
            <w:r>
              <w:rPr>
                <w:rFonts w:hint="eastAsia" w:ascii="宋体" w:hAnsi="宋体" w:cs="宋体"/>
                <w:b w:val="0"/>
                <w:bCs w:val="0"/>
                <w:color w:val="auto"/>
                <w:szCs w:val="21"/>
                <w:highlight w:val="none"/>
                <w:lang w:bidi="ar"/>
              </w:rPr>
              <w:t>递交截止时后30分钟内。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91"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ind w:firstLine="210" w:firstLineChars="100"/>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7</w:t>
            </w:r>
          </w:p>
        </w:tc>
        <w:tc>
          <w:tcPr>
            <w:tcW w:w="1262" w:type="dxa"/>
            <w:tcBorders>
              <w:top w:val="single" w:color="000000" w:sz="4" w:space="0"/>
              <w:left w:val="nil"/>
              <w:bottom w:val="single" w:color="000000" w:sz="4" w:space="0"/>
              <w:right w:val="single" w:color="000000" w:sz="4" w:space="0"/>
            </w:tcBorders>
            <w:noWrap w:val="0"/>
            <w:vAlign w:val="center"/>
          </w:tcPr>
          <w:p>
            <w:pPr>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磋商小组组成</w:t>
            </w:r>
          </w:p>
        </w:tc>
        <w:tc>
          <w:tcPr>
            <w:tcW w:w="770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磋商小组构成：由采购人代表1人和有关技术、经济等方面的专家2人， 共3人组成。其中技术、经济等方面的专家不得少于成员总数的 2/3。</w:t>
            </w:r>
          </w:p>
          <w:p>
            <w:pPr>
              <w:keepNext w:val="0"/>
              <w:keepLines w:val="0"/>
              <w:pageBreakBefore w:val="0"/>
              <w:widowControl w:val="0"/>
              <w:kinsoku/>
              <w:wordWrap/>
              <w:overflowPunct/>
              <w:topLinePunct w:val="0"/>
              <w:bidi w:val="0"/>
              <w:spacing w:line="500" w:lineRule="exact"/>
              <w:textAlignment w:val="auto"/>
              <w:rPr>
                <w:rFonts w:hint="eastAsia" w:ascii="宋体" w:hAnsi="宋体" w:cs="宋体"/>
                <w:color w:val="auto"/>
                <w:kern w:val="0"/>
                <w:sz w:val="21"/>
                <w:szCs w:val="21"/>
                <w:highlight w:val="none"/>
                <w:lang w:val="en-US" w:eastAsia="zh-CN" w:bidi="ar-SA"/>
              </w:rPr>
            </w:pP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专家确定方式：专家应由采购人在开标当天从政府采购</w:t>
            </w:r>
            <w:r>
              <w:rPr>
                <w:rFonts w:hint="eastAsia" w:ascii="宋体" w:hAnsi="宋体" w:eastAsia="宋体" w:cs="宋体"/>
                <w:color w:val="auto"/>
                <w:szCs w:val="21"/>
                <w:highlight w:val="none"/>
                <w:lang w:eastAsia="zh-CN"/>
              </w:rPr>
              <w:t>评审</w:t>
            </w:r>
            <w:r>
              <w:rPr>
                <w:rFonts w:hint="eastAsia" w:ascii="宋体" w:hAnsi="宋体" w:eastAsia="宋体" w:cs="宋体"/>
                <w:color w:val="auto"/>
                <w:szCs w:val="21"/>
                <w:highlight w:val="none"/>
              </w:rPr>
              <w:t>专家库中随机抽取。</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55"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262"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成交通知书</w:t>
            </w:r>
          </w:p>
        </w:tc>
        <w:tc>
          <w:tcPr>
            <w:tcW w:w="770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spacing w:line="500" w:lineRule="exact"/>
              <w:textAlignment w:val="auto"/>
              <w:rPr>
                <w:rFonts w:hint="eastAsia" w:ascii="宋体" w:hAnsi="宋体" w:cs="宋体"/>
                <w:color w:val="auto"/>
                <w:szCs w:val="21"/>
                <w:highlight w:val="none"/>
              </w:rPr>
            </w:pPr>
            <w:r>
              <w:rPr>
                <w:rFonts w:hint="eastAsia" w:ascii="宋体" w:hAnsi="宋体" w:eastAsia="宋体" w:cs="宋体"/>
                <w:color w:val="auto"/>
                <w:szCs w:val="21"/>
                <w:highlight w:val="none"/>
              </w:rPr>
              <w:t>采购人根据磋商小组的推荐意见，按照评审得分由高到低的顺序确定成交供应商。采购代理机构向成交供应商发出成交通知书。</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384"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262"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合同签订时间与地点</w:t>
            </w:r>
          </w:p>
        </w:tc>
        <w:tc>
          <w:tcPr>
            <w:tcW w:w="7700" w:type="dxa"/>
            <w:tcBorders>
              <w:top w:val="single" w:color="000000" w:sz="4" w:space="0"/>
              <w:left w:val="nil"/>
              <w:bottom w:val="single" w:color="000000" w:sz="4" w:space="0"/>
              <w:right w:val="single" w:color="000000"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根据采购人要求进行。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39" w:hRule="atLeast"/>
          <w:jc w:val="center"/>
        </w:trPr>
        <w:tc>
          <w:tcPr>
            <w:tcW w:w="500" w:type="dxa"/>
            <w:tcBorders>
              <w:top w:val="single" w:color="auto" w:sz="4" w:space="0"/>
              <w:left w:val="single" w:color="000000" w:sz="4" w:space="0"/>
              <w:bottom w:val="single" w:color="auto"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262" w:type="dxa"/>
            <w:tcBorders>
              <w:top w:val="single" w:color="auto" w:sz="4" w:space="0"/>
              <w:left w:val="nil"/>
              <w:bottom w:val="single" w:color="auto"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现场踏勘</w:t>
            </w:r>
          </w:p>
        </w:tc>
        <w:tc>
          <w:tcPr>
            <w:tcW w:w="7700" w:type="dxa"/>
            <w:tcBorders>
              <w:top w:val="single" w:color="auto" w:sz="4" w:space="0"/>
              <w:left w:val="nil"/>
              <w:bottom w:val="single" w:color="auto" w:sz="4" w:space="0"/>
              <w:right w:val="single" w:color="000000"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不组织。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531"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color w:val="auto"/>
                <w:highlight w:val="none"/>
              </w:rPr>
            </w:pPr>
            <w:r>
              <w:rPr>
                <w:rFonts w:hint="eastAsia" w:ascii="宋体" w:hAnsi="宋体" w:cs="宋体"/>
                <w:color w:val="auto"/>
                <w:szCs w:val="21"/>
                <w:highlight w:val="none"/>
              </w:rPr>
              <w:t>11</w:t>
            </w:r>
          </w:p>
        </w:tc>
        <w:tc>
          <w:tcPr>
            <w:tcW w:w="1262" w:type="dxa"/>
            <w:tcBorders>
              <w:top w:val="single" w:color="000000" w:sz="4" w:space="0"/>
              <w:left w:val="nil"/>
              <w:bottom w:val="single" w:color="000000" w:sz="4" w:space="0"/>
              <w:right w:val="single" w:color="000000" w:sz="4" w:space="0"/>
            </w:tcBorders>
            <w:noWrap w:val="0"/>
            <w:vAlign w:val="center"/>
          </w:tcPr>
          <w:p>
            <w:pPr>
              <w:jc w:val="center"/>
              <w:rPr>
                <w:rFonts w:hint="eastAsia"/>
                <w:color w:val="auto"/>
                <w:highlight w:val="none"/>
              </w:rPr>
            </w:pPr>
            <w:r>
              <w:rPr>
                <w:rFonts w:hint="eastAsia"/>
                <w:color w:val="auto"/>
                <w:highlight w:val="none"/>
              </w:rPr>
              <w:t>预算价</w:t>
            </w:r>
          </w:p>
        </w:tc>
        <w:tc>
          <w:tcPr>
            <w:tcW w:w="7700" w:type="dxa"/>
            <w:tcBorders>
              <w:top w:val="single" w:color="000000" w:sz="4" w:space="0"/>
              <w:left w:val="nil"/>
              <w:bottom w:val="single" w:color="000000" w:sz="4" w:space="0"/>
              <w:right w:val="single" w:color="000000" w:sz="4" w:space="0"/>
            </w:tcBorders>
            <w:noWrap w:val="0"/>
            <w:vAlign w:val="center"/>
          </w:tcPr>
          <w:p>
            <w:pPr>
              <w:rPr>
                <w:rFonts w:hint="eastAsia"/>
                <w:color w:val="auto"/>
                <w:highlight w:val="none"/>
              </w:rPr>
            </w:pPr>
            <w:r>
              <w:rPr>
                <w:rFonts w:hint="eastAsia" w:ascii="宋体" w:hAnsi="宋体" w:cs="宋体"/>
                <w:b/>
                <w:bCs/>
                <w:color w:val="auto"/>
                <w:kern w:val="0"/>
                <w:szCs w:val="21"/>
                <w:highlight w:val="none"/>
                <w:lang w:val="en-US" w:eastAsia="zh-CN"/>
              </w:rPr>
              <w:t>1665733.73元</w:t>
            </w:r>
            <w:r>
              <w:rPr>
                <w:rFonts w:hint="eastAsia" w:ascii="宋体" w:hAnsi="宋体" w:cs="宋体"/>
                <w:b/>
                <w:bCs/>
                <w:color w:val="auto"/>
                <w:kern w:val="0"/>
                <w:szCs w:val="21"/>
                <w:highlight w:val="none"/>
              </w:rPr>
              <w:t>。</w:t>
            </w:r>
            <w:r>
              <w:rPr>
                <w:rFonts w:hint="eastAsia" w:ascii="宋体" w:hAnsi="宋体" w:cs="宋体"/>
                <w:color w:val="auto"/>
                <w:kern w:val="0"/>
                <w:szCs w:val="21"/>
                <w:highlight w:val="none"/>
              </w:rPr>
              <w:t>磋商报价高于此限价的投标为无效标。</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446"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auto"/>
                <w:szCs w:val="21"/>
                <w:highlight w:val="none"/>
              </w:rPr>
            </w:pPr>
            <w:r>
              <w:rPr>
                <w:rFonts w:hint="eastAsia" w:ascii="宋体" w:hAnsi="宋体" w:cs="宋体"/>
                <w:color w:val="auto"/>
                <w:szCs w:val="21"/>
                <w:highlight w:val="none"/>
              </w:rPr>
              <w:t>12</w:t>
            </w:r>
          </w:p>
        </w:tc>
        <w:tc>
          <w:tcPr>
            <w:tcW w:w="1262" w:type="dxa"/>
            <w:tcBorders>
              <w:top w:val="single" w:color="000000" w:sz="4" w:space="0"/>
              <w:left w:val="nil"/>
              <w:bottom w:val="single" w:color="000000" w:sz="4" w:space="0"/>
              <w:right w:val="single" w:color="000000" w:sz="4" w:space="0"/>
            </w:tcBorders>
            <w:noWrap w:val="0"/>
            <w:vAlign w:val="center"/>
          </w:tcPr>
          <w:p>
            <w:pPr>
              <w:jc w:val="center"/>
              <w:rPr>
                <w:rFonts w:hint="eastAsia"/>
                <w:color w:val="auto"/>
                <w:highlight w:val="none"/>
              </w:rPr>
            </w:pPr>
            <w:r>
              <w:rPr>
                <w:rFonts w:hint="eastAsia"/>
                <w:color w:val="auto"/>
                <w:highlight w:val="none"/>
              </w:rPr>
              <w:t>人工费</w:t>
            </w:r>
          </w:p>
        </w:tc>
        <w:tc>
          <w:tcPr>
            <w:tcW w:w="7700"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spacing w:line="500" w:lineRule="exact"/>
              <w:textAlignment w:val="auto"/>
              <w:rPr>
                <w:rFonts w:hint="eastAsia"/>
                <w:color w:val="auto"/>
                <w:highlight w:val="none"/>
              </w:rPr>
            </w:pPr>
            <w:r>
              <w:rPr>
                <w:rFonts w:hint="eastAsia" w:ascii="宋体" w:hAnsi="宋体" w:eastAsia="宋体" w:cs="宋体"/>
                <w:b/>
                <w:bCs/>
                <w:color w:val="auto"/>
                <w:szCs w:val="21"/>
                <w:highlight w:val="none"/>
                <w:lang w:val="en-US" w:eastAsia="zh-CN"/>
              </w:rPr>
              <w:t>321306.53</w:t>
            </w:r>
            <w:r>
              <w:rPr>
                <w:rFonts w:hint="eastAsia" w:ascii="宋体" w:hAnsi="宋体" w:eastAsia="宋体" w:cs="宋体"/>
                <w:b/>
                <w:bCs/>
                <w:color w:val="auto"/>
                <w:szCs w:val="21"/>
                <w:highlight w:val="none"/>
              </w:rPr>
              <w:t>元</w:t>
            </w:r>
            <w:r>
              <w:rPr>
                <w:rFonts w:hint="eastAsia" w:ascii="宋体" w:hAnsi="宋体" w:eastAsia="宋体" w:cs="宋体"/>
                <w:color w:val="auto"/>
                <w:szCs w:val="21"/>
                <w:highlight w:val="none"/>
              </w:rPr>
              <w:t>。依据《沁阳市根治拖欠农民工工资工作领导小组关于开展根治拖欠农民工工资工作“冬病夏治”集中行动的通知》（沁治欠【2023】1号）精神，人工费单列是为了全面推动《保障农民工工资支付条例》《沁阳市保障农民工工资支付工作管理办法》落实落地，不作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最高限价依据。</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756"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262"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代理费</w:t>
            </w:r>
          </w:p>
        </w:tc>
        <w:tc>
          <w:tcPr>
            <w:tcW w:w="7700" w:type="dxa"/>
            <w:tcBorders>
              <w:top w:val="single" w:color="000000" w:sz="4" w:space="0"/>
              <w:left w:val="nil"/>
              <w:bottom w:val="single" w:color="000000" w:sz="4" w:space="0"/>
              <w:right w:val="single" w:color="000000" w:sz="4" w:space="0"/>
            </w:tcBorders>
            <w:noWrap w:val="0"/>
            <w:vAlign w:val="center"/>
          </w:tcPr>
          <w:p>
            <w:pPr>
              <w:spacing w:line="360" w:lineRule="auto"/>
              <w:rPr>
                <w:rFonts w:hint="eastAsia" w:ascii="宋体" w:hAnsi="宋体" w:cs="宋体"/>
                <w:bCs/>
                <w:color w:val="auto"/>
                <w:kern w:val="0"/>
                <w:szCs w:val="21"/>
                <w:highlight w:val="none"/>
                <w:lang w:val="zh-CN"/>
              </w:rPr>
            </w:pPr>
            <w:r>
              <w:rPr>
                <w:rFonts w:hint="eastAsia" w:ascii="宋体" w:hAnsi="宋体" w:cs="宋体"/>
                <w:color w:val="auto"/>
                <w:szCs w:val="21"/>
                <w:highlight w:val="none"/>
              </w:rPr>
              <w:t>代理服务费：参照河南省招标投标协会关于印发《河南省招标代理服务收费指导意见》的通知（豫招协【2023】002号）规定，由</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人支付。</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2084"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8962"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工期：</w:t>
            </w:r>
            <w:r>
              <w:rPr>
                <w:rFonts w:hint="eastAsia" w:ascii="宋体" w:hAnsi="宋体" w:eastAsia="宋体" w:cs="宋体"/>
                <w:b/>
                <w:bCs/>
                <w:color w:val="auto"/>
                <w:szCs w:val="21"/>
                <w:highlight w:val="none"/>
                <w:lang w:eastAsia="zh-CN"/>
              </w:rPr>
              <w:t>自合同签订之日起</w:t>
            </w:r>
            <w:r>
              <w:rPr>
                <w:rFonts w:hint="eastAsia" w:ascii="宋体" w:hAnsi="宋体" w:eastAsia="宋体" w:cs="宋体"/>
                <w:b/>
                <w:bCs/>
                <w:color w:val="auto"/>
                <w:szCs w:val="21"/>
                <w:highlight w:val="none"/>
                <w:lang w:val="en-US" w:eastAsia="zh-CN"/>
              </w:rPr>
              <w:t>90日历天</w:t>
            </w:r>
            <w:r>
              <w:rPr>
                <w:rFonts w:hint="eastAsia" w:ascii="宋体" w:hAnsi="宋体" w:eastAsia="宋体" w:cs="宋体"/>
                <w:b/>
                <w:bCs/>
                <w:color w:val="auto"/>
                <w:szCs w:val="21"/>
                <w:highlight w:val="none"/>
              </w:rPr>
              <w:t>。</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质量要求：合格</w:t>
            </w:r>
            <w:r>
              <w:rPr>
                <w:rFonts w:hint="eastAsia" w:ascii="宋体" w:hAnsi="宋体" w:eastAsia="宋体" w:cs="宋体"/>
                <w:b/>
                <w:bCs/>
                <w:color w:val="auto"/>
                <w:szCs w:val="21"/>
                <w:highlight w:val="none"/>
                <w:lang w:val="en-US" w:eastAsia="zh-CN"/>
              </w:rPr>
              <w:t>满足国家及相关行业规定</w:t>
            </w:r>
            <w:r>
              <w:rPr>
                <w:rFonts w:hint="eastAsia" w:cs="宋体"/>
                <w:b/>
                <w:bCs/>
                <w:snapToGrid w:val="0"/>
                <w:color w:val="auto"/>
                <w:kern w:val="0"/>
                <w:sz w:val="21"/>
                <w:szCs w:val="21"/>
                <w:highlight w:val="none"/>
                <w:lang w:val="en-US" w:eastAsia="en-US" w:bidi="ar-SA"/>
              </w:rPr>
              <w:t>。</w:t>
            </w:r>
          </w:p>
          <w:p>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 xml:space="preserve">按照工程月进度 </w:t>
            </w:r>
            <w:r>
              <w:rPr>
                <w:rFonts w:hint="eastAsia" w:ascii="宋体" w:hAnsi="宋体" w:eastAsia="宋体" w:cs="宋体"/>
                <w:b/>
                <w:bCs/>
                <w:color w:val="auto"/>
                <w:szCs w:val="21"/>
                <w:highlight w:val="none"/>
                <w:lang w:val="en-US" w:eastAsia="zh-CN"/>
              </w:rPr>
              <w:t>80</w:t>
            </w:r>
            <w:r>
              <w:rPr>
                <w:rFonts w:hint="eastAsia" w:ascii="宋体" w:hAnsi="宋体" w:eastAsia="宋体" w:cs="宋体"/>
                <w:b/>
                <w:bCs/>
                <w:color w:val="auto"/>
                <w:szCs w:val="21"/>
                <w:highlight w:val="none"/>
              </w:rPr>
              <w:t>%的比例支付进度款，</w:t>
            </w:r>
            <w:r>
              <w:rPr>
                <w:rFonts w:hint="eastAsia" w:ascii="宋体" w:hAnsi="宋体" w:eastAsia="宋体" w:cs="宋体"/>
                <w:b/>
                <w:bCs/>
                <w:color w:val="auto"/>
                <w:szCs w:val="21"/>
                <w:highlight w:val="none"/>
                <w:lang w:val="en-US" w:eastAsia="zh-CN"/>
              </w:rPr>
              <w:t>工程竣工验收合格，经审计部门审计后，支付审定价的97%，剩余3%作为质保金，一年后无质量问题一次性无息付清。用支票、汇票、本票、保险、保函等形式替代预留保证金的，发包人不得同时预留工程质量保证金。</w:t>
            </w:r>
            <w:r>
              <w:rPr>
                <w:rFonts w:hint="eastAsia" w:ascii="宋体" w:hAnsi="宋体" w:eastAsia="宋体" w:cs="宋体"/>
                <w:color w:val="auto"/>
                <w:szCs w:val="21"/>
                <w:highlight w:val="none"/>
              </w:rPr>
              <w:t xml:space="preserve"> </w:t>
            </w:r>
          </w:p>
          <w:p>
            <w:pPr>
              <w:rPr>
                <w:rFonts w:hint="eastAsia" w:ascii="宋体" w:hAnsi="宋体" w:cs="宋体"/>
                <w:b/>
                <w:color w:val="auto"/>
                <w:kern w:val="0"/>
                <w:szCs w:val="21"/>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964"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15</w:t>
            </w:r>
          </w:p>
        </w:tc>
        <w:tc>
          <w:tcPr>
            <w:tcW w:w="8962" w:type="dxa"/>
            <w:gridSpan w:val="2"/>
            <w:tcBorders>
              <w:top w:val="single" w:color="000000" w:sz="4" w:space="0"/>
              <w:left w:val="nil"/>
              <w:bottom w:val="single" w:color="000000" w:sz="4" w:space="0"/>
              <w:right w:val="single" w:color="000000" w:sz="4" w:space="0"/>
            </w:tcBorders>
            <w:noWrap w:val="0"/>
            <w:vAlign w:val="center"/>
          </w:tcPr>
          <w:p>
            <w:pPr>
              <w:spacing w:before="0" w:after="0" w:line="400" w:lineRule="exact"/>
              <w:ind w:left="88" w:right="33" w:firstLine="0"/>
              <w:rPr>
                <w:rFonts w:ascii="Times New Roman" w:hAnsi="Times New Roman" w:cs="Times New Roman"/>
                <w:color w:val="010302"/>
                <w:highlight w:val="none"/>
              </w:rPr>
            </w:pPr>
            <w:r>
              <w:rPr>
                <w:rFonts w:ascii="宋体" w:hAnsi="宋体" w:cs="宋体"/>
                <w:color w:val="000000"/>
                <w:sz w:val="21"/>
                <w:szCs w:val="21"/>
                <w:highlight w:val="none"/>
              </w:rPr>
              <w:t>1.履约保证金的形式：银行转账或保函（保险），按成交价的3%，</w:t>
            </w:r>
            <w:r>
              <w:rPr>
                <w:rFonts w:hint="eastAsia" w:ascii="宋体" w:hAnsi="宋体" w:cs="宋体"/>
                <w:color w:val="000000"/>
                <w:sz w:val="21"/>
                <w:szCs w:val="21"/>
                <w:highlight w:val="none"/>
              </w:rPr>
              <w:t>在签订合同时办理</w:t>
            </w:r>
            <w:r>
              <w:rPr>
                <w:rFonts w:ascii="宋体" w:hAnsi="宋体" w:cs="宋体"/>
                <w:color w:val="000000"/>
                <w:sz w:val="21"/>
                <w:szCs w:val="21"/>
                <w:highlight w:val="none"/>
              </w:rPr>
              <w:t>。（推荐使用保函（保险））</w:t>
            </w:r>
            <w:r>
              <w:rPr>
                <w:rFonts w:ascii="Times New Roman" w:hAnsi="Times New Roman" w:cs="Times New Roman"/>
                <w:sz w:val="21"/>
                <w:szCs w:val="21"/>
                <w:highlight w:val="none"/>
              </w:rPr>
              <w:t xml:space="preserve"> </w:t>
            </w:r>
            <w:r>
              <w:rPr>
                <w:highlight w:val="none"/>
              </w:rPr>
              <w:br w:type="textWrapping" w:clear="all"/>
            </w:r>
            <w:r>
              <w:rPr>
                <w:rFonts w:ascii="宋体" w:hAnsi="宋体" w:cs="宋体"/>
                <w:color w:val="000000"/>
                <w:sz w:val="21"/>
                <w:szCs w:val="21"/>
                <w:highlight w:val="none"/>
              </w:rPr>
              <w:t>1.1使用银行转账形式</w:t>
            </w:r>
            <w:r>
              <w:rPr>
                <w:rFonts w:ascii="宋体" w:hAnsi="宋体" w:cs="宋体"/>
                <w:color w:val="000000"/>
                <w:spacing w:val="-2"/>
                <w:sz w:val="21"/>
                <w:szCs w:val="21"/>
                <w:highlight w:val="none"/>
              </w:rPr>
              <w:t>的</w:t>
            </w:r>
            <w:r>
              <w:rPr>
                <w:rFonts w:ascii="宋体" w:hAnsi="宋体" w:cs="宋体"/>
                <w:color w:val="000000"/>
                <w:sz w:val="21"/>
                <w:szCs w:val="21"/>
                <w:highlight w:val="none"/>
              </w:rPr>
              <w:t>（须从供应商基本账户上以转账形式缴纳</w:t>
            </w:r>
            <w:r>
              <w:rPr>
                <w:rFonts w:ascii="宋体" w:hAnsi="宋体" w:cs="宋体"/>
                <w:color w:val="000000"/>
                <w:spacing w:val="-5"/>
                <w:sz w:val="21"/>
                <w:szCs w:val="21"/>
                <w:highlight w:val="none"/>
              </w:rPr>
              <w:t>）</w:t>
            </w:r>
            <w:r>
              <w:rPr>
                <w:rFonts w:ascii="宋体" w:hAnsi="宋体" w:cs="宋体"/>
                <w:color w:val="000000"/>
                <w:spacing w:val="-2"/>
                <w:sz w:val="21"/>
                <w:szCs w:val="21"/>
                <w:highlight w:val="none"/>
              </w:rPr>
              <w:t>，</w:t>
            </w:r>
            <w:r>
              <w:rPr>
                <w:rFonts w:ascii="宋体" w:hAnsi="宋体" w:cs="宋体"/>
                <w:color w:val="000000"/>
                <w:sz w:val="21"/>
                <w:szCs w:val="21"/>
                <w:highlight w:val="none"/>
              </w:rPr>
              <w:t>履约保证金账号</w:t>
            </w:r>
            <w:r>
              <w:rPr>
                <w:rFonts w:ascii="宋体" w:hAnsi="宋体" w:cs="宋体"/>
                <w:color w:val="000000"/>
                <w:spacing w:val="-2"/>
                <w:sz w:val="21"/>
                <w:szCs w:val="21"/>
                <w:highlight w:val="none"/>
              </w:rPr>
              <w:t>：</w:t>
            </w:r>
            <w:r>
              <w:rPr>
                <w:rFonts w:ascii="宋体" w:hAnsi="宋体" w:cs="宋体"/>
                <w:color w:val="000000"/>
                <w:sz w:val="21"/>
                <w:szCs w:val="21"/>
                <w:highlight w:val="none"/>
              </w:rPr>
              <w:t>账户名</w:t>
            </w:r>
            <w:r>
              <w:rPr>
                <w:rFonts w:ascii="Times New Roman" w:hAnsi="Times New Roman" w:cs="Times New Roman"/>
                <w:sz w:val="21"/>
                <w:szCs w:val="21"/>
                <w:highlight w:val="none"/>
              </w:rPr>
              <w:t xml:space="preserve"> </w:t>
            </w:r>
            <w:r>
              <w:rPr>
                <w:rFonts w:ascii="宋体" w:hAnsi="宋体" w:cs="宋体"/>
                <w:color w:val="000000"/>
                <w:sz w:val="21"/>
                <w:szCs w:val="21"/>
                <w:highlight w:val="none"/>
              </w:rPr>
              <w:t>称：沁阳市财政局非税收入财政专户</w:t>
            </w:r>
            <w:r>
              <w:rPr>
                <w:rFonts w:ascii="Times New Roman" w:hAnsi="Times New Roman" w:cs="Times New Roman"/>
                <w:sz w:val="21"/>
                <w:szCs w:val="21"/>
                <w:highlight w:val="none"/>
              </w:rPr>
              <w:t xml:space="preserve"> </w:t>
            </w:r>
          </w:p>
          <w:p>
            <w:pPr>
              <w:spacing w:before="106" w:after="0" w:line="240" w:lineRule="auto"/>
              <w:ind w:left="88" w:right="33" w:firstLine="0"/>
              <w:rPr>
                <w:rFonts w:ascii="Times New Roman" w:hAnsi="Times New Roman" w:cs="Times New Roman"/>
                <w:color w:val="010302"/>
                <w:highlight w:val="none"/>
              </w:rPr>
            </w:pPr>
            <w:r>
              <w:rPr>
                <w:rFonts w:ascii="宋体" w:hAnsi="宋体" w:cs="宋体"/>
                <w:color w:val="000000"/>
                <w:sz w:val="21"/>
                <w:szCs w:val="21"/>
                <w:highlight w:val="none"/>
              </w:rPr>
              <w:t>开户银行：中国银行沁阳市支行</w:t>
            </w:r>
            <w:r>
              <w:rPr>
                <w:rFonts w:ascii="Times New Roman" w:hAnsi="Times New Roman" w:cs="Times New Roman"/>
                <w:sz w:val="21"/>
                <w:szCs w:val="21"/>
                <w:highlight w:val="none"/>
              </w:rPr>
              <w:t xml:space="preserve"> </w:t>
            </w:r>
          </w:p>
          <w:p>
            <w:pPr>
              <w:spacing w:before="10" w:after="0" w:line="399" w:lineRule="exact"/>
              <w:ind w:left="88" w:right="34" w:firstLine="0"/>
              <w:rPr>
                <w:rFonts w:ascii="Times New Roman" w:hAnsi="Times New Roman" w:cs="Times New Roman"/>
                <w:sz w:val="21"/>
                <w:szCs w:val="21"/>
                <w:highlight w:val="none"/>
              </w:rPr>
            </w:pPr>
            <w:r>
              <w:rPr>
                <w:rFonts w:ascii="宋体" w:hAnsi="宋体" w:cs="宋体"/>
                <w:color w:val="000000"/>
                <w:sz w:val="21"/>
                <w:szCs w:val="21"/>
                <w:highlight w:val="none"/>
              </w:rPr>
              <w:t>开户账号：249405515782</w:t>
            </w:r>
            <w:r>
              <w:rPr>
                <w:rFonts w:ascii="Times New Roman" w:hAnsi="Times New Roman" w:cs="Times New Roman"/>
                <w:sz w:val="21"/>
                <w:szCs w:val="21"/>
                <w:highlight w:val="none"/>
              </w:rPr>
              <w:t xml:space="preserve"> </w:t>
            </w:r>
            <w:r>
              <w:rPr>
                <w:highlight w:val="none"/>
              </w:rPr>
              <w:br w:type="textWrapping" w:clear="all"/>
            </w:r>
            <w:r>
              <w:rPr>
                <w:rFonts w:ascii="宋体" w:hAnsi="宋体" w:cs="宋体"/>
                <w:color w:val="000000"/>
                <w:sz w:val="21"/>
                <w:szCs w:val="21"/>
                <w:highlight w:val="none"/>
              </w:rPr>
              <w:t>1.2使用履约保函（保险</w:t>
            </w:r>
            <w:r>
              <w:rPr>
                <w:rFonts w:ascii="宋体" w:hAnsi="宋体" w:cs="宋体"/>
                <w:color w:val="000000"/>
                <w:spacing w:val="-2"/>
                <w:sz w:val="21"/>
                <w:szCs w:val="21"/>
                <w:highlight w:val="none"/>
              </w:rPr>
              <w:t>）</w:t>
            </w:r>
            <w:r>
              <w:rPr>
                <w:rFonts w:ascii="宋体" w:hAnsi="宋体" w:cs="宋体"/>
                <w:color w:val="000000"/>
                <w:sz w:val="21"/>
                <w:szCs w:val="21"/>
                <w:highlight w:val="none"/>
              </w:rPr>
              <w:t>形式的，保函（保险</w:t>
            </w:r>
            <w:r>
              <w:rPr>
                <w:rFonts w:ascii="宋体" w:hAnsi="宋体" w:cs="宋体"/>
                <w:color w:val="000000"/>
                <w:spacing w:val="-2"/>
                <w:sz w:val="21"/>
                <w:szCs w:val="21"/>
                <w:highlight w:val="none"/>
              </w:rPr>
              <w:t>）</w:t>
            </w:r>
            <w:r>
              <w:rPr>
                <w:rFonts w:ascii="宋体" w:hAnsi="宋体" w:cs="宋体"/>
                <w:color w:val="000000"/>
                <w:sz w:val="21"/>
                <w:szCs w:val="21"/>
                <w:highlight w:val="none"/>
              </w:rPr>
              <w:t>应由银行</w:t>
            </w:r>
            <w:r>
              <w:rPr>
                <w:rFonts w:ascii="宋体" w:hAnsi="宋体" w:cs="宋体"/>
                <w:color w:val="000000"/>
                <w:spacing w:val="-2"/>
                <w:sz w:val="21"/>
                <w:szCs w:val="21"/>
                <w:highlight w:val="none"/>
              </w:rPr>
              <w:t>、</w:t>
            </w:r>
            <w:r>
              <w:rPr>
                <w:rFonts w:ascii="宋体" w:hAnsi="宋体" w:cs="宋体"/>
                <w:color w:val="000000"/>
                <w:sz w:val="21"/>
                <w:szCs w:val="21"/>
                <w:highlight w:val="none"/>
              </w:rPr>
              <w:t>保险公司、沁阳市诚信担保有限责</w:t>
            </w:r>
            <w:r>
              <w:rPr>
                <w:rFonts w:ascii="Times New Roman" w:hAnsi="Times New Roman" w:cs="Times New Roman"/>
                <w:sz w:val="21"/>
                <w:szCs w:val="21"/>
                <w:highlight w:val="none"/>
              </w:rPr>
              <w:t xml:space="preserve"> </w:t>
            </w:r>
            <w:r>
              <w:rPr>
                <w:rFonts w:ascii="宋体" w:hAnsi="宋体" w:cs="宋体"/>
                <w:color w:val="000000"/>
                <w:sz w:val="21"/>
                <w:szCs w:val="21"/>
                <w:highlight w:val="none"/>
              </w:rPr>
              <w:t>任公司（沁阳市国资委下属）等出具。</w:t>
            </w:r>
            <w:r>
              <w:rPr>
                <w:rFonts w:ascii="Times New Roman" w:hAnsi="Times New Roman" w:cs="Times New Roman"/>
                <w:sz w:val="21"/>
                <w:szCs w:val="21"/>
                <w:highlight w:val="none"/>
              </w:rPr>
              <w:t xml:space="preserve"> </w:t>
            </w:r>
          </w:p>
          <w:p>
            <w:pPr>
              <w:numPr>
                <w:ilvl w:val="0"/>
                <w:numId w:val="2"/>
              </w:numPr>
              <w:rPr>
                <w:rFonts w:ascii="宋体" w:hAnsi="宋体" w:cs="宋体"/>
                <w:color w:val="000000"/>
                <w:sz w:val="21"/>
                <w:szCs w:val="21"/>
                <w:highlight w:val="none"/>
              </w:rPr>
            </w:pPr>
            <w:r>
              <w:rPr>
                <w:rFonts w:ascii="宋体" w:hAnsi="宋体" w:cs="宋体"/>
                <w:color w:val="000000"/>
                <w:sz w:val="21"/>
                <w:szCs w:val="21"/>
                <w:highlight w:val="none"/>
              </w:rPr>
              <w:t>采购项目经验收合格后全额退还履约保证金。</w:t>
            </w:r>
          </w:p>
          <w:p>
            <w:pPr>
              <w:pStyle w:val="3"/>
              <w:numPr>
                <w:ilvl w:val="0"/>
                <w:numId w:val="0"/>
              </w:numPr>
              <w:jc w:val="both"/>
              <w:rPr>
                <w:rFonts w:hint="eastAsia"/>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89"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8962" w:type="dxa"/>
            <w:gridSpan w:val="2"/>
            <w:tcBorders>
              <w:top w:val="single" w:color="000000" w:sz="4" w:space="0"/>
              <w:left w:val="nil"/>
              <w:bottom w:val="single" w:color="000000" w:sz="4" w:space="0"/>
              <w:right w:val="single" w:color="000000" w:sz="4" w:space="0"/>
            </w:tcBorders>
            <w:noWrap w:val="0"/>
            <w:vAlign w:val="center"/>
          </w:tcPr>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根据沁阳市人民政府常务会议纪要【2016】3号明确要求：竣工决算须经审计机关审计，并以审计结论作为工程结算的依据。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1035"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7</w:t>
            </w:r>
          </w:p>
        </w:tc>
        <w:tc>
          <w:tcPr>
            <w:tcW w:w="8962" w:type="dxa"/>
            <w:gridSpan w:val="2"/>
            <w:tcBorders>
              <w:top w:val="single" w:color="000000" w:sz="4" w:space="0"/>
              <w:left w:val="nil"/>
              <w:bottom w:val="single" w:color="000000" w:sz="4" w:space="0"/>
              <w:right w:val="single" w:color="000000" w:sz="4" w:space="0"/>
            </w:tcBorders>
            <w:noWrap w:val="0"/>
            <w:vAlign w:val="center"/>
          </w:tcPr>
          <w:p>
            <w:pPr>
              <w:jc w:val="left"/>
              <w:rPr>
                <w:rFonts w:hint="eastAsia" w:ascii="宋体" w:hAnsi="宋体" w:cs="宋体"/>
                <w:color w:val="auto"/>
                <w:szCs w:val="21"/>
                <w:highlight w:val="none"/>
              </w:rPr>
            </w:pPr>
            <w:r>
              <w:rPr>
                <w:rFonts w:hint="eastAsia" w:ascii="宋体" w:hAnsi="宋体" w:cs="宋体"/>
                <w:b/>
                <w:color w:val="auto"/>
                <w:kern w:val="0"/>
                <w:szCs w:val="21"/>
                <w:highlight w:val="none"/>
              </w:rPr>
              <w:t>重要提醒：为打击围标串标、哄抬标价等违法违规行为，对于中标价的节约资金率低于5%的工程建设项目，作为重点监测对象，报市纪检监察部门和政府采购行政监督部门，如发现存在围标串标、哄抬标价等嫌疑或线索的，由市纪检监察部门和政府采购行政监督部门严肃查处。</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89"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p>
        </w:tc>
        <w:tc>
          <w:tcPr>
            <w:tcW w:w="8962" w:type="dxa"/>
            <w:gridSpan w:val="2"/>
            <w:tcBorders>
              <w:top w:val="single" w:color="000000" w:sz="4" w:space="0"/>
              <w:left w:val="nil"/>
              <w:bottom w:val="single" w:color="000000" w:sz="4" w:space="0"/>
              <w:right w:val="single" w:color="000000" w:sz="4" w:space="0"/>
            </w:tcBorders>
            <w:noWrap w:val="0"/>
            <w:vAlign w:val="center"/>
          </w:tcPr>
          <w:p>
            <w:pPr>
              <w:jc w:val="left"/>
              <w:rPr>
                <w:rFonts w:hint="eastAsia" w:ascii="宋体" w:hAnsi="宋体" w:eastAsia="宋体" w:cs="宋体"/>
                <w:b/>
                <w:color w:val="auto"/>
                <w:kern w:val="0"/>
                <w:szCs w:val="21"/>
                <w:highlight w:val="none"/>
                <w:lang w:eastAsia="zh-CN"/>
              </w:rPr>
            </w:pPr>
            <w:r>
              <w:rPr>
                <w:rFonts w:hint="eastAsia" w:ascii="宋体" w:hAnsi="宋体" w:cs="宋体"/>
                <w:b/>
                <w:color w:val="auto"/>
                <w:kern w:val="0"/>
                <w:szCs w:val="21"/>
                <w:highlight w:val="none"/>
              </w:rPr>
              <w:t>本项目是否专门面向中小企业采购：</w:t>
            </w:r>
            <w:r>
              <w:rPr>
                <w:rFonts w:hint="eastAsia" w:ascii="宋体" w:hAnsi="宋体" w:cs="宋体"/>
                <w:b/>
                <w:color w:val="auto"/>
                <w:kern w:val="0"/>
                <w:szCs w:val="21"/>
                <w:highlight w:val="none"/>
                <w:lang w:val="en-US" w:eastAsia="zh-CN"/>
              </w:rPr>
              <w:t>是</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trHeight w:val="489" w:hRule="atLeast"/>
          <w:jc w:val="center"/>
        </w:trPr>
        <w:tc>
          <w:tcPr>
            <w:tcW w:w="50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9</w:t>
            </w:r>
          </w:p>
        </w:tc>
        <w:tc>
          <w:tcPr>
            <w:tcW w:w="8962" w:type="dxa"/>
            <w:gridSpan w:val="2"/>
            <w:tcBorders>
              <w:top w:val="single" w:color="000000" w:sz="4" w:space="0"/>
              <w:left w:val="nil"/>
              <w:bottom w:val="single" w:color="000000" w:sz="4" w:space="0"/>
              <w:right w:val="single" w:color="000000" w:sz="4" w:space="0"/>
            </w:tcBorders>
            <w:noWrap w:val="0"/>
            <w:vAlign w:val="center"/>
          </w:tcPr>
          <w:p>
            <w:pPr>
              <w:rPr>
                <w:rFonts w:hint="eastAsia" w:ascii="宋体" w:hAnsi="宋体" w:cs="宋体"/>
                <w:color w:val="auto"/>
                <w:szCs w:val="21"/>
                <w:highlight w:val="none"/>
              </w:rPr>
            </w:pPr>
            <w:r>
              <w:rPr>
                <w:rFonts w:hint="eastAsia" w:ascii="宋体" w:hAnsi="宋体" w:cs="宋体"/>
                <w:color w:val="auto"/>
                <w:szCs w:val="21"/>
                <w:highlight w:val="none"/>
              </w:rPr>
              <w:t>解释权：本文件的解释权归采购人所有。</w:t>
            </w:r>
          </w:p>
        </w:tc>
      </w:tr>
    </w:tbl>
    <w:p>
      <w:pPr>
        <w:rPr>
          <w:rFonts w:hint="eastAsia" w:ascii="宋体" w:hAnsi="宋体" w:cs="宋体"/>
          <w:b/>
          <w:color w:val="auto"/>
          <w:sz w:val="24"/>
          <w:highlight w:val="none"/>
        </w:rPr>
      </w:pPr>
      <w:bookmarkStart w:id="12" w:name="_Toc280344493"/>
      <w:bookmarkEnd w:id="12"/>
      <w:bookmarkStart w:id="13" w:name="_Toc6937"/>
      <w:bookmarkStart w:id="14" w:name="_Toc24419"/>
    </w:p>
    <w:p>
      <w:pPr>
        <w:pStyle w:val="3"/>
        <w:rPr>
          <w:rFonts w:hint="eastAsia"/>
        </w:rPr>
      </w:pPr>
    </w:p>
    <w:p>
      <w:pPr>
        <w:rPr>
          <w:rFonts w:ascii="宋体" w:hAnsi="宋体" w:cs="宋体"/>
          <w:b/>
          <w:color w:val="auto"/>
          <w:sz w:val="24"/>
          <w:highlight w:val="none"/>
        </w:rPr>
      </w:pPr>
      <w:r>
        <w:rPr>
          <w:rFonts w:hint="eastAsia" w:ascii="宋体" w:hAnsi="宋体" w:cs="宋体"/>
          <w:b/>
          <w:color w:val="auto"/>
          <w:sz w:val="24"/>
          <w:highlight w:val="none"/>
        </w:rPr>
        <w:t>一、总   则</w:t>
      </w:r>
      <w:bookmarkEnd w:id="13"/>
      <w:bookmarkEnd w:id="14"/>
    </w:p>
    <w:p>
      <w:pPr>
        <w:adjustRightInd w:val="0"/>
        <w:snapToGrid w:val="0"/>
        <w:spacing w:line="440" w:lineRule="exact"/>
        <w:ind w:firstLine="482" w:firstLineChars="200"/>
        <w:outlineLvl w:val="2"/>
        <w:rPr>
          <w:rFonts w:ascii="宋体" w:hAnsi="宋体" w:cs="宋体"/>
          <w:color w:val="auto"/>
          <w:sz w:val="24"/>
          <w:highlight w:val="none"/>
        </w:rPr>
      </w:pPr>
      <w:r>
        <w:rPr>
          <w:rFonts w:hint="eastAsia" w:ascii="宋体" w:hAnsi="宋体" w:cs="宋体"/>
          <w:b/>
          <w:color w:val="auto"/>
          <w:sz w:val="24"/>
          <w:highlight w:val="none"/>
        </w:rPr>
        <w:t>1．适用范围</w:t>
      </w:r>
    </w:p>
    <w:p>
      <w:pPr>
        <w:adjustRightInd w:val="0"/>
        <w:snapToGrid w:val="0"/>
        <w:spacing w:line="440" w:lineRule="exact"/>
        <w:ind w:firstLine="480" w:firstLineChars="200"/>
        <w:outlineLvl w:val="3"/>
        <w:rPr>
          <w:rFonts w:ascii="宋体" w:hAnsi="宋体" w:cs="宋体"/>
          <w:bCs/>
          <w:color w:val="auto"/>
          <w:sz w:val="24"/>
          <w:highlight w:val="none"/>
        </w:rPr>
      </w:pPr>
      <w:r>
        <w:rPr>
          <w:rFonts w:hint="eastAsia" w:ascii="宋体" w:hAnsi="宋体" w:cs="宋体"/>
          <w:color w:val="auto"/>
          <w:sz w:val="24"/>
          <w:highlight w:val="none"/>
        </w:rPr>
        <w:t>1.1本竞争性磋商文件仅适用于本次竞争性磋商公告中所述</w:t>
      </w:r>
      <w:r>
        <w:rPr>
          <w:rFonts w:hint="eastAsia" w:ascii="宋体" w:hAnsi="宋体" w:cs="宋体"/>
          <w:bCs/>
          <w:color w:val="auto"/>
          <w:sz w:val="24"/>
          <w:highlight w:val="none"/>
        </w:rPr>
        <w:t>项目。</w:t>
      </w:r>
    </w:p>
    <w:p>
      <w:pPr>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2．定义</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2.1“采购代理机构”：</w:t>
      </w:r>
      <w:r>
        <w:rPr>
          <w:rFonts w:hint="eastAsia" w:ascii="宋体" w:hAnsi="宋体" w:cs="宋体"/>
          <w:color w:val="auto"/>
          <w:sz w:val="24"/>
          <w:highlight w:val="none"/>
          <w:lang w:eastAsia="zh-CN"/>
        </w:rPr>
        <w:t>河南惠德工程咨询有限公司</w:t>
      </w:r>
      <w:r>
        <w:rPr>
          <w:rFonts w:hint="eastAsia" w:ascii="宋体" w:hAnsi="宋体" w:cs="宋体"/>
          <w:color w:val="auto"/>
          <w:sz w:val="24"/>
          <w:highlight w:val="none"/>
        </w:rPr>
        <w:t>。</w:t>
      </w:r>
    </w:p>
    <w:p>
      <w:pPr>
        <w:tabs>
          <w:tab w:val="left" w:pos="0"/>
        </w:tabs>
        <w:adjustRightInd w:val="0"/>
        <w:snapToGrid w:val="0"/>
        <w:spacing w:line="440" w:lineRule="exact"/>
        <w:ind w:firstLine="480" w:firstLineChars="200"/>
        <w:rPr>
          <w:rFonts w:hint="eastAsia" w:ascii="宋体" w:hAnsi="宋体" w:cs="宋体"/>
          <w:color w:val="4F81BD" w:themeColor="accent1"/>
          <w:sz w:val="24"/>
          <w:highlight w:val="none"/>
          <w14:textFill>
            <w14:solidFill>
              <w14:schemeClr w14:val="accent1"/>
            </w14:solidFill>
          </w14:textFill>
        </w:rPr>
      </w:pPr>
      <w:r>
        <w:rPr>
          <w:rFonts w:hint="eastAsia" w:ascii="宋体" w:hAnsi="宋体" w:cs="宋体"/>
          <w:color w:val="auto"/>
          <w:sz w:val="24"/>
          <w:highlight w:val="none"/>
        </w:rPr>
        <w:t>2.2“采购人”：</w:t>
      </w:r>
      <w:r>
        <w:rPr>
          <w:rFonts w:hint="eastAsia" w:ascii="宋体" w:hAnsi="宋体" w:cs="宋体"/>
          <w:color w:val="auto"/>
          <w:sz w:val="24"/>
          <w:highlight w:val="none"/>
          <w:lang w:eastAsia="zh-CN"/>
        </w:rPr>
        <w:t>沁阳市常平中心幼儿园</w:t>
      </w:r>
      <w:r>
        <w:rPr>
          <w:rFonts w:hint="eastAsia" w:ascii="宋体" w:hAnsi="宋体" w:cs="宋体"/>
          <w:color w:val="auto"/>
          <w:sz w:val="24"/>
          <w:highlight w:val="none"/>
        </w:rPr>
        <w:t>。</w:t>
      </w:r>
    </w:p>
    <w:p>
      <w:pPr>
        <w:tabs>
          <w:tab w:val="left" w:pos="0"/>
        </w:tabs>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2.3“供应商”系指按竞争性磋商文件规定取得竞争性磋商文件并参加竞争性磋商活动的法人、其他组织或者自然人。</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2.4“供应商代表”系指代表供应商参加本次竞争性磋商活动的供应商的法定代表人或其委托代理人。</w:t>
      </w:r>
    </w:p>
    <w:p>
      <w:pPr>
        <w:adjustRightInd w:val="0"/>
        <w:snapToGrid w:val="0"/>
        <w:spacing w:line="440" w:lineRule="exact"/>
        <w:ind w:firstLine="480" w:firstLineChars="200"/>
        <w:outlineLvl w:val="3"/>
        <w:rPr>
          <w:rFonts w:ascii="宋体" w:hAnsi="宋体" w:cs="宋体"/>
          <w:color w:val="auto"/>
          <w:sz w:val="24"/>
          <w:highlight w:val="none"/>
        </w:rPr>
      </w:pPr>
      <w:r>
        <w:rPr>
          <w:rFonts w:hint="eastAsia" w:ascii="宋体" w:hAnsi="宋体" w:cs="宋体"/>
          <w:color w:val="auto"/>
          <w:sz w:val="24"/>
          <w:highlight w:val="none"/>
        </w:rPr>
        <w:t>2.5“服务”指竞争性磋商文件中所述的相关服务。</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2.7“重大违法记录”系指供应商因违法经营受到刑事处罚或者责令停产停业、吊销许可证或者执照、较大数额罚款等行政处罚。</w:t>
      </w:r>
    </w:p>
    <w:p>
      <w:pPr>
        <w:adjustRightInd w:val="0"/>
        <w:snapToGrid w:val="0"/>
        <w:spacing w:line="440" w:lineRule="exact"/>
        <w:ind w:firstLine="480" w:firstLineChars="200"/>
        <w:outlineLvl w:val="3"/>
        <w:rPr>
          <w:rFonts w:ascii="宋体" w:hAnsi="宋体" w:cs="宋体"/>
          <w:color w:val="auto"/>
          <w:sz w:val="24"/>
          <w:highlight w:val="none"/>
        </w:rPr>
      </w:pPr>
      <w:r>
        <w:rPr>
          <w:rFonts w:hint="eastAsia" w:ascii="宋体" w:hAnsi="宋体" w:cs="宋体"/>
          <w:color w:val="auto"/>
          <w:sz w:val="24"/>
          <w:highlight w:val="none"/>
        </w:rPr>
        <w:t>2.8“不具备良好的商业信誉”是指：</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（1）有重大违法记录的（满三年的除外）；</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（2）被各</w:t>
      </w:r>
      <w:r>
        <w:rPr>
          <w:rFonts w:hint="eastAsia" w:ascii="宋体" w:hAnsi="宋体" w:cs="宋体"/>
          <w:color w:val="auto"/>
          <w:sz w:val="24"/>
          <w:highlight w:val="none"/>
          <w:lang w:val="en-US" w:eastAsia="zh-CN"/>
        </w:rPr>
        <w:tab/>
      </w:r>
      <w:r>
        <w:rPr>
          <w:rFonts w:hint="eastAsia" w:ascii="宋体" w:hAnsi="宋体" w:cs="宋体"/>
          <w:color w:val="auto"/>
          <w:sz w:val="24"/>
          <w:highlight w:val="none"/>
        </w:rPr>
        <w:t>府采购严重违法失信行为信息记录的（期限已满的除外）；</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（3）被各级政府采购监督管理部门禁止在一定期限内参加政府采购活动等处罚的（期限已满的除外）；</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（4）被各级法院列入失信名单的（已依法解除的除外）；</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（5）不符合《财政部关于在政府采购活动中查询及使用信用记录有关问题的通知》（财库〔2016〕125号）相关规定的；</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（6）法律法规规定的其他情形。</w:t>
      </w:r>
    </w:p>
    <w:p>
      <w:pPr>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3.采购预算</w:t>
      </w:r>
    </w:p>
    <w:p>
      <w:pPr>
        <w:adjustRightInd w:val="0"/>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3.1 本次采购预算：</w:t>
      </w:r>
      <w:r>
        <w:rPr>
          <w:rFonts w:hint="eastAsia" w:ascii="宋体" w:hAnsi="宋体" w:cs="宋体"/>
          <w:color w:val="auto"/>
          <w:sz w:val="24"/>
          <w:highlight w:val="none"/>
        </w:rPr>
        <w:t>最高投标限价为</w:t>
      </w:r>
      <w:r>
        <w:rPr>
          <w:rFonts w:hint="eastAsia" w:ascii="宋体" w:hAnsi="宋体" w:cs="宋体"/>
          <w:color w:val="auto"/>
          <w:sz w:val="24"/>
          <w:highlight w:val="none"/>
          <w:lang w:val="en-US" w:eastAsia="zh-CN"/>
        </w:rPr>
        <w:t>1665733.73</w:t>
      </w:r>
      <w:r>
        <w:rPr>
          <w:rFonts w:hint="eastAsia" w:ascii="宋体" w:hAnsi="宋体" w:cs="宋体"/>
          <w:color w:val="auto"/>
          <w:sz w:val="24"/>
          <w:highlight w:val="none"/>
        </w:rPr>
        <w:t>元，磋商报价高于此限价的投标为无效标</w:t>
      </w:r>
      <w:r>
        <w:rPr>
          <w:rFonts w:hint="eastAsia" w:ascii="宋体" w:hAnsi="宋体" w:cs="宋体"/>
          <w:color w:val="auto"/>
          <w:kern w:val="0"/>
          <w:sz w:val="24"/>
          <w:highlight w:val="none"/>
        </w:rPr>
        <w:t>。</w:t>
      </w:r>
    </w:p>
    <w:p>
      <w:pPr>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4.合格的投标</w:t>
      </w:r>
    </w:p>
    <w:p>
      <w:pPr>
        <w:adjustRightInd w:val="0"/>
        <w:snapToGrid w:val="0"/>
        <w:spacing w:line="440" w:lineRule="exact"/>
        <w:ind w:firstLine="480" w:firstLineChars="200"/>
        <w:outlineLvl w:val="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4.1.</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具备符合《政府采购法》第二十二条规定的条件；</w:t>
      </w:r>
    </w:p>
    <w:p>
      <w:pPr>
        <w:adjustRightInd w:val="0"/>
        <w:snapToGrid w:val="0"/>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4.2.落实政府采购政策满足的资格要求：本项目执行促进中小企业发展政策(监狱企业、残疾人福利性企业视同小微企业)等政府采购政策；</w:t>
      </w:r>
    </w:p>
    <w:p>
      <w:pPr>
        <w:adjustRightInd w:val="0"/>
        <w:snapToGrid w:val="0"/>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4.3.本项目的特定资格要求：</w:t>
      </w:r>
    </w:p>
    <w:p>
      <w:pPr>
        <w:adjustRightInd w:val="0"/>
        <w:snapToGrid w:val="0"/>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3.1 供应商应具备独立企业法人资格，具有有效的营业执照，法定代表人或主要负责人所在的公司近三年内没有违法违规的行为；</w:t>
      </w:r>
    </w:p>
    <w:p>
      <w:pPr>
        <w:adjustRightInd w:val="0"/>
        <w:snapToGrid w:val="0"/>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3.2 供应商应具有建设行政主管部门颁发的建筑工程施工总承包三级及以上资质，且具备有效的安全生产许可证，并在人员、设备、资金等方面具备相应的施工能力；</w:t>
      </w:r>
    </w:p>
    <w:p>
      <w:pPr>
        <w:adjustRightInd w:val="0"/>
        <w:snapToGrid w:val="0"/>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 xml:space="preserve">3.3拟派项目经理要求：具有建筑工程专业二级及以上注册建造师资格；具有有效期内安全生产考核合格证书(B证)，且未担任其他在建工程项目经理(提供无在建工程承诺函)。 </w:t>
      </w:r>
    </w:p>
    <w:p>
      <w:pPr>
        <w:adjustRightInd w:val="0"/>
        <w:snapToGrid w:val="0"/>
        <w:spacing w:line="44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注：本文件所指“在建项目”是指：项目尚未竣工或已中标未开工。如果“在建项目”项目经理有变更情况的，需在响应性文件中附变更证明材料，否则视为项目经理有“在建项目”</w:t>
      </w:r>
      <w:r>
        <w:rPr>
          <w:rFonts w:hint="eastAsia" w:ascii="宋体" w:hAnsi="宋体" w:eastAsia="宋体" w:cs="宋体"/>
          <w:color w:val="auto"/>
          <w:kern w:val="0"/>
          <w:sz w:val="24"/>
          <w:highlight w:val="none"/>
          <w:lang w:eastAsia="zh-CN"/>
        </w:rPr>
        <w:t>；</w:t>
      </w:r>
    </w:p>
    <w:p>
      <w:pPr>
        <w:adjustRightInd w:val="0"/>
        <w:snapToGrid w:val="0"/>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3.4拟派项目技术负责人具有相关专业中级及以上职称；</w:t>
      </w:r>
    </w:p>
    <w:p>
      <w:pPr>
        <w:adjustRightInd w:val="0"/>
        <w:snapToGrid w:val="0"/>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3.5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查询渠道：失信被执行人和重大税收违法失信主体(查询网址“信用中国”网站</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"https://www.creditchina.gov.cn/、"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t>https://www.creditchina.gov.cn/、</w:t>
      </w:r>
      <w:r>
        <w:rPr>
          <w:rFonts w:hint="eastAsia" w:ascii="宋体" w:hAnsi="宋体" w:eastAsia="宋体" w:cs="宋体"/>
          <w:color w:val="auto"/>
          <w:kern w:val="0"/>
          <w:sz w:val="24"/>
          <w:highlight w:val="none"/>
        </w:rPr>
        <w:fldChar w:fldCharType="end"/>
      </w:r>
      <w:r>
        <w:rPr>
          <w:rFonts w:hint="eastAsia" w:ascii="宋体" w:hAnsi="宋体" w:eastAsia="宋体" w:cs="宋体"/>
          <w:color w:val="auto"/>
          <w:kern w:val="0"/>
          <w:sz w:val="24"/>
          <w:highlight w:val="none"/>
        </w:rPr>
        <w:t xml:space="preserve">“中国执 </w:t>
      </w:r>
    </w:p>
    <w:p>
      <w:pPr>
        <w:adjustRightInd w:val="0"/>
        <w:snapToGrid w:val="0"/>
        <w:spacing w:line="440" w:lineRule="exac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行信息公开网”网站</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"https://zxgk.court.gov.cn/)、政府采购严重违法失信行为记录名单(查询网址"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t>https://zxgk.court.gov.cn/)、政府采购严重违法失信行为记录名单(查询</w:t>
      </w:r>
      <w:r>
        <w:rPr>
          <w:rFonts w:hint="eastAsia" w:ascii="宋体" w:hAnsi="宋体" w:eastAsia="宋体" w:cs="宋体"/>
          <w:color w:val="auto"/>
          <w:kern w:val="0"/>
          <w:sz w:val="24"/>
          <w:highlight w:val="none"/>
        </w:rPr>
        <w:fldChar w:fldCharType="end"/>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"https://zxgk.court.gov.cn/)、政府采购严重违法失信行为记录名单(查询网址" </w:instrText>
      </w:r>
      <w:r>
        <w:rPr>
          <w:rFonts w:hint="eastAsia" w:ascii="宋体" w:hAnsi="宋体" w:eastAsia="宋体" w:cs="宋体"/>
          <w:color w:val="auto"/>
          <w:kern w:val="0"/>
          <w:sz w:val="24"/>
          <w:highlight w:val="none"/>
        </w:rPr>
        <w:fldChar w:fldCharType="separate"/>
      </w:r>
      <w:r>
        <w:rPr>
          <w:rFonts w:hint="eastAsia" w:ascii="宋体" w:hAnsi="宋体" w:eastAsia="宋体" w:cs="宋体"/>
          <w:color w:val="auto"/>
          <w:kern w:val="0"/>
          <w:sz w:val="24"/>
          <w:highlight w:val="none"/>
        </w:rPr>
        <w:t>网址</w:t>
      </w:r>
      <w:r>
        <w:rPr>
          <w:rFonts w:hint="eastAsia" w:ascii="宋体" w:hAnsi="宋体" w:eastAsia="宋体" w:cs="宋体"/>
          <w:color w:val="auto"/>
          <w:kern w:val="0"/>
          <w:sz w:val="24"/>
          <w:highlight w:val="none"/>
        </w:rPr>
        <w:fldChar w:fldCharType="end"/>
      </w:r>
      <w:r>
        <w:rPr>
          <w:rFonts w:hint="eastAsia" w:ascii="宋体" w:hAnsi="宋体" w:eastAsia="宋体" w:cs="宋体"/>
          <w:color w:val="auto"/>
          <w:kern w:val="0"/>
          <w:sz w:val="24"/>
          <w:highlight w:val="none"/>
        </w:rPr>
        <w:t xml:space="preserve">“中国政府采购网”网站(http://www.ccgp.gov.cn)。（以采购人或采购代理机构提供磋商当日查询结果为准）； </w:t>
      </w:r>
    </w:p>
    <w:p>
      <w:pPr>
        <w:adjustRightInd w:val="0"/>
        <w:snapToGrid w:val="0"/>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 xml:space="preserve">3.6 </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必须提供投标承诺函；</w:t>
      </w:r>
    </w:p>
    <w:p>
      <w:pPr>
        <w:adjustRightInd w:val="0"/>
        <w:snapToGrid w:val="0"/>
        <w:spacing w:line="44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3.7 本项目不接受联合体参加磋商（无需提供任何声明、承诺）。</w:t>
      </w:r>
    </w:p>
    <w:p>
      <w:pPr>
        <w:adjustRightInd w:val="0"/>
        <w:snapToGrid w:val="0"/>
        <w:spacing w:line="440" w:lineRule="exact"/>
        <w:ind w:left="0" w:leftChars="0" w:firstLine="422" w:firstLineChars="175"/>
        <w:outlineLvl w:val="2"/>
        <w:rPr>
          <w:rFonts w:ascii="宋体" w:hAnsi="宋体" w:cs="宋体"/>
          <w:b/>
          <w:color w:val="auto"/>
          <w:sz w:val="24"/>
          <w:highlight w:val="none"/>
        </w:rPr>
      </w:pPr>
      <w:r>
        <w:rPr>
          <w:rFonts w:hint="eastAsia" w:ascii="宋体" w:hAnsi="宋体" w:cs="宋体"/>
          <w:b/>
          <w:color w:val="auto"/>
          <w:sz w:val="24"/>
          <w:highlight w:val="none"/>
        </w:rPr>
        <w:t>5.竞争性磋商费用</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5.1供应商应承诺其参与竞争性磋商活动有关的全部费用，无论竞争性磋商结果如何，均由供应商自行承担。</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 确定为成交供应商的，参照相关规定向采购代理机构缴纳代理服务费等。</w:t>
      </w:r>
    </w:p>
    <w:p>
      <w:pPr>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 xml:space="preserve">6.竞争性磋商文件的约束力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6.l 供应商一旦参加竞争性磋商会，即被认为接受了本竞争性磋商文件中的所有条款和规定。</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adjustRightInd w:val="0"/>
        <w:snapToGrid w:val="0"/>
        <w:spacing w:line="440" w:lineRule="exact"/>
        <w:ind w:firstLine="482" w:firstLineChars="200"/>
        <w:jc w:val="center"/>
        <w:outlineLvl w:val="1"/>
        <w:rPr>
          <w:rFonts w:ascii="宋体" w:hAnsi="宋体" w:cs="宋体"/>
          <w:b/>
          <w:color w:val="auto"/>
          <w:sz w:val="24"/>
          <w:highlight w:val="none"/>
        </w:rPr>
      </w:pPr>
      <w:bookmarkStart w:id="15" w:name="_Toc15533"/>
      <w:bookmarkStart w:id="16" w:name="_Toc24069"/>
      <w:bookmarkStart w:id="17" w:name="_Toc13164"/>
      <w:bookmarkStart w:id="18" w:name="_Toc24655"/>
      <w:r>
        <w:rPr>
          <w:rFonts w:hint="eastAsia" w:ascii="宋体" w:hAnsi="宋体" w:cs="宋体"/>
          <w:b/>
          <w:color w:val="auto"/>
          <w:sz w:val="24"/>
          <w:highlight w:val="none"/>
        </w:rPr>
        <w:t>二、竞争性磋商文件</w:t>
      </w:r>
      <w:bookmarkEnd w:id="15"/>
      <w:bookmarkEnd w:id="16"/>
      <w:bookmarkEnd w:id="17"/>
      <w:bookmarkEnd w:id="18"/>
    </w:p>
    <w:p>
      <w:pPr>
        <w:tabs>
          <w:tab w:val="left" w:pos="632"/>
          <w:tab w:val="left" w:pos="790"/>
        </w:tabs>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7．竞争性磋商文件的组成</w:t>
      </w:r>
    </w:p>
    <w:p>
      <w:pPr>
        <w:autoSpaceDE w:val="0"/>
        <w:autoSpaceDN w:val="0"/>
        <w:adjustRightInd w:val="0"/>
        <w:snapToGrid w:val="0"/>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7.1 竞争性磋商</w:t>
      </w:r>
      <w:r>
        <w:rPr>
          <w:rFonts w:hint="eastAsia" w:ascii="宋体" w:hAnsi="宋体" w:cs="宋体"/>
          <w:b/>
          <w:bCs/>
          <w:color w:val="auto"/>
          <w:sz w:val="24"/>
          <w:highlight w:val="none"/>
          <w:lang w:val="zh-CN"/>
        </w:rPr>
        <w:t>文件是用以阐明的采购需求、采购程序和合同格式等的规范性文件。竞争性磋商文件主要由以下部分组成：</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（1）竞争性磋商公告；</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（2）供应商须知；</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（3）采购内容及要求；</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（4）响应性文件内容及格式；</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（5）合同主要条款（参考）。</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 供应商收到竞争性磋商文件后，应仔细检查竞争性磋商文件是否齐全、是否有表述不明确或缺（错、重）字等问题。供应商发现任何页数和附件数量的遗缺，任何数字或词汇模糊不清，任何词义含混不清的情形，应立即与采购人或采购代理机构联系解决。如果供应商因未按上述提出要求而造成不良后果的，采购人不承担任何责任。</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 供应商应充分熟悉本采购项目所在地的与履行合同有关的各种情况，包括但不限于自然环境、气候条件、劳动力及公用设施等，本竞争性磋商文件不再对上述情况进行描述。</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7.4 供应商必须详阅竞争性磋商文件的所有条款、文件及表格格式等。供应商若未按竞争性磋商文件的要求和规范编制、提交响应性文件，将有可能导致响应性文件被拒绝接受或被视为无效。 </w:t>
      </w:r>
    </w:p>
    <w:p>
      <w:pPr>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8. 竞争性磋商文件的澄清与修改</w:t>
      </w:r>
    </w:p>
    <w:p>
      <w:pPr>
        <w:autoSpaceDE w:val="0"/>
        <w:autoSpaceDN w:val="0"/>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8.1 提交（接收）</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截止之日前，采购人、采购代理机构或者磋商小组可以对已发出的竞争性磋商文件进行必要的澄清或者修改，澄清或修改的内容作为竞争性磋商文件的组成部分。澄清或者修改的内容可能影响相应文件编制的，采购人、采购机构将在提交</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截止时间至少5日前，在发布竞争性磋商公告的媒体上以书面形式（或以更正、变更公告的方式）通知所有获取（购买）竞争性磋商文件的供应商，不足5日的，采购人、采购机构顺延提交（接收）</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截止时间。</w:t>
      </w:r>
    </w:p>
    <w:p>
      <w:pPr>
        <w:autoSpaceDE w:val="0"/>
        <w:autoSpaceDN w:val="0"/>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8.2</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参与磋商的供应商对采购人提供的磋商文件所做出的推论、解释和结论，采购人概不负责。参与磋商的供应商由于对磋商文件的任何推论和误解，以及采购人对有关问题的口头解释所造成的后果，均由参与磋商的供应商自负。</w:t>
      </w:r>
    </w:p>
    <w:p>
      <w:pPr>
        <w:autoSpaceDE w:val="0"/>
        <w:autoSpaceDN w:val="0"/>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8.3</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采购人有权对已发出的磋商文件进行必要的澄清或修改,磋商文件的澄清、修改、补充等将以书面形式通知所有参与磋商的供应商，澄清或修改作为磋商文件的组成部分并对供应商具有约束力。供应商应在收到该澄清、修改、补充等内容的文件后以书面形式回复采购人，确认已收到该文件。</w:t>
      </w:r>
    </w:p>
    <w:p>
      <w:pPr>
        <w:autoSpaceDE w:val="0"/>
        <w:autoSpaceDN w:val="0"/>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8.4</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磋商文件的澄清、修改、补充等内容均以书面形式通知明确的内容为准。当磋商文件的澄清、修改、补充等在同一内容的表述上不一致时，以最后发出的书面形式的通知为准。</w:t>
      </w:r>
    </w:p>
    <w:p>
      <w:pPr>
        <w:adjustRightInd w:val="0"/>
        <w:snapToGrid w:val="0"/>
        <w:spacing w:line="440" w:lineRule="exact"/>
        <w:ind w:firstLine="482" w:firstLineChars="200"/>
        <w:jc w:val="center"/>
        <w:outlineLvl w:val="1"/>
        <w:rPr>
          <w:rFonts w:ascii="宋体" w:hAnsi="宋体" w:cs="宋体"/>
          <w:b/>
          <w:color w:val="auto"/>
          <w:sz w:val="24"/>
          <w:highlight w:val="none"/>
        </w:rPr>
      </w:pPr>
      <w:bookmarkStart w:id="19" w:name="_Toc1249"/>
      <w:bookmarkStart w:id="20" w:name="_Toc17348"/>
      <w:bookmarkStart w:id="21" w:name="_Toc28354"/>
      <w:bookmarkStart w:id="22" w:name="_Toc1531"/>
      <w:r>
        <w:rPr>
          <w:rFonts w:hint="eastAsia" w:ascii="宋体" w:hAnsi="宋体" w:cs="宋体"/>
          <w:b/>
          <w:color w:val="auto"/>
          <w:sz w:val="24"/>
          <w:highlight w:val="none"/>
        </w:rPr>
        <w:t>三、响应性文件的编制</w:t>
      </w:r>
      <w:bookmarkEnd w:id="19"/>
      <w:bookmarkEnd w:id="20"/>
      <w:bookmarkEnd w:id="21"/>
      <w:bookmarkEnd w:id="22"/>
    </w:p>
    <w:p>
      <w:pPr>
        <w:adjustRightInd w:val="0"/>
        <w:snapToGrid w:val="0"/>
        <w:spacing w:line="440" w:lineRule="exact"/>
        <w:ind w:firstLine="482" w:firstLineChars="200"/>
        <w:outlineLvl w:val="2"/>
        <w:rPr>
          <w:rFonts w:ascii="宋体" w:hAnsi="宋体" w:cs="宋体"/>
          <w:b/>
          <w:bCs/>
          <w:color w:val="auto"/>
          <w:sz w:val="24"/>
          <w:highlight w:val="none"/>
        </w:rPr>
      </w:pPr>
      <w:r>
        <w:rPr>
          <w:rFonts w:hint="eastAsia" w:ascii="宋体" w:hAnsi="宋体" w:cs="宋体"/>
          <w:b/>
          <w:bCs/>
          <w:color w:val="auto"/>
          <w:sz w:val="24"/>
          <w:highlight w:val="none"/>
        </w:rPr>
        <w:t>9. 要求</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9.1供应商应仔细阅读、并充分理解竞争性磋商文件的所有内容，按照竞争性磋商文件的要求编制、提交响应性文件。响应性文件应对竞争性磋商文件的要求作出实质性响应，并承诺所提供的全部资料的真实性、合法性，否则其响应性文件将作为无效处理。</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 任何对竞争性磋商文件的忽略或误解不能作为响应性文件没有完全响应竞争性磋商文件的有效理由。</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9.3 供应商没有按照竞争性磋商文件要求提供全部资料，或者供应商没有对竞争性磋商文件在各方面都作出实质性响应是供应商的风险，并可能导致其响应性文件被拒绝。</w:t>
      </w:r>
    </w:p>
    <w:p>
      <w:pPr>
        <w:spacing w:before="33" w:line="364" w:lineRule="auto"/>
        <w:ind w:right="85" w:firstLine="417"/>
        <w:jc w:val="both"/>
        <w:rPr>
          <w:rFonts w:hint="eastAsia" w:ascii="宋体" w:hAnsi="宋体" w:cs="宋体"/>
          <w:color w:val="auto"/>
          <w:sz w:val="24"/>
          <w:highlight w:val="none"/>
        </w:rPr>
      </w:pPr>
      <w:r>
        <w:rPr>
          <w:rFonts w:hint="eastAsia" w:ascii="宋体" w:hAnsi="宋体" w:eastAsia="宋体" w:cs="宋体"/>
          <w:color w:val="auto"/>
          <w:sz w:val="24"/>
          <w:highlight w:val="none"/>
          <w:lang w:val="en-US" w:eastAsia="zh-CN"/>
        </w:rPr>
        <w:t>9.4供应商应对磋商文件有关工期、投标有效期、质量要求、付款方式、采购内容、缺陷责任期等实质性内容作出响应，</w:t>
      </w:r>
      <w:r>
        <w:rPr>
          <w:rFonts w:hint="eastAsia" w:ascii="宋体" w:hAnsi="宋体" w:eastAsia="宋体" w:cs="宋体"/>
          <w:color w:val="auto"/>
          <w:sz w:val="24"/>
          <w:highlight w:val="none"/>
          <w:lang w:eastAsia="zh-CN"/>
        </w:rPr>
        <w:t>否则视为无效标</w:t>
      </w:r>
      <w:r>
        <w:rPr>
          <w:rFonts w:hint="eastAsia" w:ascii="宋体" w:hAnsi="宋体" w:eastAsia="宋体" w:cs="宋体"/>
          <w:color w:val="auto"/>
          <w:spacing w:val="7"/>
          <w:sz w:val="21"/>
          <w:szCs w:val="21"/>
          <w:highlight w:val="none"/>
          <w:lang w:eastAsia="zh-CN"/>
        </w:rPr>
        <w:t>。</w:t>
      </w:r>
    </w:p>
    <w:p>
      <w:pPr>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 xml:space="preserve">10.响应性文件的语言及度量衡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10.1响应性文件以及供应商与采购机构之间的所有书面往来都应用简体中文书写。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10.2 关于计量单位，竞争性磋商文件已有明确规定的，使用竞争性磋商文件规定的计量单位；竞争性磋商文件没有规定的，应采用中华人民共和国法定计量单位。</w:t>
      </w:r>
    </w:p>
    <w:p>
      <w:pPr>
        <w:adjustRightInd w:val="0"/>
        <w:snapToGrid w:val="0"/>
        <w:spacing w:line="440" w:lineRule="exact"/>
        <w:ind w:firstLine="480" w:firstLineChars="200"/>
        <w:outlineLvl w:val="3"/>
        <w:rPr>
          <w:rFonts w:ascii="宋体" w:hAnsi="宋体" w:cs="宋体"/>
          <w:color w:val="auto"/>
          <w:sz w:val="24"/>
          <w:highlight w:val="none"/>
        </w:rPr>
      </w:pPr>
      <w:r>
        <w:rPr>
          <w:rFonts w:hint="eastAsia" w:ascii="宋体" w:hAnsi="宋体" w:cs="宋体"/>
          <w:color w:val="auto"/>
          <w:sz w:val="24"/>
          <w:highlight w:val="none"/>
        </w:rPr>
        <w:t xml:space="preserve">10.3本竞争性磋商文件所表述的时间均为北京时间。 </w:t>
      </w:r>
    </w:p>
    <w:p>
      <w:pPr>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11.响应性文件的组成</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11.1响应性文件由</w:t>
      </w:r>
      <w:r>
        <w:rPr>
          <w:rFonts w:hint="eastAsia" w:ascii="宋体" w:hAnsi="宋体" w:cs="宋体"/>
          <w:bCs/>
          <w:color w:val="auto"/>
          <w:sz w:val="24"/>
          <w:highlight w:val="none"/>
          <w:u w:val="single"/>
        </w:rPr>
        <w:t>资格性证明材料</w:t>
      </w:r>
      <w:r>
        <w:rPr>
          <w:rFonts w:hint="eastAsia" w:ascii="宋体" w:hAnsi="宋体" w:cs="宋体"/>
          <w:bCs/>
          <w:color w:val="auto"/>
          <w:sz w:val="24"/>
          <w:highlight w:val="none"/>
        </w:rPr>
        <w:t>、</w:t>
      </w:r>
      <w:r>
        <w:rPr>
          <w:rFonts w:hint="eastAsia" w:ascii="宋体" w:hAnsi="宋体" w:cs="宋体"/>
          <w:bCs/>
          <w:color w:val="auto"/>
          <w:sz w:val="24"/>
          <w:highlight w:val="none"/>
          <w:u w:val="single"/>
        </w:rPr>
        <w:t>符合性证明材料</w:t>
      </w:r>
      <w:r>
        <w:rPr>
          <w:rFonts w:hint="eastAsia" w:ascii="宋体" w:hAnsi="宋体" w:cs="宋体"/>
          <w:bCs/>
          <w:color w:val="auto"/>
          <w:sz w:val="24"/>
          <w:highlight w:val="none"/>
        </w:rPr>
        <w:t>、</w:t>
      </w:r>
      <w:r>
        <w:rPr>
          <w:rFonts w:hint="eastAsia" w:ascii="宋体" w:hAnsi="宋体" w:cs="宋体"/>
          <w:bCs/>
          <w:color w:val="auto"/>
          <w:sz w:val="24"/>
          <w:highlight w:val="none"/>
          <w:u w:val="single"/>
        </w:rPr>
        <w:t>其他材料</w:t>
      </w:r>
      <w:r>
        <w:rPr>
          <w:rFonts w:hint="eastAsia" w:ascii="宋体" w:hAnsi="宋体" w:cs="宋体"/>
          <w:color w:val="auto"/>
          <w:sz w:val="24"/>
          <w:highlight w:val="none"/>
        </w:rPr>
        <w:t>三部分组成。具体内容和格式见竞争性磋商文件</w:t>
      </w:r>
      <w:r>
        <w:rPr>
          <w:rFonts w:hint="eastAsia" w:ascii="宋体" w:hAnsi="宋体" w:cs="宋体"/>
          <w:bCs/>
          <w:color w:val="auto"/>
          <w:sz w:val="24"/>
          <w:highlight w:val="none"/>
        </w:rPr>
        <w:t>第四章</w:t>
      </w:r>
      <w:r>
        <w:rPr>
          <w:rFonts w:hint="eastAsia" w:ascii="宋体" w:hAnsi="宋体" w:cs="宋体"/>
          <w:color w:val="auto"/>
          <w:sz w:val="24"/>
          <w:highlight w:val="none"/>
        </w:rPr>
        <w:t>。</w:t>
      </w:r>
    </w:p>
    <w:p>
      <w:pPr>
        <w:numPr>
          <w:ilvl w:val="0"/>
          <w:numId w:val="0"/>
        </w:numPr>
        <w:adjustRightInd w:val="0"/>
        <w:snapToGrid w:val="0"/>
        <w:spacing w:line="440" w:lineRule="exact"/>
        <w:ind w:left="0" w:leftChars="0" w:firstLine="422" w:firstLineChars="175"/>
        <w:outlineLvl w:val="2"/>
        <w:rPr>
          <w:rFonts w:ascii="宋体" w:hAnsi="宋体" w:cs="宋体"/>
          <w:b/>
          <w:color w:val="auto"/>
          <w:sz w:val="24"/>
          <w:highlight w:val="none"/>
        </w:rPr>
      </w:pPr>
      <w:r>
        <w:rPr>
          <w:rFonts w:hint="eastAsia" w:ascii="宋体" w:hAnsi="宋体" w:cs="宋体"/>
          <w:b/>
          <w:color w:val="auto"/>
          <w:sz w:val="24"/>
          <w:highlight w:val="none"/>
          <w:lang w:val="en-US" w:eastAsia="zh-CN"/>
        </w:rPr>
        <w:t>12.</w:t>
      </w:r>
      <w:r>
        <w:rPr>
          <w:rFonts w:hint="eastAsia" w:ascii="宋体" w:hAnsi="宋体" w:cs="宋体"/>
          <w:b/>
          <w:color w:val="auto"/>
          <w:sz w:val="24"/>
          <w:highlight w:val="none"/>
        </w:rPr>
        <w:t>响应性文件格式</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供应商应按照竞争性磋商文件提供的格式编写响应性文件，不得缺少、留空或私自更改任何竞争性磋商文件要求填写的表格或提交的资料（特殊要求的除外）。竞争性磋商文件提供格式的按格式填列，未提供格式的可自行拟定。</w:t>
      </w:r>
    </w:p>
    <w:p>
      <w:pPr>
        <w:adjustRightInd w:val="0"/>
        <w:snapToGrid w:val="0"/>
        <w:spacing w:line="440" w:lineRule="exact"/>
        <w:ind w:firstLine="482" w:firstLineChars="200"/>
        <w:outlineLvl w:val="2"/>
        <w:rPr>
          <w:rFonts w:ascii="宋体" w:hAnsi="宋体" w:cs="宋体"/>
          <w:b/>
          <w:bCs/>
          <w:color w:val="auto"/>
          <w:kern w:val="0"/>
          <w:sz w:val="24"/>
          <w:highlight w:val="none"/>
        </w:rPr>
      </w:pPr>
      <w:r>
        <w:rPr>
          <w:rFonts w:hint="eastAsia" w:ascii="宋体" w:hAnsi="宋体" w:cs="宋体"/>
          <w:b/>
          <w:bCs/>
          <w:color w:val="auto"/>
          <w:kern w:val="0"/>
          <w:sz w:val="24"/>
          <w:highlight w:val="none"/>
        </w:rPr>
        <w:t>13.竞争性磋商报价</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所有磋商报价均以人民币元为计算单位。供应商的报价应包含完成本次设备采购中产生的人员费用、服务、利润、税金及其他所有费用的总和（包括磋商文件中未列明的完成本项目所需的费用）；成交供应商在成交后不得以任何理由增加任何费用，改变采购需求或合同重要内容除外。</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13.2响应性文件中的报价并非最后报价，在竞争性磋商结束后由供应商再提交最后报价。</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13.3 采购机构不接受有选择的报价。 </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13.4对小型或微型企业投标的扶持：(如有）</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13.4.1供应商当按照规定出具《中小企业声明函》，否则不享受相关扶持政策；</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按照《政府采购促进中小企业发展管理办法》有关规定，中小企业的标准为：</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提供本企业制造的货物、承担的工程或者服务，或者提供其他中小企业制造的货物，不包括提供或使用大型企业注册商标的货物；</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本规定所称中小企业划分标准，是指国务院有关部门根据企业从业人员、营业收入、资产总额等指标制定的中小企业划型标准（工信部联企业[2011]300号）；</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小型、微型企业提供有中型企业制造的货物的，视同为中型企业；小型、微型、中型企业提供有大型企业制造的货物的，视同为大型企业。</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13.4.2根据财库〔2014〕68号《财政部司法部关于政府采购支持监狱企业发展有关问题的通知》，监狱企业视同小微企业。提供由省级以上监狱管理局、戒毒管理局(含新疆生产建设兵团)出具的属于监狱企业的证明文件（</w:t>
      </w:r>
      <w:r>
        <w:rPr>
          <w:rFonts w:hint="eastAsia" w:ascii="宋体" w:hAnsi="宋体" w:cs="宋体"/>
          <w:color w:val="auto"/>
          <w:sz w:val="24"/>
          <w:highlight w:val="none"/>
          <w:lang w:eastAsia="zh-CN"/>
        </w:rPr>
        <w:t>响应性</w:t>
      </w:r>
      <w:r>
        <w:rPr>
          <w:rFonts w:hint="eastAsia" w:ascii="宋体" w:hAnsi="宋体" w:cs="宋体"/>
          <w:color w:val="auto"/>
          <w:sz w:val="24"/>
          <w:highlight w:val="none"/>
        </w:rPr>
        <w:t>文件中附扫描件），不再提供《中小企业声明函》，供应商出具的监狱企业证明文件如有虚假，其成交资格将被取消，并根据相关规定进行处罚。</w:t>
      </w:r>
    </w:p>
    <w:p>
      <w:pPr>
        <w:adjustRightInd w:val="0"/>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13.4.3根据财库〔2017〕141号《财政部、民政部、中国残疾人联合会关于促进残疾人就业政府采购政策的通知》残疾人福利性单位视同小型、微型企业，残疾人福利性单位在参加政府采购活动时提供《残疾人福利性单位声明函》，不再提供《中小企业声明函》，供应商在《残疾人福利性单位声明函》中的承诺如有虚假，其成交资格将被取消，并根据相关规定进行处罚。</w:t>
      </w:r>
    </w:p>
    <w:p>
      <w:pPr>
        <w:adjustRightInd w:val="0"/>
        <w:snapToGrid w:val="0"/>
        <w:spacing w:line="440" w:lineRule="exact"/>
        <w:ind w:left="0" w:leftChars="0" w:firstLine="420" w:firstLineChars="175"/>
        <w:rPr>
          <w:rFonts w:hint="eastAsia" w:ascii="宋体" w:hAnsi="宋体" w:cs="宋体"/>
          <w:color w:val="auto"/>
          <w:sz w:val="24"/>
          <w:highlight w:val="none"/>
        </w:rPr>
      </w:pPr>
      <w:r>
        <w:rPr>
          <w:rFonts w:hint="eastAsia" w:ascii="宋体" w:hAnsi="宋体" w:cs="宋体"/>
          <w:color w:val="auto"/>
          <w:sz w:val="24"/>
          <w:highlight w:val="none"/>
        </w:rPr>
        <w:t>13.4.4采购人根据供应商提供的《中小企业声明函》认定该供应商是否属于中小企业，监狱企业和残疾人福利性单位视同小型、微型企业。不属于中小企业、监狱企业或残疾人福利性单位的拒绝参与本项目投标。</w:t>
      </w:r>
    </w:p>
    <w:p>
      <w:pPr>
        <w:adjustRightInd w:val="0"/>
        <w:snapToGrid w:val="0"/>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14.竞争性磋商保证金：无</w:t>
      </w:r>
    </w:p>
    <w:p>
      <w:pPr>
        <w:adjustRightInd w:val="0"/>
        <w:snapToGrid w:val="0"/>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 xml:space="preserve">15．响应性文件有效期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15.1 从提交响应性文件截止之日起60日历天，响应性文件有效期短于规定期限的，作无效投标处理。中标人的响应性文件有效期至合同完全履约完毕止；</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15.2响应性文件响应时间应与提交响应性文件截止之日时间一致；</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特殊情况下代理公司可于投标有效期满之前书面要求供应商同意延长有效期，供应商应在代理公司规定的期限内以书面形式予以答复。供应商可以拒绝上述要求。供应商答复不明确或者逾期未答复的，均视为拒绝上述要求。对于接受该要求的供应商，既不要求也不允许其修改响应性文件。</w:t>
      </w:r>
    </w:p>
    <w:p>
      <w:pPr>
        <w:adjustRightInd w:val="0"/>
        <w:snapToGrid w:val="0"/>
        <w:spacing w:line="440" w:lineRule="exact"/>
        <w:ind w:firstLine="482" w:firstLineChars="200"/>
        <w:outlineLvl w:val="2"/>
        <w:rPr>
          <w:rFonts w:ascii="宋体" w:hAnsi="宋体" w:cs="宋体"/>
          <w:b/>
          <w:bCs/>
          <w:color w:val="auto"/>
          <w:sz w:val="24"/>
          <w:highlight w:val="none"/>
        </w:rPr>
      </w:pPr>
      <w:r>
        <w:rPr>
          <w:rFonts w:hint="eastAsia" w:ascii="宋体" w:hAnsi="宋体" w:cs="宋体"/>
          <w:b/>
          <w:bCs/>
          <w:color w:val="auto"/>
          <w:sz w:val="24"/>
          <w:highlight w:val="none"/>
        </w:rPr>
        <w:t>16.磋商</w:t>
      </w:r>
      <w:r>
        <w:rPr>
          <w:rFonts w:hint="eastAsia" w:ascii="宋体" w:hAnsi="宋体" w:cs="宋体"/>
          <w:b/>
          <w:bCs/>
          <w:color w:val="auto"/>
          <w:sz w:val="24"/>
          <w:highlight w:val="none"/>
          <w:lang w:eastAsia="zh-CN"/>
        </w:rPr>
        <w:t>响应性文件</w:t>
      </w:r>
      <w:r>
        <w:rPr>
          <w:rFonts w:hint="eastAsia" w:ascii="宋体" w:hAnsi="宋体" w:cs="宋体"/>
          <w:b/>
          <w:bCs/>
          <w:color w:val="auto"/>
          <w:sz w:val="24"/>
          <w:highlight w:val="none"/>
        </w:rPr>
        <w:t>的签署及规定</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16.1供应商登录“焦作市公共资源交易中心”网站，按要求下载“新点响应性文件制作软件”。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 供应商凭CA 锁登录，并按网上提示自行下载竞争性磋商文件。使用“新点响应性文件制作软件”按要求制作电子响应性文件。供应商在制作电子响应性文件时，应按要求进行电子签章。供应商编辑电子响应性文件时，根据竞争性磋商文件要求用法定代表人CA锁和企业CA锁进行签章制作；最后一步生成电子</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 xml:space="preserve">时，只能用本单位的企业CA 锁。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16.3加密的电子响应性文件为“焦作市公共资源交易中心”网站提供的“新点响应性文件制作软件”制作生成的加密版响应性文件。未加密的电子响应性文件应与加密的电子响应性文件为同时生成的版本。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16.4响应性文件格式所要求包含的全部资料应全部制作在响应性文件内，严格按照本项目响应性文件所有格式如实填写（不涉及的内容除外），不应存在漏项或缺项，否则将存在响应性文件被否决的风险。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16.5 </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所附证明材料应按照竞争性磋商文件要求提供，尺寸和清晰度应该能够在电脑上被阅读、识别和判断；若供应商未按要求提供证明材料或提供不清晰的扫描件（或照片）的，磋商小组有权认定其</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未对竞争性磋商文件有关要求进行响应，涉及资格审查性或符合性审查的将不予通过。</w:t>
      </w:r>
    </w:p>
    <w:p>
      <w:pPr>
        <w:adjustRightInd w:val="0"/>
        <w:snapToGrid w:val="0"/>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16.6 供应商可按本竞争性磋商文件规定的格式编制响应性文件。除了响应性文件封面以外，每个页面都要在明显位置编制页码，</w:t>
      </w:r>
      <w:r>
        <w:rPr>
          <w:rFonts w:hint="eastAsia" w:ascii="宋体" w:hAnsi="宋体" w:cs="宋体"/>
          <w:color w:val="auto"/>
          <w:sz w:val="24"/>
          <w:highlight w:val="none"/>
          <w:lang w:val="zh-CN"/>
        </w:rPr>
        <w:t>字迹需清晰可认，</w:t>
      </w:r>
      <w:r>
        <w:rPr>
          <w:rFonts w:hint="eastAsia" w:ascii="宋体" w:hAnsi="宋体" w:cs="宋体"/>
          <w:color w:val="auto"/>
          <w:sz w:val="24"/>
          <w:highlight w:val="none"/>
        </w:rPr>
        <w:t>编制</w:t>
      </w:r>
      <w:r>
        <w:rPr>
          <w:rFonts w:hint="eastAsia" w:ascii="宋体" w:hAnsi="宋体" w:cs="宋体"/>
          <w:color w:val="auto"/>
          <w:sz w:val="24"/>
          <w:highlight w:val="none"/>
          <w:lang w:val="zh-CN"/>
        </w:rPr>
        <w:t>目录。响应性文件内容不完整、编排混乱导致被误读、漏读或者查找不到相关内容的，由供应商负责。</w:t>
      </w:r>
    </w:p>
    <w:p>
      <w:pPr>
        <w:adjustRightInd w:val="0"/>
        <w:snapToGrid w:val="0"/>
        <w:spacing w:line="4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 xml:space="preserve">16.7 </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lang w:val="zh-CN"/>
        </w:rPr>
        <w:t>未按要求签字或加盖电子签章的视为无效文件。本采购文件所表述（指定）的电子签章是指法人（供应商）行政电子签章，不包括专用章。</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16.8 响应性文件应无涂改和行间插字，除非这些改动是为改正供应商造成的必须修改的错误进行的。有改动时，修改处应由供应商代表签署证明或加盖电子签章，但非供应商出具的材料，供应商改动无效。</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16.9供应商提交的资料应证明其满足竞争性磋商文件要求，该文件可以是文字资料、图纸和数据，以及拟提供货物的主要技术参数、指标和性能或提供服务的详细描述等资料。</w:t>
      </w:r>
    </w:p>
    <w:p>
      <w:pPr>
        <w:numPr>
          <w:ilvl w:val="0"/>
          <w:numId w:val="3"/>
        </w:numPr>
        <w:adjustRightInd w:val="0"/>
        <w:snapToGrid w:val="0"/>
        <w:spacing w:line="440" w:lineRule="exact"/>
        <w:ind w:left="0" w:firstLine="482" w:firstLineChars="200"/>
        <w:jc w:val="center"/>
        <w:outlineLvl w:val="1"/>
        <w:rPr>
          <w:rFonts w:ascii="宋体" w:hAnsi="宋体" w:cs="宋体"/>
          <w:b/>
          <w:color w:val="auto"/>
          <w:sz w:val="24"/>
          <w:highlight w:val="none"/>
        </w:rPr>
      </w:pPr>
      <w:bookmarkStart w:id="23" w:name="_Toc3035"/>
      <w:bookmarkStart w:id="24" w:name="_Toc26171"/>
      <w:bookmarkStart w:id="25" w:name="_Toc15477"/>
      <w:bookmarkStart w:id="26" w:name="_Toc26220"/>
      <w:r>
        <w:rPr>
          <w:rFonts w:hint="eastAsia" w:ascii="宋体" w:hAnsi="宋体" w:cs="宋体"/>
          <w:b/>
          <w:color w:val="auto"/>
          <w:sz w:val="24"/>
          <w:highlight w:val="none"/>
        </w:rPr>
        <w:t>响应性文件的递交</w:t>
      </w:r>
      <w:bookmarkEnd w:id="23"/>
      <w:bookmarkEnd w:id="24"/>
      <w:bookmarkEnd w:id="25"/>
      <w:bookmarkEnd w:id="26"/>
    </w:p>
    <w:p>
      <w:pPr>
        <w:adjustRightInd w:val="0"/>
        <w:snapToGrid w:val="0"/>
        <w:spacing w:line="440" w:lineRule="exact"/>
        <w:ind w:firstLine="482" w:firstLineChars="200"/>
        <w:outlineLvl w:val="2"/>
        <w:rPr>
          <w:rFonts w:ascii="宋体" w:hAnsi="宋体" w:cs="宋体"/>
          <w:color w:val="auto"/>
          <w:sz w:val="24"/>
          <w:highlight w:val="none"/>
        </w:rPr>
      </w:pPr>
      <w:r>
        <w:rPr>
          <w:rFonts w:hint="eastAsia" w:ascii="宋体" w:hAnsi="宋体" w:cs="宋体"/>
          <w:b/>
          <w:bCs/>
          <w:color w:val="auto"/>
          <w:sz w:val="24"/>
          <w:highlight w:val="none"/>
        </w:rPr>
        <w:t>17.响应性文件的密封和标记</w:t>
      </w:r>
    </w:p>
    <w:p>
      <w:pPr>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17.1本项目为不见面开标，加密电子响应性文件须在响应性文件提交截止时间前通过“焦作市公共资源交易中心</w:t>
      </w:r>
      <w:r>
        <w:rPr>
          <w:rFonts w:hint="eastAsia" w:ascii="宋体" w:hAnsi="宋体" w:cs="宋体"/>
          <w:color w:val="auto"/>
          <w:sz w:val="24"/>
          <w:highlight w:val="none"/>
          <w:lang w:eastAsia="zh-CN"/>
        </w:rPr>
        <w:t>（</w:t>
      </w:r>
      <w:r>
        <w:rPr>
          <w:rFonts w:hint="eastAsia" w:ascii="宋体" w:hAnsi="宋体" w:cs="宋体"/>
          <w:color w:val="auto"/>
          <w:sz w:val="24"/>
          <w:highlight w:val="none"/>
        </w:rPr>
        <w:t>http</w:t>
      </w:r>
      <w:r>
        <w:rPr>
          <w:rFonts w:hint="eastAsia" w:ascii="宋体" w:hAnsi="宋体" w:cs="宋体"/>
          <w:color w:val="auto"/>
          <w:sz w:val="24"/>
          <w:highlight w:val="none"/>
          <w:lang w:val="en-US" w:eastAsia="zh-CN"/>
        </w:rPr>
        <w:t>s</w:t>
      </w:r>
      <w:r>
        <w:rPr>
          <w:rFonts w:hint="eastAsia" w:ascii="宋体" w:hAnsi="宋体" w:cs="宋体"/>
          <w:color w:val="auto"/>
          <w:sz w:val="24"/>
          <w:highlight w:val="none"/>
        </w:rPr>
        <w:t>://ggzy.jiaozuo.gov.cn/</w:t>
      </w:r>
      <w:r>
        <w:rPr>
          <w:rFonts w:hint="eastAsia" w:ascii="宋体" w:hAnsi="宋体" w:cs="宋体"/>
          <w:color w:val="auto"/>
          <w:sz w:val="24"/>
          <w:highlight w:val="none"/>
          <w:lang w:eastAsia="zh-CN"/>
        </w:rPr>
        <w:t>）</w:t>
      </w:r>
      <w:r>
        <w:rPr>
          <w:rFonts w:hint="eastAsia" w:ascii="宋体" w:hAnsi="宋体" w:cs="宋体"/>
          <w:color w:val="auto"/>
          <w:sz w:val="24"/>
          <w:highlight w:val="none"/>
        </w:rPr>
        <w:t>”网站-交易平台加密上传。除电子响应性文件外，磋商时不再接受任何纸质文件、资料等。</w:t>
      </w:r>
    </w:p>
    <w:p>
      <w:pPr>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18.响应性文件的递交</w:t>
      </w:r>
    </w:p>
    <w:p>
      <w:pPr>
        <w:adjustRightInd w:val="0"/>
        <w:snapToGrid w:val="0"/>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18.1本项目采用电子开评标方式，潜在</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可提前在焦作市交易中心官网首页---下载中心--下载《焦作市电子招投标系统操作手册》、《焦作市公共资源交易平台不见面开标操作手册》和《投标文件制作工作工具》等查看操作说明，按要求进行</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制作和上传等。为避免网络拥堵等不可控因素影响</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的上传，请提前上传</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，并在开标截止时间前登录不见面开标大厅，按要求解密</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。因文件未及时上传导致投标失败的责任由响应单位自行承担。</w:t>
      </w:r>
    </w:p>
    <w:p>
      <w:pPr>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18.2若采购代理机构推迟了响应性文件接收截止时间，采购代理机构和供应商受响应性文件接收截止时间制约的所有权利和义务均应以新的截止时间为准。 </w:t>
      </w:r>
    </w:p>
    <w:p>
      <w:pPr>
        <w:pStyle w:val="51"/>
        <w:widowControl w:val="0"/>
        <w:adjustRightInd w:val="0"/>
        <w:snapToGrid w:val="0"/>
        <w:spacing w:line="440" w:lineRule="exact"/>
        <w:ind w:firstLine="482" w:firstLineChars="200"/>
        <w:outlineLvl w:val="2"/>
        <w:rPr>
          <w:rFonts w:ascii="宋体" w:hAnsi="宋体"/>
          <w:b/>
          <w:color w:val="auto"/>
          <w:sz w:val="24"/>
          <w:szCs w:val="24"/>
          <w:highlight w:val="none"/>
        </w:rPr>
      </w:pPr>
      <w:r>
        <w:rPr>
          <w:rFonts w:hint="eastAsia" w:ascii="宋体" w:hAnsi="宋体"/>
          <w:b/>
          <w:bCs/>
          <w:color w:val="auto"/>
          <w:sz w:val="24"/>
          <w:szCs w:val="24"/>
          <w:highlight w:val="none"/>
        </w:rPr>
        <w:t>19</w:t>
      </w:r>
      <w:r>
        <w:rPr>
          <w:rFonts w:hint="eastAsia" w:ascii="宋体" w:hAnsi="宋体"/>
          <w:b/>
          <w:color w:val="auto"/>
          <w:sz w:val="24"/>
          <w:szCs w:val="24"/>
          <w:highlight w:val="none"/>
        </w:rPr>
        <w:t>.响应性文件的修改和撤回</w:t>
      </w:r>
    </w:p>
    <w:p>
      <w:pPr>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19.1 供应商在提交响应性文件后可对其响应性文件进行修改、撤回，但需要在响应性文件接收截止时间前重新上传响应性文件。</w:t>
      </w:r>
    </w:p>
    <w:p>
      <w:pPr>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19.2 供应商在响应性文件接收截止时间后不得修改、撤回响应性文件。供应商在响应性文件接收截止时间后修改响应性文件的，将被拒绝接受。</w:t>
      </w:r>
    </w:p>
    <w:p>
      <w:pPr>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19.3 供应商有下列情形之一的，采购代理机构将拒绝接受其响应性文件：</w:t>
      </w:r>
    </w:p>
    <w:p>
      <w:pPr>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19.3.1 在竞争性磋商文件规定的响应性文件接收截止时间之后递交响应性文件的；</w:t>
      </w:r>
    </w:p>
    <w:p>
      <w:pPr>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19.3.2 响应性文件未按竞争性磋商文件规定签署、盖章的；</w:t>
      </w:r>
    </w:p>
    <w:p>
      <w:pPr>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19.3.3 未获取竞争性磋商文件参加竞争性磋商的；</w:t>
      </w:r>
    </w:p>
    <w:p>
      <w:pPr>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19.4.4 一个供应商不止递交一套响应性文件的。</w:t>
      </w:r>
    </w:p>
    <w:p>
      <w:pPr>
        <w:adjustRightInd w:val="0"/>
        <w:snapToGrid w:val="0"/>
        <w:spacing w:line="440" w:lineRule="exact"/>
        <w:ind w:firstLine="482" w:firstLineChars="200"/>
        <w:jc w:val="center"/>
        <w:outlineLvl w:val="1"/>
        <w:rPr>
          <w:rFonts w:hint="eastAsia" w:ascii="宋体" w:hAnsi="宋体" w:cs="宋体"/>
          <w:b/>
          <w:color w:val="auto"/>
          <w:sz w:val="24"/>
          <w:highlight w:val="none"/>
        </w:rPr>
      </w:pPr>
      <w:bookmarkStart w:id="27" w:name="_Toc8745"/>
      <w:bookmarkStart w:id="28" w:name="_Toc9973"/>
      <w:bookmarkStart w:id="29" w:name="_Toc3930"/>
      <w:bookmarkStart w:id="30" w:name="_Toc29731"/>
      <w:r>
        <w:rPr>
          <w:rFonts w:hint="eastAsia" w:ascii="宋体" w:hAnsi="宋体" w:cs="宋体"/>
          <w:b/>
          <w:color w:val="auto"/>
          <w:sz w:val="24"/>
          <w:highlight w:val="none"/>
        </w:rPr>
        <w:t>五、竞争性磋商</w:t>
      </w:r>
      <w:bookmarkEnd w:id="27"/>
      <w:bookmarkEnd w:id="28"/>
      <w:bookmarkEnd w:id="29"/>
      <w:bookmarkEnd w:id="30"/>
    </w:p>
    <w:p>
      <w:pPr>
        <w:tabs>
          <w:tab w:val="left" w:pos="3118"/>
          <w:tab w:val="center" w:pos="4213"/>
        </w:tabs>
        <w:adjustRightInd w:val="0"/>
        <w:snapToGrid w:val="0"/>
        <w:spacing w:line="440" w:lineRule="exact"/>
        <w:ind w:firstLine="600" w:firstLineChars="250"/>
        <w:jc w:val="left"/>
        <w:rPr>
          <w:rFonts w:hint="eastAsia" w:ascii="宋体" w:hAnsi="宋体" w:cs="宋体"/>
          <w:color w:val="auto"/>
          <w:sz w:val="24"/>
          <w:highlight w:val="none"/>
        </w:rPr>
      </w:pPr>
      <w:r>
        <w:rPr>
          <w:rFonts w:hint="eastAsia" w:ascii="宋体" w:hAnsi="宋体" w:cs="宋体"/>
          <w:color w:val="auto"/>
          <w:sz w:val="24"/>
          <w:highlight w:val="none"/>
        </w:rPr>
        <w:t>采购人在规定的投标截止时间（开标时间）和</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须知前附表规定的地点公开开标。本项目采用“远程不见面”的开标方式,远程开标大厅网址</w:t>
      </w:r>
      <w:r>
        <w:rPr>
          <w:rFonts w:hint="eastAsia" w:ascii="宋体" w:hAnsi="宋体" w:eastAsia="宋体" w:cs="宋体"/>
          <w:color w:val="auto"/>
          <w:sz w:val="24"/>
          <w:highlight w:val="none"/>
        </w:rPr>
        <w:t>（http://ggzy.jiaozuo.gov.cn/BidOpeningHall/bidhall/default/login ）</w:t>
      </w:r>
      <w:r>
        <w:rPr>
          <w:rFonts w:hint="eastAsia" w:ascii="宋体" w:hAnsi="宋体" w:eastAsia="宋体" w:cs="宋体"/>
          <w:color w:val="auto"/>
          <w:sz w:val="24"/>
          <w:highlight w:val="none"/>
          <w:lang w:eastAsia="zh-CN"/>
        </w:rPr>
        <w:t>或</w:t>
      </w:r>
      <w:r>
        <w:rPr>
          <w:rFonts w:hint="eastAsia" w:ascii="宋体" w:hAnsi="宋体" w:eastAsia="宋体" w:cs="宋体"/>
          <w:color w:val="auto"/>
          <w:sz w:val="24"/>
          <w:highlight w:val="none"/>
        </w:rPr>
        <w:t>（http://222.143.135.34:7890/BidOpeningHall/bidhall/default/login）。</w:t>
      </w:r>
      <w:r>
        <w:rPr>
          <w:rFonts w:hint="eastAsia" w:ascii="宋体" w:hAnsi="宋体" w:eastAsia="宋体" w:cs="宋体"/>
          <w:color w:val="auto"/>
          <w:sz w:val="24"/>
          <w:highlight w:val="none"/>
          <w:lang w:eastAsia="zh-CN"/>
        </w:rPr>
        <w:t>供应商</w:t>
      </w:r>
      <w:r>
        <w:rPr>
          <w:rFonts w:hint="eastAsia" w:ascii="宋体" w:hAnsi="宋体" w:cs="宋体"/>
          <w:color w:val="auto"/>
          <w:sz w:val="24"/>
          <w:highlight w:val="none"/>
        </w:rPr>
        <w:t>无需到现场参加磋商会议，无需到达现场提交原件资料。响应单位应当在投标截止前，登录远程开标大厅，在线准时参加开标活动并进行文件解密、答疑澄清等。在规定时间内响应性文件未解密的供应商，视为放弃投标。</w:t>
      </w:r>
    </w:p>
    <w:p>
      <w:pPr>
        <w:tabs>
          <w:tab w:val="left" w:pos="3118"/>
          <w:tab w:val="center" w:pos="4213"/>
        </w:tabs>
        <w:adjustRightInd w:val="0"/>
        <w:snapToGrid w:val="0"/>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所有</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必须在本磋商文件中规定的投标截止时间之前提前上传</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，并在开标截止时间前登录不见面开标大厅，按要求解密</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，不能按时上传、解密者视为自动放弃投标。</w:t>
      </w:r>
    </w:p>
    <w:p>
      <w:pPr>
        <w:tabs>
          <w:tab w:val="left" w:pos="3118"/>
          <w:tab w:val="center" w:pos="4213"/>
        </w:tabs>
        <w:adjustRightInd w:val="0"/>
        <w:snapToGrid w:val="0"/>
        <w:spacing w:line="440" w:lineRule="exact"/>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供应商应在磋商会当天及时关注本单位的情况，如遇问题，请拨打平台统一技术服务电话为：400-998-0000，服务QQ:4008503300。</w:t>
      </w:r>
    </w:p>
    <w:p>
      <w:pPr>
        <w:adjustRightInd w:val="0"/>
        <w:snapToGrid w:val="0"/>
        <w:spacing w:line="440" w:lineRule="exact"/>
        <w:ind w:firstLine="480" w:firstLineChars="200"/>
        <w:jc w:val="left"/>
        <w:outlineLvl w:val="2"/>
        <w:rPr>
          <w:rFonts w:ascii="宋体" w:hAnsi="宋体" w:cs="宋体"/>
          <w:color w:val="auto"/>
          <w:sz w:val="24"/>
          <w:highlight w:val="none"/>
        </w:rPr>
      </w:pPr>
      <w:bookmarkStart w:id="31" w:name="_Toc7522"/>
      <w:bookmarkStart w:id="32" w:name="_Toc4238"/>
      <w:r>
        <w:rPr>
          <w:rFonts w:hint="eastAsia" w:ascii="宋体" w:hAnsi="宋体" w:cs="宋体"/>
          <w:color w:val="auto"/>
          <w:sz w:val="24"/>
          <w:highlight w:val="none"/>
        </w:rPr>
        <w:t>20.1磋商会议程序</w:t>
      </w:r>
      <w:bookmarkEnd w:id="31"/>
      <w:bookmarkEnd w:id="32"/>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bookmarkStart w:id="33" w:name="_Toc31277"/>
      <w:bookmarkStart w:id="34" w:name="_Toc27408"/>
      <w:r>
        <w:rPr>
          <w:rFonts w:hint="eastAsia" w:ascii="宋体" w:hAnsi="宋体" w:cs="宋体"/>
          <w:color w:val="auto"/>
          <w:sz w:val="24"/>
          <w:highlight w:val="none"/>
        </w:rPr>
        <w:t>（1）公布在递交响应性文件截止时间前递交响应性文件的供应商名称；</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（2）供应商在不见面开标大厅对已递交的电子响应性文件在规定时间内进行解密；</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（3）批量导入文件；</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（4）代理机构将通过不见面开标大厅公布磋商项目名称、供应商名称及其他内容，并记录在案；</w:t>
      </w:r>
    </w:p>
    <w:p>
      <w:pPr>
        <w:tabs>
          <w:tab w:val="left" w:pos="3118"/>
          <w:tab w:val="center" w:pos="4213"/>
        </w:tabs>
        <w:adjustRightInd w:val="0"/>
        <w:snapToGrid w:val="0"/>
        <w:spacing w:line="44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（5）供应商对开标过程进行无异议确认；</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（6）采购人代表、监督人等有关人员按具体现场系统情况在开标记录上签字确认；</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（6）开标结束。</w:t>
      </w:r>
    </w:p>
    <w:p>
      <w:pPr>
        <w:tabs>
          <w:tab w:val="left" w:pos="3118"/>
          <w:tab w:val="center" w:pos="4213"/>
        </w:tabs>
        <w:adjustRightInd w:val="0"/>
        <w:snapToGrid w:val="0"/>
        <w:spacing w:line="440" w:lineRule="exact"/>
        <w:ind w:firstLine="480" w:firstLineChars="200"/>
        <w:jc w:val="left"/>
        <w:rPr>
          <w:rFonts w:ascii="宋体" w:hAnsi="宋体"/>
          <w:color w:val="auto"/>
          <w:sz w:val="24"/>
          <w:highlight w:val="none"/>
        </w:rPr>
      </w:pPr>
      <w:r>
        <w:rPr>
          <w:rFonts w:hint="eastAsia" w:ascii="宋体" w:hAnsi="宋体" w:cs="宋体"/>
          <w:color w:val="auto"/>
          <w:sz w:val="24"/>
          <w:highlight w:val="none"/>
        </w:rPr>
        <w:t>（7）磋商小组对响应性文件进行审查，对初步审查通过的响应单位，由磋商小组系统发起二轮报价，供应商应该在规定时间（30分钟）内通过系统进行最终报价。</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20.2供应商应认真学习《投标单位操作手册》，根据手册要求做好不见面磋商的准备工作，否则由此引起的未能解密、解密失败或解密超时的将被拒绝。 </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20.3供应商应在解密时间内插入单位CA锁，输入密码，进行解密。 </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20.4采购人及采购代理机构在磋商文件规定的时间及地点开标。供应商无需到达磋商会现场，但在开评标期间，供应商的法定代表人或其授权委托人应参与远程交互，中途不得更换，在解密文件、澄清、答疑、传送文件、最后报价等特殊情况下需要交互时，供应商一端参与交互的人员将均被视为是供应商的法定代表人或其授权委托人，供应商自行承担随意更换人员或未按要求参与交互所导致的一切后果。供应商超时交互，由此产生的不利于供应商的评审风险由供应商自行承担。</w:t>
      </w:r>
    </w:p>
    <w:p>
      <w:pPr>
        <w:tabs>
          <w:tab w:val="left" w:pos="3118"/>
          <w:tab w:val="center" w:pos="4213"/>
        </w:tabs>
        <w:adjustRightInd w:val="0"/>
        <w:snapToGrid w:val="0"/>
        <w:spacing w:line="440" w:lineRule="exact"/>
        <w:ind w:firstLine="480" w:firstLineChars="200"/>
        <w:jc w:val="left"/>
        <w:outlineLvl w:val="2"/>
        <w:rPr>
          <w:rFonts w:ascii="宋体" w:hAnsi="宋体" w:cs="宋体"/>
          <w:color w:val="auto"/>
          <w:sz w:val="24"/>
          <w:highlight w:val="none"/>
        </w:rPr>
      </w:pPr>
      <w:r>
        <w:rPr>
          <w:rFonts w:hint="eastAsia" w:ascii="宋体" w:hAnsi="宋体" w:cs="宋体"/>
          <w:color w:val="auto"/>
          <w:sz w:val="24"/>
          <w:highlight w:val="none"/>
        </w:rPr>
        <w:t>20.5供应商出现下列情况之一者为废标，取消参加磋商资格：</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（1）未按规定在响应性文件接收截止时间前递交电子响应性文件（加密版）的；</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（2）因供应商自身原因而导致电子响应性文件无法导入“全国公共资源交易平台 （河南省·焦作市）”（http://ggzy.jiaozuo.gov.cn/）-“焦作市电子招投标交易平台”电子开标、评标系统的。</w:t>
      </w:r>
    </w:p>
    <w:p>
      <w:pPr>
        <w:tabs>
          <w:tab w:val="left" w:pos="3118"/>
          <w:tab w:val="center" w:pos="4213"/>
        </w:tabs>
        <w:adjustRightInd w:val="0"/>
        <w:snapToGrid w:val="0"/>
        <w:spacing w:line="440" w:lineRule="exact"/>
        <w:ind w:firstLine="480" w:firstLineChars="200"/>
        <w:jc w:val="left"/>
        <w:outlineLvl w:val="2"/>
        <w:rPr>
          <w:rFonts w:ascii="宋体" w:hAnsi="宋体" w:cs="宋体"/>
          <w:color w:val="auto"/>
          <w:sz w:val="24"/>
          <w:highlight w:val="none"/>
        </w:rPr>
      </w:pPr>
      <w:r>
        <w:rPr>
          <w:rFonts w:hint="eastAsia" w:ascii="宋体" w:hAnsi="宋体" w:cs="宋体"/>
          <w:color w:val="auto"/>
          <w:sz w:val="24"/>
          <w:highlight w:val="none"/>
        </w:rPr>
        <w:t>20.6开标异议</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供应商对磋商会有异议的，应当在磋商会现场提出（</w:t>
      </w:r>
      <w:bookmarkStart w:id="35" w:name="_Toc12998"/>
      <w:r>
        <w:rPr>
          <w:rFonts w:hint="eastAsia" w:ascii="宋体" w:hAnsi="宋体" w:cs="宋体"/>
          <w:color w:val="auto"/>
          <w:sz w:val="24"/>
          <w:highlight w:val="none"/>
        </w:rPr>
        <w:t>语音异议</w:t>
      </w:r>
      <w:bookmarkEnd w:id="35"/>
      <w:r>
        <w:rPr>
          <w:rFonts w:hint="eastAsia" w:ascii="宋体" w:hAnsi="宋体" w:cs="宋体"/>
          <w:color w:val="auto"/>
          <w:sz w:val="24"/>
          <w:highlight w:val="none"/>
        </w:rPr>
        <w:t>、</w:t>
      </w:r>
      <w:bookmarkStart w:id="36" w:name="_Toc20745"/>
      <w:r>
        <w:rPr>
          <w:rFonts w:hint="eastAsia" w:ascii="宋体" w:hAnsi="宋体" w:cs="宋体"/>
          <w:color w:val="auto"/>
          <w:sz w:val="24"/>
          <w:highlight w:val="none"/>
        </w:rPr>
        <w:t>文字异议</w:t>
      </w:r>
      <w:bookmarkEnd w:id="36"/>
      <w:r>
        <w:rPr>
          <w:rFonts w:hint="eastAsia" w:ascii="宋体" w:hAnsi="宋体" w:cs="宋体"/>
          <w:color w:val="auto"/>
          <w:sz w:val="24"/>
          <w:highlight w:val="none"/>
        </w:rPr>
        <w:t>），采购人当场作出答复，并制作记录。</w:t>
      </w:r>
    </w:p>
    <w:p>
      <w:pPr>
        <w:tabs>
          <w:tab w:val="left" w:pos="3118"/>
          <w:tab w:val="center" w:pos="4213"/>
        </w:tabs>
        <w:adjustRightInd w:val="0"/>
        <w:snapToGrid w:val="0"/>
        <w:spacing w:line="440" w:lineRule="exact"/>
        <w:ind w:firstLine="480" w:firstLineChars="200"/>
        <w:jc w:val="left"/>
        <w:outlineLvl w:val="2"/>
        <w:rPr>
          <w:rFonts w:ascii="宋体" w:hAnsi="宋体" w:cs="宋体"/>
          <w:color w:val="auto"/>
          <w:sz w:val="24"/>
          <w:highlight w:val="none"/>
        </w:rPr>
      </w:pPr>
      <w:r>
        <w:rPr>
          <w:rFonts w:hint="eastAsia" w:ascii="宋体" w:hAnsi="宋体" w:cs="宋体"/>
          <w:color w:val="auto"/>
          <w:sz w:val="24"/>
          <w:highlight w:val="none"/>
        </w:rPr>
        <w:t>20.7 开标异常处理</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当出现以下情况时，应对未开标的项目中止电子开标，对原有资料及信息作出妥善保密处理，并在恢复正常后及时安排时间开标：</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（1）系统服务器发生故障，无法访问或无法使用系统；</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（2）系统的软件或数据库出现错误，不能进行正常操作；</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（3）系统发现有安全漏洞，有潜在的泄密危险；</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（4）出现断电事故且短时间内无法恢复供电；</w:t>
      </w:r>
    </w:p>
    <w:p>
      <w:pPr>
        <w:tabs>
          <w:tab w:val="left" w:pos="3118"/>
          <w:tab w:val="center" w:pos="4213"/>
        </w:tabs>
        <w:adjustRightInd w:val="0"/>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（5）其他无法保证磋商会过程正常进行的情形。</w:t>
      </w:r>
    </w:p>
    <w:p>
      <w:pPr>
        <w:adjustRightInd w:val="0"/>
        <w:snapToGrid w:val="0"/>
        <w:spacing w:line="440" w:lineRule="exact"/>
        <w:ind w:firstLine="482" w:firstLineChars="200"/>
        <w:outlineLvl w:val="3"/>
        <w:rPr>
          <w:rFonts w:ascii="宋体" w:hAnsi="宋体" w:cs="宋体"/>
          <w:b/>
          <w:color w:val="auto"/>
          <w:sz w:val="24"/>
          <w:highlight w:val="none"/>
          <w:lang w:val="zh-CN"/>
        </w:rPr>
      </w:pPr>
      <w:r>
        <w:rPr>
          <w:rFonts w:hint="eastAsia" w:ascii="宋体" w:hAnsi="宋体" w:cs="宋体"/>
          <w:b/>
          <w:color w:val="auto"/>
          <w:sz w:val="24"/>
          <w:highlight w:val="none"/>
        </w:rPr>
        <w:t>21.组建</w:t>
      </w:r>
      <w:r>
        <w:rPr>
          <w:rFonts w:hint="eastAsia" w:ascii="宋体" w:hAnsi="宋体" w:cs="宋体"/>
          <w:b/>
          <w:color w:val="auto"/>
          <w:sz w:val="24"/>
          <w:highlight w:val="none"/>
          <w:lang w:val="zh-CN"/>
        </w:rPr>
        <w:t>竞争性磋商小组</w:t>
      </w:r>
      <w:bookmarkEnd w:id="33"/>
      <w:bookmarkEnd w:id="34"/>
    </w:p>
    <w:p>
      <w:pPr>
        <w:adjustRightInd w:val="0"/>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21.1采购代理机构根据采购项目的特点依法组建竞争性磋商小组。</w:t>
      </w:r>
    </w:p>
    <w:p>
      <w:pPr>
        <w:adjustRightInd w:val="0"/>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21.2竞争性磋商小组由采购人代表1人和有关技术、经济等方面的专家2人，共3人组成。其中技术、经济等方面的专家不得少于成员总数的 2/3。竞争性磋商小组</w:t>
      </w:r>
      <w:r>
        <w:rPr>
          <w:rFonts w:hint="eastAsia" w:ascii="宋体" w:hAnsi="宋体" w:cs="宋体"/>
          <w:bCs/>
          <w:color w:val="auto"/>
          <w:kern w:val="0"/>
          <w:sz w:val="24"/>
          <w:highlight w:val="none"/>
        </w:rPr>
        <w:t>确认竞争性磋商文件，并</w:t>
      </w:r>
      <w:r>
        <w:rPr>
          <w:rFonts w:hint="eastAsia" w:ascii="宋体" w:hAnsi="宋体" w:cs="宋体"/>
          <w:color w:val="auto"/>
          <w:kern w:val="0"/>
          <w:sz w:val="24"/>
          <w:highlight w:val="none"/>
        </w:rPr>
        <w:t>负责具体评审事务，根据有关法律法规和竞争性磋商文件规定的评审程序，按照评审方法及评审标准独立履行竞争性磋商小组职责。</w:t>
      </w:r>
    </w:p>
    <w:p>
      <w:pPr>
        <w:adjustRightInd w:val="0"/>
        <w:snapToGrid w:val="0"/>
        <w:spacing w:line="420" w:lineRule="exact"/>
        <w:ind w:firstLine="482" w:firstLineChars="200"/>
        <w:outlineLvl w:val="3"/>
        <w:rPr>
          <w:rFonts w:ascii="宋体" w:hAnsi="宋体" w:cs="宋体"/>
          <w:b/>
          <w:color w:val="auto"/>
          <w:sz w:val="24"/>
          <w:highlight w:val="none"/>
        </w:rPr>
      </w:pPr>
      <w:r>
        <w:rPr>
          <w:rFonts w:hint="eastAsia" w:ascii="宋体" w:hAnsi="宋体" w:cs="宋体"/>
          <w:b/>
          <w:color w:val="auto"/>
          <w:sz w:val="24"/>
          <w:highlight w:val="none"/>
        </w:rPr>
        <w:t>22.资格性和符合性审查</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22.1资格性检查。竞争性磋商小组依据有关法律法规和竞争性磋商文件的规定，对响应性文件中资质证明等进行审查，审查每个供应商提交的资质证明材料是否齐全、完整、合法、有效。</w:t>
      </w:r>
    </w:p>
    <w:p>
      <w:pPr>
        <w:adjustRightInd w:val="0"/>
        <w:snapToGrid w:val="0"/>
        <w:spacing w:line="420" w:lineRule="exact"/>
        <w:ind w:firstLine="480" w:firstLineChars="200"/>
        <w:outlineLvl w:val="4"/>
        <w:rPr>
          <w:rFonts w:ascii="宋体" w:hAnsi="宋体" w:cs="宋体"/>
          <w:color w:val="auto"/>
          <w:sz w:val="24"/>
          <w:highlight w:val="none"/>
        </w:rPr>
      </w:pPr>
      <w:r>
        <w:rPr>
          <w:rFonts w:hint="eastAsia" w:ascii="宋体" w:hAnsi="宋体" w:cs="宋体"/>
          <w:color w:val="auto"/>
          <w:sz w:val="24"/>
          <w:highlight w:val="none"/>
        </w:rPr>
        <w:t>22.1.1资格性审查的内容包括：</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竞争性磋商文件规定的供应商资格条件。</w:t>
      </w:r>
    </w:p>
    <w:p>
      <w:pPr>
        <w:tabs>
          <w:tab w:val="left" w:pos="3118"/>
          <w:tab w:val="center" w:pos="4213"/>
        </w:tabs>
        <w:adjustRightInd w:val="0"/>
        <w:snapToGrid w:val="0"/>
        <w:spacing w:line="42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未通过资格审查的，不能进入详细评审。</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adjustRightInd w:val="0"/>
        <w:snapToGrid w:val="0"/>
        <w:spacing w:line="420" w:lineRule="exact"/>
        <w:ind w:firstLine="480" w:firstLineChars="200"/>
        <w:outlineLvl w:val="4"/>
        <w:rPr>
          <w:rFonts w:ascii="宋体" w:hAnsi="宋体" w:cs="宋体"/>
          <w:color w:val="auto"/>
          <w:sz w:val="24"/>
          <w:highlight w:val="none"/>
        </w:rPr>
      </w:pPr>
      <w:r>
        <w:rPr>
          <w:rFonts w:hint="eastAsia" w:ascii="宋体" w:hAnsi="宋体" w:cs="宋体"/>
          <w:color w:val="auto"/>
          <w:sz w:val="24"/>
          <w:highlight w:val="none"/>
        </w:rPr>
        <w:t>22.2.1符合性审查的内容包括：</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（1）响应性文件的有效性(签署情况等)；</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（2）响应性文件的完整性(响应内容等)；</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（3）对竞争性磋商文件的响应程度（是否存在重大负偏离等）。 </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以上资格性审查和符合性审查的内容只要有一条不满足，则响应性文件无效，将不进入竞争性磋商程序。 </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注意事项：资格性、符合性证明材料见竞争性磋商文件第四章规定。</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22.3 实质性响应的响应性文件是指与竞争性磋商文件的全部条款、条件和规格相符，没有重大偏离；重大负偏离的认定须经竞争性磋商小组三分之二以上同意。</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22.4 重大偏离系指供应商所投标的范围、质量、服务等明显不能满足竞争性磋商文件的要求，或者实质上与竞争性磋商文件不一致，而且限制了采购单位的权利或供应商的义务，纠正这些偏离将对其他实质性响应要求的供应商的竞争地位产生不公正的影响；</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22.5如果响应性文件实质上没有响应竞争性磋商文件的要求，将作为无效处理，供应商不得再对响应性文件进行任何修正从而使其响应性文件成为实质上响应的文件；</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22.6 竞争性磋商小组审定响应性文件的响应性只根据响应性文件本身的内容而不寻求外部证据。</w:t>
      </w:r>
    </w:p>
    <w:p>
      <w:pPr>
        <w:adjustRightInd w:val="0"/>
        <w:snapToGrid w:val="0"/>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22.7凡有下列情况之一的，其响应性文件也被视为未实质性响应竞争性磋商文件，按照无效处理：</w:t>
      </w:r>
    </w:p>
    <w:p>
      <w:pPr>
        <w:pStyle w:val="70"/>
        <w:spacing w:line="420" w:lineRule="exact"/>
        <w:ind w:firstLine="496"/>
        <w:rPr>
          <w:rFonts w:ascii="宋体" w:hAnsi="宋体" w:cs="宋体"/>
          <w:color w:val="auto"/>
          <w:szCs w:val="24"/>
          <w:highlight w:val="none"/>
        </w:rPr>
      </w:pPr>
      <w:r>
        <w:rPr>
          <w:rFonts w:hint="eastAsia" w:ascii="宋体" w:hAnsi="宋体" w:cs="宋体"/>
          <w:color w:val="auto"/>
          <w:szCs w:val="24"/>
          <w:highlight w:val="none"/>
        </w:rPr>
        <w:t>22.7.1响应性文件制作机器码一致的；</w:t>
      </w:r>
    </w:p>
    <w:p>
      <w:pPr>
        <w:pStyle w:val="70"/>
        <w:spacing w:line="420" w:lineRule="exact"/>
        <w:ind w:firstLine="496"/>
        <w:rPr>
          <w:rFonts w:ascii="宋体" w:hAnsi="宋体" w:cs="宋体"/>
          <w:color w:val="auto"/>
          <w:szCs w:val="24"/>
          <w:highlight w:val="none"/>
        </w:rPr>
      </w:pPr>
      <w:r>
        <w:rPr>
          <w:rFonts w:hint="eastAsia" w:ascii="宋体" w:hAnsi="宋体" w:cs="宋体"/>
          <w:color w:val="auto"/>
          <w:szCs w:val="24"/>
          <w:highlight w:val="none"/>
        </w:rPr>
        <w:t>22.7.2未按竞争性磋商文件规定要求签署、盖章的；</w:t>
      </w:r>
    </w:p>
    <w:p>
      <w:pPr>
        <w:pStyle w:val="70"/>
        <w:spacing w:line="420" w:lineRule="exact"/>
        <w:ind w:firstLine="496"/>
        <w:rPr>
          <w:rFonts w:ascii="宋体" w:hAnsi="宋体" w:cs="宋体"/>
          <w:color w:val="auto"/>
          <w:szCs w:val="24"/>
          <w:highlight w:val="none"/>
        </w:rPr>
      </w:pPr>
      <w:r>
        <w:rPr>
          <w:rFonts w:hint="eastAsia" w:ascii="宋体" w:hAnsi="宋体" w:cs="宋体"/>
          <w:color w:val="auto"/>
          <w:szCs w:val="24"/>
          <w:highlight w:val="none"/>
        </w:rPr>
        <w:t>22.7.3资格证明文件不全的，或不符合竞争性磋商文件中规定的资格要求的；</w:t>
      </w:r>
    </w:p>
    <w:p>
      <w:pPr>
        <w:pStyle w:val="70"/>
        <w:spacing w:line="420" w:lineRule="exact"/>
        <w:ind w:firstLine="496"/>
        <w:rPr>
          <w:rFonts w:ascii="宋体" w:hAnsi="宋体" w:cs="宋体"/>
          <w:color w:val="auto"/>
          <w:szCs w:val="24"/>
          <w:highlight w:val="none"/>
        </w:rPr>
      </w:pPr>
      <w:r>
        <w:rPr>
          <w:rFonts w:hint="eastAsia" w:ascii="宋体" w:hAnsi="宋体" w:cs="宋体"/>
          <w:color w:val="auto"/>
          <w:szCs w:val="24"/>
          <w:highlight w:val="none"/>
        </w:rPr>
        <w:t>22.7.4不符合竞争性磋商文件规定的实质性要求的；</w:t>
      </w:r>
    </w:p>
    <w:p>
      <w:pPr>
        <w:pStyle w:val="70"/>
        <w:spacing w:line="420" w:lineRule="exact"/>
        <w:ind w:firstLine="496"/>
        <w:rPr>
          <w:rFonts w:ascii="宋体" w:hAnsi="宋体" w:cs="宋体"/>
          <w:color w:val="auto"/>
          <w:szCs w:val="24"/>
          <w:highlight w:val="none"/>
        </w:rPr>
      </w:pPr>
      <w:r>
        <w:rPr>
          <w:rFonts w:hint="eastAsia" w:ascii="宋体" w:hAnsi="宋体" w:cs="宋体"/>
          <w:color w:val="auto"/>
          <w:szCs w:val="24"/>
          <w:highlight w:val="none"/>
        </w:rPr>
        <w:t>22.7.5响应性文件内容不齐全或内容虚假的；</w:t>
      </w:r>
    </w:p>
    <w:p>
      <w:pPr>
        <w:pStyle w:val="70"/>
        <w:spacing w:line="420" w:lineRule="exact"/>
        <w:ind w:firstLine="496"/>
        <w:rPr>
          <w:rFonts w:ascii="宋体" w:hAnsi="宋体" w:cs="宋体"/>
          <w:color w:val="auto"/>
          <w:szCs w:val="24"/>
          <w:highlight w:val="none"/>
        </w:rPr>
      </w:pPr>
      <w:r>
        <w:rPr>
          <w:rFonts w:hint="eastAsia" w:ascii="宋体" w:hAnsi="宋体" w:cs="宋体"/>
          <w:color w:val="auto"/>
          <w:szCs w:val="24"/>
          <w:highlight w:val="none"/>
        </w:rPr>
        <w:t>22.7.6响应性文件的实质性内容未使用中文表述；</w:t>
      </w:r>
    </w:p>
    <w:p>
      <w:pPr>
        <w:pStyle w:val="70"/>
        <w:spacing w:line="420" w:lineRule="exact"/>
        <w:ind w:firstLine="496"/>
        <w:rPr>
          <w:rFonts w:ascii="宋体" w:hAnsi="宋体" w:cs="宋体"/>
          <w:color w:val="auto"/>
          <w:szCs w:val="24"/>
          <w:highlight w:val="none"/>
        </w:rPr>
      </w:pPr>
      <w:r>
        <w:rPr>
          <w:rFonts w:hint="eastAsia" w:ascii="宋体" w:hAnsi="宋体" w:cs="宋体"/>
          <w:color w:val="auto"/>
          <w:szCs w:val="24"/>
          <w:highlight w:val="none"/>
        </w:rPr>
        <w:t>22.7.7 响应性文件的内容修改处未按规定签名或盖章的；</w:t>
      </w:r>
    </w:p>
    <w:p>
      <w:pPr>
        <w:pStyle w:val="70"/>
        <w:ind w:firstLine="496"/>
        <w:rPr>
          <w:rFonts w:ascii="宋体" w:hAnsi="宋体" w:cs="宋体"/>
          <w:color w:val="auto"/>
          <w:szCs w:val="24"/>
          <w:highlight w:val="none"/>
        </w:rPr>
      </w:pPr>
      <w:r>
        <w:rPr>
          <w:rFonts w:hint="eastAsia" w:ascii="宋体" w:hAnsi="宋体" w:cs="宋体"/>
          <w:color w:val="auto"/>
          <w:szCs w:val="24"/>
          <w:highlight w:val="none"/>
        </w:rPr>
        <w:t>22.7.8违反法律、行政法规、竞争性磋商文件规定的其他情形的。</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22.8 在评审过程中，竞争性磋商小组发现供应商有下列情形之一的，视为供应商相互串通，按照无效处理并依据法律、法规追究其相关责任。具体表现形式如下：</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22.8.1 不同供应商的响应性文件互相混装的；</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22.8.2 不同供应商授权同一人作为供应商委托代理人的；</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22.8.3不同供应商的响应性文件载明的项目管理成员为同一人的；</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22.8.4有证据证明供应商与采购人、采购机构或者其他供应商串通的其他情形；</w:t>
      </w:r>
    </w:p>
    <w:p>
      <w:pPr>
        <w:adjustRightInd w:val="0"/>
        <w:snapToGrid w:val="0"/>
        <w:spacing w:line="540" w:lineRule="exact"/>
        <w:ind w:firstLine="480" w:firstLineChars="200"/>
        <w:outlineLvl w:val="4"/>
        <w:rPr>
          <w:rFonts w:ascii="宋体" w:hAnsi="宋体" w:cs="宋体"/>
          <w:color w:val="auto"/>
          <w:sz w:val="24"/>
          <w:highlight w:val="none"/>
        </w:rPr>
      </w:pPr>
      <w:r>
        <w:rPr>
          <w:rFonts w:hint="eastAsia" w:ascii="宋体" w:hAnsi="宋体" w:cs="宋体"/>
          <w:color w:val="auto"/>
          <w:sz w:val="24"/>
          <w:highlight w:val="none"/>
        </w:rPr>
        <w:t>22.8.5 竞争性磋商小组认定的其他串通情形。</w:t>
      </w:r>
    </w:p>
    <w:p>
      <w:pPr>
        <w:adjustRightInd w:val="0"/>
        <w:snapToGrid w:val="0"/>
        <w:spacing w:line="540" w:lineRule="exact"/>
        <w:ind w:firstLine="482" w:firstLineChars="200"/>
        <w:outlineLvl w:val="3"/>
        <w:rPr>
          <w:rFonts w:ascii="宋体" w:hAnsi="宋体" w:cs="宋体"/>
          <w:b/>
          <w:color w:val="auto"/>
          <w:sz w:val="24"/>
          <w:highlight w:val="none"/>
        </w:rPr>
      </w:pPr>
      <w:r>
        <w:rPr>
          <w:rFonts w:hint="eastAsia" w:ascii="宋体" w:hAnsi="宋体" w:cs="宋体"/>
          <w:b/>
          <w:color w:val="auto"/>
          <w:sz w:val="24"/>
          <w:highlight w:val="none"/>
        </w:rPr>
        <w:t>23.响应性文件的澄清</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23.2竞争性磋商小组要求供应商澄清、说明或者更正</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应当以书面形式作出。供应商的澄清、说明或者更正应当由法定代表人或其委托代理人签字或者加盖电子签章。供应商为自然人的，应当由本人签字并附身份证明。</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23.3供应商拒不进行澄清、说明、补正的，或者不能在竞争性磋商小组规定时间内作出书面澄清、说明、补正的，其响应性文件将被作为无效处理。</w:t>
      </w:r>
    </w:p>
    <w:p>
      <w:pPr>
        <w:adjustRightInd w:val="0"/>
        <w:snapToGrid w:val="0"/>
        <w:spacing w:line="540" w:lineRule="exact"/>
        <w:ind w:firstLine="480" w:firstLineChars="200"/>
        <w:outlineLvl w:val="2"/>
        <w:rPr>
          <w:rFonts w:ascii="宋体" w:hAnsi="宋体" w:cs="宋体"/>
          <w:color w:val="auto"/>
          <w:sz w:val="24"/>
          <w:highlight w:val="none"/>
        </w:rPr>
      </w:pPr>
      <w:r>
        <w:rPr>
          <w:rFonts w:hint="eastAsia" w:ascii="宋体" w:hAnsi="宋体" w:cs="宋体"/>
          <w:color w:val="auto"/>
          <w:sz w:val="24"/>
          <w:highlight w:val="none"/>
        </w:rPr>
        <w:t xml:space="preserve">23.4供应商的书面澄清材料作为响应性文件的补充。 </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23.5 竞争性磋商小组不得接受供应商主动提出的澄清和解释。 </w:t>
      </w:r>
    </w:p>
    <w:p>
      <w:pPr>
        <w:adjustRightInd w:val="0"/>
        <w:snapToGrid w:val="0"/>
        <w:spacing w:line="540" w:lineRule="exact"/>
        <w:ind w:firstLine="480" w:firstLineChars="200"/>
        <w:outlineLvl w:val="2"/>
        <w:rPr>
          <w:rFonts w:ascii="宋体" w:hAnsi="宋体" w:cs="宋体"/>
          <w:color w:val="auto"/>
          <w:sz w:val="24"/>
          <w:highlight w:val="none"/>
        </w:rPr>
      </w:pPr>
      <w:r>
        <w:rPr>
          <w:rFonts w:hint="eastAsia" w:ascii="宋体" w:hAnsi="宋体" w:cs="宋体"/>
          <w:color w:val="auto"/>
          <w:sz w:val="24"/>
          <w:highlight w:val="none"/>
        </w:rPr>
        <w:t>23.6 并非每个供应商都将被询问、澄清。</w:t>
      </w:r>
    </w:p>
    <w:p>
      <w:pPr>
        <w:adjustRightInd w:val="0"/>
        <w:snapToGrid w:val="0"/>
        <w:spacing w:line="540" w:lineRule="exact"/>
        <w:ind w:firstLine="482" w:firstLineChars="200"/>
        <w:outlineLvl w:val="3"/>
        <w:rPr>
          <w:rFonts w:ascii="宋体" w:hAnsi="宋体" w:cs="宋体"/>
          <w:b/>
          <w:color w:val="auto"/>
          <w:sz w:val="24"/>
          <w:highlight w:val="none"/>
        </w:rPr>
      </w:pPr>
      <w:r>
        <w:rPr>
          <w:rFonts w:hint="eastAsia" w:ascii="宋体" w:hAnsi="宋体" w:cs="宋体"/>
          <w:b/>
          <w:color w:val="auto"/>
          <w:sz w:val="24"/>
          <w:highlight w:val="none"/>
        </w:rPr>
        <w:t>24.竞争性磋商</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24.1 资格性审查和符合性审查合格的供应商，将进入本次竞争性磋商程序。</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24.2竞争性磋商将按照顺序进行。</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24.3磋商内容包括：</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24.3.1按照竞争性磋商文件中商务部分的内容，对照供应商提交的</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逐一进行比较各项指标和要求。</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24.3.2按照竞争性磋商文件中技术部分的内容，对照供应商提交的</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逐一进行比较各项指标和要求。</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24.3.3按照竞争性磋商文件中综合部分的内容，对照供应商提交的</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逐一进行比较各项指标和要求。</w:t>
      </w:r>
    </w:p>
    <w:p>
      <w:pPr>
        <w:adjustRightInd w:val="0"/>
        <w:snapToGrid w:val="0"/>
        <w:spacing w:line="5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24.3.4在磋商中，磋商的任何一方不得透露与磋商有关的其他供应商的技术资料、价格和其他信息。磋商结束后，磋商小组可以要求通过资格性审查和符合性审查的供应商在规定时间内进行最后报价（各供应商应对其磋商代表进行相应授权，并做好在当天规定时间内完成有关澄清、磋商和最后报价的准备工作）。</w:t>
      </w:r>
    </w:p>
    <w:p>
      <w:pPr>
        <w:adjustRightInd w:val="0"/>
        <w:snapToGrid w:val="0"/>
        <w:spacing w:line="5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 xml:space="preserve">24.4 </w:t>
      </w:r>
      <w:r>
        <w:rPr>
          <w:rFonts w:hint="eastAsia" w:ascii="宋体" w:hAnsi="宋体" w:cs="宋体"/>
          <w:color w:val="auto"/>
          <w:sz w:val="24"/>
          <w:highlight w:val="none"/>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adjustRightInd w:val="0"/>
        <w:snapToGrid w:val="0"/>
        <w:spacing w:line="5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24.4.1</w:t>
      </w:r>
      <w:r>
        <w:rPr>
          <w:rFonts w:hint="eastAsia" w:ascii="宋体" w:hAnsi="宋体" w:cs="宋体"/>
          <w:color w:val="auto"/>
          <w:sz w:val="24"/>
          <w:highlight w:val="none"/>
          <w:lang w:val="zh-CN"/>
        </w:rPr>
        <w:t>对竞争性磋商文件作出实质性变动是竞争性磋商文件的有效组成部分，竞争性磋商小组应当及时以书面形式同时通知所有参加竞争性磋商的供应商。</w:t>
      </w:r>
    </w:p>
    <w:p>
      <w:pPr>
        <w:adjustRightInd w:val="0"/>
        <w:snapToGrid w:val="0"/>
        <w:spacing w:line="54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24.4.2</w:t>
      </w:r>
      <w:r>
        <w:rPr>
          <w:rFonts w:hint="eastAsia" w:ascii="宋体" w:hAnsi="宋体" w:cs="宋体"/>
          <w:color w:val="auto"/>
          <w:sz w:val="24"/>
          <w:highlight w:val="none"/>
          <w:lang w:val="zh-CN"/>
        </w:rPr>
        <w:t>供应商应当按照竞争性磋商文件的变动情况和竞争性磋商小组的要求重新提交响应性文件，并由其法定代表人或授权代表签字或者加盖电子签章。</w:t>
      </w:r>
    </w:p>
    <w:p>
      <w:pPr>
        <w:adjustRightInd w:val="0"/>
        <w:snapToGrid w:val="0"/>
        <w:spacing w:line="5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lang w:val="zh-CN"/>
        </w:rPr>
        <w:t>2</w:t>
      </w:r>
      <w:r>
        <w:rPr>
          <w:rFonts w:hint="eastAsia" w:ascii="宋体" w:hAnsi="宋体" w:cs="宋体"/>
          <w:color w:val="auto"/>
          <w:sz w:val="24"/>
          <w:highlight w:val="none"/>
        </w:rPr>
        <w:t>4</w:t>
      </w:r>
      <w:r>
        <w:rPr>
          <w:rFonts w:hint="eastAsia" w:ascii="宋体" w:hAnsi="宋体" w:cs="宋体"/>
          <w:color w:val="auto"/>
          <w:sz w:val="24"/>
          <w:highlight w:val="none"/>
          <w:lang w:val="zh-CN"/>
        </w:rPr>
        <w:t>.5</w:t>
      </w:r>
      <w:r>
        <w:rPr>
          <w:rFonts w:hint="eastAsia" w:ascii="宋体" w:hAnsi="宋体" w:cs="宋体"/>
          <w:bCs/>
          <w:color w:val="auto"/>
          <w:sz w:val="24"/>
          <w:highlight w:val="none"/>
        </w:rPr>
        <w:t xml:space="preserve"> </w:t>
      </w:r>
      <w:r>
        <w:rPr>
          <w:rFonts w:hint="eastAsia" w:ascii="宋体" w:hAnsi="宋体" w:cs="宋体"/>
          <w:b/>
          <w:color w:val="auto"/>
          <w:sz w:val="24"/>
          <w:highlight w:val="none"/>
        </w:rPr>
        <w:t>本次竞争性磋商进行二轮次报价，但应给予所有参加磋商的供应商平等的磋商机会。响应性文件中报价为第一轮次报价，以后轮次报价不得高于上一轮次报价（除竞争性磋商文件有实质性变动外），否则将被视为未实质性响应竞争性磋商文件。供应商应当对竞争性磋商的每轮次报价在焦作市公共资源交易平台进行确认，在规定的时限内上传给竞争性磋商小组，竞争性磋商报价以供应商的最后一轮次报价为准。</w:t>
      </w:r>
    </w:p>
    <w:p>
      <w:pPr>
        <w:adjustRightInd w:val="0"/>
        <w:snapToGrid w:val="0"/>
        <w:spacing w:line="5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24.6竞争性磋商结束后，磋商小组应当要求所有实质性响应的供应商在磋商小组发出邀请30分钟内提交最后报价，提交最后报价的供应商不得少于3家，未在规定时间内提交最后报价视为自动退出磋商，竞争性磋商报价以供应商的最后报价为准。</w:t>
      </w:r>
    </w:p>
    <w:p>
      <w:pPr>
        <w:adjustRightInd w:val="0"/>
        <w:snapToGrid w:val="0"/>
        <w:spacing w:line="540" w:lineRule="exact"/>
        <w:ind w:firstLine="480" w:firstLineChars="200"/>
        <w:rPr>
          <w:rFonts w:hint="eastAsia" w:ascii="宋体" w:hAnsi="宋体" w:cs="宋体"/>
          <w:b/>
          <w:color w:val="auto"/>
          <w:sz w:val="24"/>
          <w:highlight w:val="none"/>
          <w:lang w:eastAsia="zh-CN"/>
        </w:rPr>
      </w:pPr>
      <w:r>
        <w:rPr>
          <w:rFonts w:hint="eastAsia" w:ascii="宋体" w:hAnsi="宋体" w:cs="宋体"/>
          <w:color w:val="auto"/>
          <w:sz w:val="24"/>
          <w:highlight w:val="none"/>
        </w:rPr>
        <w:t>24.7已提交响应性文件的供应商，在提交最后报价之前，可以根据竞争性磋商情况退出竞争性磋商。</w:t>
      </w:r>
      <w:bookmarkStart w:id="37" w:name="_Toc19212"/>
      <w:bookmarkStart w:id="38" w:name="_Toc13069"/>
      <w:bookmarkStart w:id="39" w:name="_Toc9948"/>
      <w:bookmarkStart w:id="40" w:name="_Toc6435"/>
    </w:p>
    <w:p>
      <w:pPr>
        <w:tabs>
          <w:tab w:val="left" w:pos="3565"/>
          <w:tab w:val="center" w:pos="4889"/>
        </w:tabs>
        <w:adjustRightInd w:val="0"/>
        <w:snapToGrid w:val="0"/>
        <w:spacing w:line="440" w:lineRule="exact"/>
        <w:jc w:val="left"/>
        <w:outlineLvl w:val="1"/>
        <w:rPr>
          <w:rFonts w:ascii="宋体" w:hAnsi="宋体" w:cs="宋体"/>
          <w:b/>
          <w:color w:val="auto"/>
          <w:sz w:val="24"/>
          <w:highlight w:val="none"/>
        </w:rPr>
      </w:pPr>
      <w:r>
        <w:rPr>
          <w:rFonts w:hint="eastAsia" w:ascii="宋体" w:hAnsi="宋体" w:cs="宋体"/>
          <w:b/>
          <w:color w:val="auto"/>
          <w:sz w:val="24"/>
          <w:highlight w:val="none"/>
          <w:lang w:eastAsia="zh-CN"/>
        </w:rPr>
        <w:tab/>
      </w:r>
      <w:r>
        <w:rPr>
          <w:rFonts w:hint="eastAsia" w:ascii="宋体" w:hAnsi="宋体" w:cs="宋体"/>
          <w:b/>
          <w:color w:val="auto"/>
          <w:sz w:val="24"/>
          <w:highlight w:val="none"/>
          <w:lang w:eastAsia="zh-CN"/>
        </w:rPr>
        <w:tab/>
      </w:r>
      <w:r>
        <w:rPr>
          <w:rFonts w:hint="eastAsia" w:ascii="宋体" w:hAnsi="宋体" w:cs="宋体"/>
          <w:b/>
          <w:color w:val="auto"/>
          <w:sz w:val="24"/>
          <w:highlight w:val="none"/>
        </w:rPr>
        <w:t>六、评定标准</w:t>
      </w:r>
      <w:bookmarkEnd w:id="37"/>
      <w:bookmarkEnd w:id="38"/>
      <w:bookmarkEnd w:id="39"/>
      <w:bookmarkEnd w:id="40"/>
    </w:p>
    <w:p>
      <w:pPr>
        <w:adjustRightInd w:val="0"/>
        <w:snapToGrid w:val="0"/>
        <w:spacing w:line="440" w:lineRule="exact"/>
        <w:ind w:firstLine="482" w:firstLineChars="200"/>
        <w:outlineLvl w:val="2"/>
        <w:rPr>
          <w:rFonts w:ascii="宋体" w:hAnsi="宋体" w:cs="宋体"/>
          <w:b/>
          <w:color w:val="auto"/>
          <w:sz w:val="24"/>
          <w:highlight w:val="none"/>
        </w:rPr>
      </w:pPr>
      <w:r>
        <w:rPr>
          <w:rFonts w:hint="eastAsia" w:ascii="宋体" w:hAnsi="宋体" w:cs="宋体"/>
          <w:b/>
          <w:color w:val="auto"/>
          <w:sz w:val="24"/>
          <w:highlight w:val="none"/>
        </w:rPr>
        <w:t>25.竞争性磋商过程及保密原则</w:t>
      </w:r>
    </w:p>
    <w:p>
      <w:pPr>
        <w:adjustRightInd w:val="0"/>
        <w:snapToGrid w:val="0"/>
        <w:spacing w:line="44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25.1经磋商确定最终采购需求和提交最后报价的供应商后，磋商小组采用综合评分法对提交最后报价的供应商的</w:t>
      </w:r>
      <w:r>
        <w:rPr>
          <w:rFonts w:hint="eastAsia" w:ascii="宋体" w:hAnsi="宋体" w:cs="宋体"/>
          <w:bCs/>
          <w:color w:val="auto"/>
          <w:sz w:val="24"/>
          <w:highlight w:val="none"/>
          <w:lang w:eastAsia="zh-CN"/>
        </w:rPr>
        <w:t>响应性文件</w:t>
      </w:r>
      <w:r>
        <w:rPr>
          <w:rFonts w:hint="eastAsia" w:ascii="宋体" w:hAnsi="宋体" w:cs="宋体"/>
          <w:bCs/>
          <w:color w:val="auto"/>
          <w:sz w:val="24"/>
          <w:highlight w:val="none"/>
        </w:rPr>
        <w:t>和最后报价进行综合评分。</w:t>
      </w:r>
    </w:p>
    <w:p>
      <w:pPr>
        <w:pStyle w:val="50"/>
        <w:tabs>
          <w:tab w:val="left" w:pos="-900"/>
          <w:tab w:val="clear" w:pos="709"/>
        </w:tabs>
        <w:snapToGrid w:val="0"/>
        <w:spacing w:line="440" w:lineRule="exact"/>
        <w:ind w:left="0" w:firstLine="480" w:firstLineChars="200"/>
        <w:textAlignment w:val="auto"/>
        <w:rPr>
          <w:rFonts w:hint="eastAsia" w:cs="宋体"/>
          <w:color w:val="auto"/>
          <w:sz w:val="24"/>
          <w:highlight w:val="none"/>
        </w:rPr>
      </w:pPr>
      <w:r>
        <w:rPr>
          <w:rFonts w:hint="eastAsia" w:cs="宋体"/>
          <w:bCs/>
          <w:color w:val="auto"/>
          <w:sz w:val="24"/>
          <w:highlight w:val="none"/>
        </w:rPr>
        <w:t>25.2对通过</w:t>
      </w:r>
      <w:r>
        <w:rPr>
          <w:rFonts w:hint="eastAsia" w:cs="宋体"/>
          <w:color w:val="auto"/>
          <w:sz w:val="24"/>
          <w:highlight w:val="none"/>
        </w:rPr>
        <w:t>资格性审查和符合性审查</w:t>
      </w:r>
      <w:r>
        <w:rPr>
          <w:rFonts w:hint="eastAsia" w:cs="宋体"/>
          <w:bCs/>
          <w:color w:val="auto"/>
          <w:sz w:val="24"/>
          <w:highlight w:val="none"/>
        </w:rPr>
        <w:t>的</w:t>
      </w:r>
      <w:r>
        <w:rPr>
          <w:rFonts w:hint="eastAsia" w:cs="宋体"/>
          <w:bCs/>
          <w:color w:val="auto"/>
          <w:sz w:val="24"/>
          <w:highlight w:val="none"/>
          <w:lang w:eastAsia="zh-CN"/>
        </w:rPr>
        <w:t>响应性文件</w:t>
      </w:r>
      <w:r>
        <w:rPr>
          <w:rFonts w:hint="eastAsia" w:cs="宋体"/>
          <w:bCs/>
          <w:color w:val="auto"/>
          <w:sz w:val="24"/>
          <w:highlight w:val="none"/>
        </w:rPr>
        <w:t>，</w:t>
      </w:r>
      <w:r>
        <w:rPr>
          <w:rFonts w:hint="eastAsia" w:cs="宋体"/>
          <w:color w:val="auto"/>
          <w:sz w:val="24"/>
          <w:highlight w:val="none"/>
        </w:rPr>
        <w:t>本项目采用综合评分法，总分为</w:t>
      </w:r>
      <w:r>
        <w:rPr>
          <w:rFonts w:hint="eastAsia" w:cs="宋体"/>
          <w:color w:val="auto"/>
          <w:sz w:val="24"/>
          <w:highlight w:val="none"/>
          <w:u w:val="single"/>
        </w:rPr>
        <w:t>100</w:t>
      </w:r>
      <w:r>
        <w:rPr>
          <w:rFonts w:hint="eastAsia" w:cs="宋体"/>
          <w:color w:val="auto"/>
          <w:sz w:val="24"/>
          <w:highlight w:val="none"/>
        </w:rPr>
        <w:t>分。</w:t>
      </w:r>
    </w:p>
    <w:p>
      <w:pPr>
        <w:adjustRightInd w:val="0"/>
        <w:snapToGrid w:val="0"/>
        <w:spacing w:line="440" w:lineRule="exact"/>
        <w:jc w:val="both"/>
        <w:outlineLvl w:val="3"/>
        <w:rPr>
          <w:rFonts w:hint="eastAsia"/>
          <w:color w:val="auto"/>
          <w:highlight w:val="none"/>
        </w:rPr>
      </w:pPr>
      <w:bookmarkStart w:id="41" w:name="_Toc26960"/>
      <w:bookmarkStart w:id="42" w:name="_Toc13926"/>
      <w:r>
        <w:rPr>
          <w:rFonts w:hint="eastAsia" w:ascii="宋体" w:hAnsi="宋体" w:cs="宋体"/>
          <w:color w:val="auto"/>
          <w:sz w:val="24"/>
          <w:highlight w:val="none"/>
        </w:rPr>
        <w:t>25.3</w:t>
      </w:r>
      <w:r>
        <w:rPr>
          <w:rFonts w:hint="eastAsia" w:ascii="宋体" w:hAnsi="宋体" w:cs="宋体"/>
          <w:b/>
          <w:color w:val="auto"/>
          <w:sz w:val="24"/>
          <w:highlight w:val="none"/>
        </w:rPr>
        <w:t>评分标准和内容</w:t>
      </w:r>
      <w:bookmarkEnd w:id="41"/>
      <w:bookmarkEnd w:id="42"/>
      <w:bookmarkStart w:id="43" w:name="_Toc246996242"/>
      <w:bookmarkStart w:id="44" w:name="_Toc179632617"/>
      <w:bookmarkStart w:id="45" w:name="_Toc246996985"/>
      <w:bookmarkStart w:id="46" w:name="_Toc152045599"/>
      <w:bookmarkStart w:id="47" w:name="_Toc296602487"/>
      <w:bookmarkStart w:id="48" w:name="_Toc26122"/>
      <w:bookmarkStart w:id="49" w:name="_Toc152042376"/>
      <w:bookmarkStart w:id="50" w:name="_Toc247085757"/>
      <w:bookmarkStart w:id="51" w:name="_Toc144974566"/>
    </w:p>
    <w:p>
      <w:pPr>
        <w:adjustRightInd w:val="0"/>
        <w:snapToGrid w:val="0"/>
        <w:spacing w:line="440" w:lineRule="exact"/>
        <w:ind w:firstLine="482" w:firstLineChars="200"/>
        <w:jc w:val="center"/>
        <w:rPr>
          <w:rFonts w:hint="eastAsia" w:ascii="宋体" w:hAnsi="宋体" w:cs="宋体"/>
          <w:b/>
          <w:color w:val="auto"/>
          <w:sz w:val="24"/>
          <w:highlight w:val="none"/>
        </w:rPr>
      </w:pPr>
      <w:r>
        <w:rPr>
          <w:rFonts w:hint="eastAsia" w:ascii="宋体" w:hAnsi="宋体" w:cs="宋体"/>
          <w:b/>
          <w:color w:val="auto"/>
          <w:sz w:val="24"/>
          <w:highlight w:val="none"/>
        </w:rPr>
        <w:t>评</w:t>
      </w:r>
      <w:r>
        <w:rPr>
          <w:rFonts w:hint="eastAsia" w:ascii="宋体" w:hAnsi="宋体" w:cs="宋体"/>
          <w:b/>
          <w:color w:val="auto"/>
          <w:sz w:val="24"/>
          <w:highlight w:val="none"/>
          <w:lang w:eastAsia="zh-CN"/>
        </w:rPr>
        <w:t>审</w:t>
      </w:r>
      <w:r>
        <w:rPr>
          <w:rFonts w:hint="eastAsia" w:ascii="宋体" w:hAnsi="宋体" w:cs="宋体"/>
          <w:b/>
          <w:color w:val="auto"/>
          <w:sz w:val="24"/>
          <w:highlight w:val="none"/>
        </w:rPr>
        <w:t>办法前附表</w:t>
      </w:r>
      <w:bookmarkEnd w:id="43"/>
      <w:bookmarkEnd w:id="44"/>
      <w:bookmarkEnd w:id="45"/>
      <w:bookmarkEnd w:id="46"/>
      <w:bookmarkEnd w:id="47"/>
      <w:bookmarkEnd w:id="48"/>
      <w:bookmarkEnd w:id="49"/>
      <w:bookmarkEnd w:id="50"/>
      <w:bookmarkEnd w:id="51"/>
    </w:p>
    <w:tbl>
      <w:tblPr>
        <w:tblStyle w:val="26"/>
        <w:tblW w:w="9238" w:type="dxa"/>
        <w:tblInd w:w="250" w:type="dxa"/>
        <w:tblLayout w:type="fixed"/>
        <w:tblCellMar>
          <w:top w:w="0" w:type="dxa"/>
          <w:left w:w="108" w:type="dxa"/>
          <w:bottom w:w="0" w:type="dxa"/>
          <w:right w:w="108" w:type="dxa"/>
        </w:tblCellMar>
      </w:tblPr>
      <w:tblGrid>
        <w:gridCol w:w="808"/>
        <w:gridCol w:w="667"/>
        <w:gridCol w:w="2415"/>
        <w:gridCol w:w="5348"/>
      </w:tblGrid>
      <w:tr>
        <w:tblPrEx>
          <w:tblLayout w:type="fixed"/>
          <w:tblCellMar>
            <w:top w:w="0" w:type="dxa"/>
            <w:left w:w="108" w:type="dxa"/>
            <w:bottom w:w="0" w:type="dxa"/>
            <w:right w:w="108" w:type="dxa"/>
          </w:tblCellMar>
        </w:tblPrEx>
        <w:trPr>
          <w:trHeight w:val="855" w:hRule="atLeast"/>
        </w:trPr>
        <w:tc>
          <w:tcPr>
            <w:tcW w:w="808" w:type="dxa"/>
            <w:vMerge w:val="restar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响</w:t>
            </w:r>
          </w:p>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应</w:t>
            </w:r>
          </w:p>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文</w:t>
            </w:r>
          </w:p>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件</w:t>
            </w:r>
          </w:p>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的</w:t>
            </w:r>
          </w:p>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初</w:t>
            </w:r>
          </w:p>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审</w:t>
            </w:r>
          </w:p>
          <w:p>
            <w:pPr>
              <w:jc w:val="center"/>
              <w:rPr>
                <w:rFonts w:hint="eastAsia" w:ascii="宋体" w:hAnsi="宋体" w:eastAsia="宋体" w:cs="宋体"/>
                <w:color w:val="auto"/>
                <w:sz w:val="22"/>
                <w:szCs w:val="22"/>
                <w:highlight w:val="none"/>
              </w:rPr>
            </w:pPr>
          </w:p>
          <w:p>
            <w:pPr>
              <w:jc w:val="center"/>
              <w:rPr>
                <w:rFonts w:hint="eastAsia" w:ascii="宋体" w:hAnsi="宋体" w:eastAsia="宋体" w:cs="宋体"/>
                <w:color w:val="auto"/>
                <w:sz w:val="22"/>
                <w:szCs w:val="22"/>
                <w:highlight w:val="none"/>
              </w:rPr>
            </w:pPr>
          </w:p>
        </w:tc>
        <w:tc>
          <w:tcPr>
            <w:tcW w:w="3082" w:type="dxa"/>
            <w:gridSpan w:val="2"/>
            <w:tcBorders>
              <w:top w:val="single" w:color="000000" w:sz="4" w:space="0"/>
              <w:left w:val="nil"/>
              <w:bottom w:val="single" w:color="000000" w:sz="4" w:space="0"/>
              <w:right w:val="single" w:color="000000" w:sz="4" w:space="0"/>
            </w:tcBorders>
            <w:noWrap w:val="0"/>
            <w:vAlign w:val="center"/>
          </w:tcPr>
          <w:p>
            <w:pPr>
              <w:ind w:firstLine="440" w:firstLineChars="20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评审因素</w:t>
            </w:r>
          </w:p>
        </w:tc>
        <w:tc>
          <w:tcPr>
            <w:tcW w:w="5348"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4"/>
                <w:highlight w:val="none"/>
              </w:rPr>
            </w:pPr>
            <w:r>
              <w:rPr>
                <w:rFonts w:hint="eastAsia" w:ascii="宋体" w:hAnsi="宋体" w:eastAsia="宋体" w:cs="宋体"/>
                <w:color w:val="auto"/>
                <w:sz w:val="22"/>
                <w:szCs w:val="22"/>
                <w:highlight w:val="none"/>
              </w:rPr>
              <w:t>评审标准</w:t>
            </w:r>
          </w:p>
        </w:tc>
      </w:tr>
      <w:tr>
        <w:tblPrEx>
          <w:tblLayout w:type="fixed"/>
          <w:tblCellMar>
            <w:top w:w="0" w:type="dxa"/>
            <w:left w:w="108" w:type="dxa"/>
            <w:bottom w:w="0" w:type="dxa"/>
            <w:right w:w="108" w:type="dxa"/>
          </w:tblCellMar>
        </w:tblPrEx>
        <w:trPr>
          <w:trHeight w:val="687" w:hRule="atLeast"/>
        </w:trPr>
        <w:tc>
          <w:tcPr>
            <w:tcW w:w="8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restart"/>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资格性</w:t>
            </w:r>
          </w:p>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评审标准</w:t>
            </w:r>
          </w:p>
        </w:tc>
        <w:tc>
          <w:tcPr>
            <w:tcW w:w="2415" w:type="dxa"/>
            <w:tcBorders>
              <w:top w:val="nil"/>
              <w:left w:val="nil"/>
              <w:bottom w:val="single" w:color="auto" w:sz="4" w:space="0"/>
              <w:right w:val="single" w:color="auto" w:sz="4" w:space="0"/>
            </w:tcBorders>
            <w:noWrap w:val="0"/>
            <w:vAlign w:val="center"/>
          </w:tcPr>
          <w:p>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供应商资格信用承诺函</w:t>
            </w:r>
          </w:p>
        </w:tc>
        <w:tc>
          <w:tcPr>
            <w:tcW w:w="5348" w:type="dxa"/>
            <w:tcBorders>
              <w:top w:val="nil"/>
              <w:left w:val="single" w:color="auto" w:sz="4" w:space="0"/>
              <w:bottom w:val="single" w:color="000000" w:sz="4" w:space="0"/>
              <w:right w:val="single" w:color="000000" w:sz="4" w:space="0"/>
            </w:tcBorders>
            <w:noWrap w:val="0"/>
            <w:vAlign w:val="center"/>
          </w:tcPr>
          <w:p>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提供采购供应商资格信用承诺函</w:t>
            </w:r>
          </w:p>
        </w:tc>
      </w:tr>
      <w:tr>
        <w:tblPrEx>
          <w:tblLayout w:type="fixed"/>
          <w:tblCellMar>
            <w:top w:w="0" w:type="dxa"/>
            <w:left w:w="108" w:type="dxa"/>
            <w:bottom w:w="0" w:type="dxa"/>
            <w:right w:w="108" w:type="dxa"/>
          </w:tblCellMar>
        </w:tblPrEx>
        <w:trPr>
          <w:trHeight w:val="576" w:hRule="atLeast"/>
        </w:trPr>
        <w:tc>
          <w:tcPr>
            <w:tcW w:w="8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continue"/>
            <w:tcBorders>
              <w:left w:val="nil"/>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2415" w:type="dxa"/>
            <w:tcBorders>
              <w:top w:val="nil"/>
              <w:left w:val="nil"/>
              <w:bottom w:val="single" w:color="auto" w:sz="4" w:space="0"/>
              <w:right w:val="single" w:color="auto" w:sz="4" w:space="0"/>
            </w:tcBorders>
            <w:noWrap w:val="0"/>
            <w:vAlign w:val="center"/>
          </w:tcPr>
          <w:p>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中小企业声明函</w:t>
            </w:r>
          </w:p>
        </w:tc>
        <w:tc>
          <w:tcPr>
            <w:tcW w:w="5348" w:type="dxa"/>
            <w:tcBorders>
              <w:top w:val="nil"/>
              <w:left w:val="single" w:color="auto" w:sz="4" w:space="0"/>
              <w:bottom w:val="single" w:color="000000" w:sz="4" w:space="0"/>
              <w:right w:val="single" w:color="000000" w:sz="4" w:space="0"/>
            </w:tcBorders>
            <w:noWrap w:val="0"/>
            <w:vAlign w:val="center"/>
          </w:tcPr>
          <w:p>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应为中小微企业或监狱企业或残疾人福利性单位</w:t>
            </w:r>
          </w:p>
        </w:tc>
      </w:tr>
      <w:tr>
        <w:tblPrEx>
          <w:tblLayout w:type="fixed"/>
          <w:tblCellMar>
            <w:top w:w="0" w:type="dxa"/>
            <w:left w:w="108" w:type="dxa"/>
            <w:bottom w:w="0" w:type="dxa"/>
            <w:right w:w="108" w:type="dxa"/>
          </w:tblCellMar>
        </w:tblPrEx>
        <w:trPr>
          <w:trHeight w:val="514" w:hRule="atLeast"/>
        </w:trPr>
        <w:tc>
          <w:tcPr>
            <w:tcW w:w="8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2415" w:type="dxa"/>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信用查询</w:t>
            </w:r>
          </w:p>
        </w:tc>
        <w:tc>
          <w:tcPr>
            <w:tcW w:w="534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b/>
                <w:bCs/>
                <w:color w:val="auto"/>
                <w:sz w:val="21"/>
                <w:szCs w:val="21"/>
                <w:highlight w:val="none"/>
              </w:rPr>
              <w:t>供应商须知</w:t>
            </w:r>
            <w:r>
              <w:rPr>
                <w:rFonts w:hint="eastAsia" w:ascii="宋体" w:hAnsi="宋体" w:eastAsia="宋体" w:cs="宋体"/>
                <w:color w:val="auto"/>
                <w:sz w:val="21"/>
                <w:szCs w:val="21"/>
                <w:highlight w:val="none"/>
              </w:rPr>
              <w:t>”第2项规定</w:t>
            </w:r>
          </w:p>
        </w:tc>
      </w:tr>
      <w:tr>
        <w:tblPrEx>
          <w:tblLayout w:type="fixed"/>
          <w:tblCellMar>
            <w:top w:w="0" w:type="dxa"/>
            <w:left w:w="108" w:type="dxa"/>
            <w:bottom w:w="0" w:type="dxa"/>
            <w:right w:w="108" w:type="dxa"/>
          </w:tblCellMar>
        </w:tblPrEx>
        <w:trPr>
          <w:trHeight w:val="509" w:hRule="atLeast"/>
        </w:trPr>
        <w:tc>
          <w:tcPr>
            <w:tcW w:w="8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2415" w:type="dxa"/>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资质要求</w:t>
            </w:r>
          </w:p>
        </w:tc>
        <w:tc>
          <w:tcPr>
            <w:tcW w:w="534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b/>
                <w:bCs/>
                <w:color w:val="auto"/>
                <w:sz w:val="21"/>
                <w:szCs w:val="21"/>
                <w:highlight w:val="none"/>
              </w:rPr>
              <w:t>供应商须知</w:t>
            </w:r>
            <w:r>
              <w:rPr>
                <w:rFonts w:hint="eastAsia" w:ascii="宋体" w:hAnsi="宋体" w:eastAsia="宋体" w:cs="宋体"/>
                <w:color w:val="auto"/>
                <w:sz w:val="21"/>
                <w:szCs w:val="21"/>
                <w:highlight w:val="none"/>
              </w:rPr>
              <w:t>”第2项规定</w:t>
            </w:r>
          </w:p>
        </w:tc>
      </w:tr>
      <w:tr>
        <w:tblPrEx>
          <w:tblLayout w:type="fixed"/>
          <w:tblCellMar>
            <w:top w:w="0" w:type="dxa"/>
            <w:left w:w="108" w:type="dxa"/>
            <w:bottom w:w="0" w:type="dxa"/>
            <w:right w:w="108" w:type="dxa"/>
          </w:tblCellMar>
        </w:tblPrEx>
        <w:trPr>
          <w:trHeight w:val="714" w:hRule="atLeast"/>
        </w:trPr>
        <w:tc>
          <w:tcPr>
            <w:tcW w:w="8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continue"/>
            <w:tcBorders>
              <w:top w:val="nil"/>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2415" w:type="dxa"/>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经理</w:t>
            </w:r>
          </w:p>
        </w:tc>
        <w:tc>
          <w:tcPr>
            <w:tcW w:w="534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符合第二章“</w:t>
            </w:r>
            <w:r>
              <w:rPr>
                <w:rFonts w:hint="eastAsia" w:ascii="宋体" w:hAnsi="宋体" w:eastAsia="宋体" w:cs="宋体"/>
                <w:b/>
                <w:bCs/>
                <w:color w:val="auto"/>
                <w:sz w:val="21"/>
                <w:szCs w:val="21"/>
                <w:highlight w:val="none"/>
              </w:rPr>
              <w:t>供应商须知</w:t>
            </w:r>
            <w:r>
              <w:rPr>
                <w:rFonts w:hint="eastAsia" w:ascii="宋体" w:hAnsi="宋体" w:eastAsia="宋体" w:cs="宋体"/>
                <w:color w:val="auto"/>
                <w:sz w:val="21"/>
                <w:szCs w:val="21"/>
                <w:highlight w:val="none"/>
              </w:rPr>
              <w:t>”第2项规定</w:t>
            </w:r>
          </w:p>
        </w:tc>
      </w:tr>
      <w:tr>
        <w:tblPrEx>
          <w:tblLayout w:type="fixed"/>
          <w:tblCellMar>
            <w:top w:w="0" w:type="dxa"/>
            <w:left w:w="108" w:type="dxa"/>
            <w:bottom w:w="0" w:type="dxa"/>
            <w:right w:w="108" w:type="dxa"/>
          </w:tblCellMar>
        </w:tblPrEx>
        <w:trPr>
          <w:trHeight w:val="566" w:hRule="atLeast"/>
        </w:trPr>
        <w:tc>
          <w:tcPr>
            <w:tcW w:w="80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continue"/>
            <w:tcBorders>
              <w:top w:val="nil"/>
              <w:left w:val="nil"/>
              <w:bottom w:val="single" w:color="auto"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2415" w:type="dxa"/>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其  他</w:t>
            </w:r>
          </w:p>
        </w:tc>
        <w:tc>
          <w:tcPr>
            <w:tcW w:w="5348"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符合法律、法规及磋商文件规定的其他条件</w:t>
            </w:r>
          </w:p>
        </w:tc>
      </w:tr>
      <w:tr>
        <w:tblPrEx>
          <w:tblLayout w:type="fixed"/>
          <w:tblCellMar>
            <w:top w:w="0" w:type="dxa"/>
            <w:left w:w="108" w:type="dxa"/>
            <w:bottom w:w="0" w:type="dxa"/>
            <w:right w:w="108" w:type="dxa"/>
          </w:tblCellMar>
        </w:tblPrEx>
        <w:trPr>
          <w:trHeight w:val="858" w:hRule="atLeast"/>
        </w:trPr>
        <w:tc>
          <w:tcPr>
            <w:tcW w:w="808"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符合性评审标准</w:t>
            </w:r>
          </w:p>
        </w:tc>
        <w:tc>
          <w:tcPr>
            <w:tcW w:w="24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响应性文件</w:t>
            </w:r>
            <w:r>
              <w:rPr>
                <w:rFonts w:hint="eastAsia" w:ascii="宋体" w:hAnsi="宋体" w:eastAsia="宋体" w:cs="宋体"/>
                <w:color w:val="auto"/>
                <w:sz w:val="21"/>
                <w:szCs w:val="21"/>
                <w:highlight w:val="none"/>
              </w:rPr>
              <w:t>封面和磋商承诺函签字盖章</w:t>
            </w:r>
          </w:p>
        </w:tc>
        <w:tc>
          <w:tcPr>
            <w:tcW w:w="5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有法定代表人或其委托代理人签字（或印鉴）并加盖单位公章</w:t>
            </w:r>
          </w:p>
        </w:tc>
      </w:tr>
      <w:tr>
        <w:tblPrEx>
          <w:tblLayout w:type="fixed"/>
          <w:tblCellMar>
            <w:top w:w="0" w:type="dxa"/>
            <w:left w:w="108" w:type="dxa"/>
            <w:bottom w:w="0" w:type="dxa"/>
            <w:right w:w="108" w:type="dxa"/>
          </w:tblCellMar>
        </w:tblPrEx>
        <w:trPr>
          <w:trHeight w:val="623" w:hRule="atLeast"/>
        </w:trPr>
        <w:tc>
          <w:tcPr>
            <w:tcW w:w="808"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2"/>
                <w:szCs w:val="22"/>
                <w:highlight w:val="none"/>
              </w:rPr>
            </w:pPr>
          </w:p>
        </w:tc>
        <w:tc>
          <w:tcPr>
            <w:tcW w:w="24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w:t>
            </w:r>
          </w:p>
        </w:tc>
        <w:tc>
          <w:tcPr>
            <w:tcW w:w="5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报价唯一，且不能超过采购部门出具的采购预算价</w:t>
            </w:r>
          </w:p>
        </w:tc>
      </w:tr>
      <w:tr>
        <w:tblPrEx>
          <w:tblLayout w:type="fixed"/>
          <w:tblCellMar>
            <w:top w:w="0" w:type="dxa"/>
            <w:left w:w="108" w:type="dxa"/>
            <w:bottom w:w="0" w:type="dxa"/>
            <w:right w:w="108" w:type="dxa"/>
          </w:tblCellMar>
        </w:tblPrEx>
        <w:trPr>
          <w:trHeight w:val="546" w:hRule="atLeast"/>
        </w:trPr>
        <w:tc>
          <w:tcPr>
            <w:tcW w:w="808"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continue"/>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宋体" w:hAnsi="宋体" w:eastAsia="宋体" w:cs="宋体"/>
                <w:color w:val="auto"/>
                <w:sz w:val="22"/>
                <w:szCs w:val="22"/>
                <w:highlight w:val="none"/>
              </w:rPr>
            </w:pPr>
          </w:p>
        </w:tc>
        <w:tc>
          <w:tcPr>
            <w:tcW w:w="2415" w:type="dxa"/>
            <w:tcBorders>
              <w:top w:val="single" w:color="auto"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5348" w:type="dxa"/>
            <w:tcBorders>
              <w:top w:val="single" w:color="auto"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磋商文件所要求的其它相关的证明材料</w:t>
            </w:r>
          </w:p>
        </w:tc>
      </w:tr>
      <w:tr>
        <w:tblPrEx>
          <w:tblLayout w:type="fixed"/>
          <w:tblCellMar>
            <w:top w:w="0" w:type="dxa"/>
            <w:left w:w="108" w:type="dxa"/>
            <w:bottom w:w="0" w:type="dxa"/>
            <w:right w:w="108" w:type="dxa"/>
          </w:tblCellMar>
        </w:tblPrEx>
        <w:trPr>
          <w:trHeight w:val="582" w:hRule="atLeast"/>
        </w:trPr>
        <w:tc>
          <w:tcPr>
            <w:tcW w:w="808"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eastAsia="宋体" w:cs="宋体"/>
                <w:color w:val="auto"/>
                <w:sz w:val="22"/>
                <w:szCs w:val="22"/>
                <w:highlight w:val="none"/>
              </w:rPr>
            </w:pPr>
          </w:p>
        </w:tc>
        <w:tc>
          <w:tcPr>
            <w:tcW w:w="667"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响应性评审标准</w:t>
            </w:r>
          </w:p>
        </w:tc>
        <w:tc>
          <w:tcPr>
            <w:tcW w:w="2415"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合同履行期限</w:t>
            </w:r>
          </w:p>
        </w:tc>
        <w:tc>
          <w:tcPr>
            <w:tcW w:w="5348"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自合同签订之日起</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0日历天</w:t>
            </w:r>
          </w:p>
        </w:tc>
      </w:tr>
      <w:tr>
        <w:tblPrEx>
          <w:tblLayout w:type="fixed"/>
          <w:tblCellMar>
            <w:top w:w="0" w:type="dxa"/>
            <w:left w:w="108" w:type="dxa"/>
            <w:bottom w:w="0" w:type="dxa"/>
            <w:right w:w="108" w:type="dxa"/>
          </w:tblCellMar>
        </w:tblPrEx>
        <w:trPr>
          <w:trHeight w:val="1333" w:hRule="atLeast"/>
        </w:trPr>
        <w:tc>
          <w:tcPr>
            <w:tcW w:w="808"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宋体" w:hAnsi="宋体" w:eastAsia="宋体" w:cs="宋体"/>
                <w:color w:val="auto"/>
                <w:sz w:val="24"/>
                <w:highlight w:val="none"/>
              </w:rPr>
            </w:pPr>
          </w:p>
        </w:tc>
        <w:tc>
          <w:tcPr>
            <w:tcW w:w="667"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4"/>
                <w:highlight w:val="none"/>
              </w:rPr>
            </w:pPr>
          </w:p>
        </w:tc>
        <w:tc>
          <w:tcPr>
            <w:tcW w:w="2415"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磋商有效期</w:t>
            </w:r>
          </w:p>
        </w:tc>
        <w:tc>
          <w:tcPr>
            <w:tcW w:w="5348" w:type="dxa"/>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提交响应性文件截止之日起60日历天</w:t>
            </w:r>
          </w:p>
        </w:tc>
      </w:tr>
    </w:tbl>
    <w:p>
      <w:pPr>
        <w:pStyle w:val="49"/>
        <w:rPr>
          <w:rFonts w:hint="eastAsia"/>
          <w:color w:val="auto"/>
          <w:highlight w:val="none"/>
        </w:rPr>
      </w:pPr>
    </w:p>
    <w:p>
      <w:pPr>
        <w:pStyle w:val="24"/>
        <w:ind w:firstLine="0" w:firstLineChars="0"/>
        <w:jc w:val="center"/>
        <w:outlineLvl w:val="3"/>
        <w:rPr>
          <w:rFonts w:hint="eastAsia" w:ascii="宋体" w:hAnsi="宋体" w:cs="宋体"/>
          <w:b/>
          <w:bCs/>
          <w:color w:val="auto"/>
          <w:sz w:val="24"/>
          <w:highlight w:val="none"/>
        </w:rPr>
      </w:pPr>
    </w:p>
    <w:p>
      <w:pPr>
        <w:pStyle w:val="24"/>
        <w:ind w:firstLine="0" w:firstLineChars="0"/>
        <w:jc w:val="center"/>
        <w:outlineLvl w:val="3"/>
        <w:rPr>
          <w:rFonts w:hint="eastAsia" w:ascii="宋体" w:hAnsi="宋体" w:cs="宋体"/>
          <w:b/>
          <w:bCs/>
          <w:color w:val="auto"/>
          <w:sz w:val="24"/>
          <w:highlight w:val="none"/>
        </w:rPr>
      </w:pPr>
    </w:p>
    <w:p>
      <w:pPr>
        <w:pStyle w:val="24"/>
        <w:ind w:firstLine="0" w:firstLineChars="0"/>
        <w:jc w:val="center"/>
        <w:outlineLvl w:val="3"/>
        <w:rPr>
          <w:rFonts w:hint="eastAsia" w:ascii="宋体" w:hAnsi="宋体" w:cs="宋体"/>
          <w:b/>
          <w:bCs/>
          <w:color w:val="auto"/>
          <w:sz w:val="24"/>
          <w:highlight w:val="none"/>
        </w:rPr>
      </w:pPr>
    </w:p>
    <w:p>
      <w:pPr>
        <w:pStyle w:val="24"/>
        <w:ind w:firstLine="0" w:firstLineChars="0"/>
        <w:jc w:val="center"/>
        <w:outlineLvl w:val="3"/>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rPr>
          <w:rFonts w:hint="eastAsia" w:ascii="宋体" w:hAnsi="宋体" w:cs="宋体"/>
          <w:b/>
          <w:bCs/>
          <w:color w:val="auto"/>
          <w:sz w:val="24"/>
          <w:highlight w:val="none"/>
        </w:rPr>
      </w:pPr>
    </w:p>
    <w:p>
      <w:pPr>
        <w:pStyle w:val="24"/>
        <w:ind w:firstLine="0" w:firstLineChars="0"/>
        <w:jc w:val="center"/>
        <w:outlineLvl w:val="3"/>
        <w:rPr>
          <w:rFonts w:hint="eastAsia" w:ascii="宋体" w:hAnsi="宋体" w:cs="宋体"/>
          <w:b/>
          <w:bCs/>
          <w:color w:val="auto"/>
          <w:sz w:val="24"/>
          <w:highlight w:val="none"/>
        </w:rPr>
      </w:pPr>
    </w:p>
    <w:p>
      <w:pPr>
        <w:pStyle w:val="24"/>
        <w:ind w:firstLine="0" w:firstLineChars="0"/>
        <w:jc w:val="center"/>
        <w:outlineLvl w:val="3"/>
        <w:rPr>
          <w:rFonts w:hint="eastAsia" w:ascii="宋体" w:hAnsi="宋体" w:cs="宋体"/>
          <w:b/>
          <w:bCs/>
          <w:color w:val="auto"/>
          <w:sz w:val="24"/>
          <w:highlight w:val="none"/>
        </w:rPr>
      </w:pPr>
    </w:p>
    <w:p>
      <w:pPr>
        <w:pStyle w:val="24"/>
        <w:ind w:firstLine="0" w:firstLineChars="0"/>
        <w:jc w:val="center"/>
        <w:outlineLvl w:val="3"/>
        <w:rPr>
          <w:rFonts w:hint="eastAsia" w:ascii="宋体" w:hAnsi="宋体" w:cs="宋体"/>
          <w:b/>
          <w:bCs/>
          <w:color w:val="auto"/>
          <w:sz w:val="24"/>
          <w:highlight w:val="none"/>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4"/>
        <w:ind w:firstLine="0" w:firstLineChars="0"/>
        <w:jc w:val="center"/>
        <w:outlineLvl w:val="3"/>
        <w:rPr>
          <w:rFonts w:hint="eastAsia" w:ascii="宋体" w:hAnsi="宋体" w:cs="宋体"/>
          <w:b/>
          <w:bCs/>
          <w:color w:val="auto"/>
          <w:sz w:val="24"/>
          <w:highlight w:val="none"/>
        </w:rPr>
      </w:pPr>
    </w:p>
    <w:p>
      <w:pPr>
        <w:pStyle w:val="24"/>
        <w:ind w:firstLine="0" w:firstLineChars="0"/>
        <w:jc w:val="center"/>
        <w:outlineLvl w:val="3"/>
        <w:rPr>
          <w:rFonts w:hint="eastAsia" w:ascii="宋体" w:hAnsi="宋体" w:cs="宋体"/>
          <w:b/>
          <w:bCs/>
          <w:color w:val="auto"/>
          <w:sz w:val="24"/>
          <w:highlight w:val="none"/>
        </w:rPr>
      </w:pPr>
      <w:r>
        <w:rPr>
          <w:rFonts w:hint="eastAsia" w:ascii="宋体" w:hAnsi="宋体" w:cs="宋体"/>
          <w:b/>
          <w:bCs/>
          <w:color w:val="auto"/>
          <w:sz w:val="24"/>
          <w:highlight w:val="none"/>
        </w:rPr>
        <w:t>25.4详细评审标准及办法</w:t>
      </w:r>
    </w:p>
    <w:tbl>
      <w:tblPr>
        <w:tblStyle w:val="26"/>
        <w:tblW w:w="92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391"/>
        <w:gridCol w:w="1700"/>
        <w:gridCol w:w="4273"/>
        <w:gridCol w:w="1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jc w:val="center"/>
        </w:trPr>
        <w:tc>
          <w:tcPr>
            <w:tcW w:w="2166" w:type="dxa"/>
            <w:gridSpan w:val="2"/>
            <w:noWrap/>
            <w:vAlign w:val="center"/>
          </w:tcPr>
          <w:p>
            <w:pPr>
              <w:autoSpaceDE w:val="0"/>
              <w:autoSpaceDN w:val="0"/>
              <w:spacing w:line="360" w:lineRule="auto"/>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条款号</w:t>
            </w:r>
          </w:p>
        </w:tc>
        <w:tc>
          <w:tcPr>
            <w:tcW w:w="1700" w:type="dxa"/>
            <w:noWrap/>
            <w:vAlign w:val="center"/>
          </w:tcPr>
          <w:p>
            <w:pPr>
              <w:autoSpaceDE w:val="0"/>
              <w:autoSpaceDN w:val="0"/>
              <w:spacing w:line="360" w:lineRule="auto"/>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评审因素</w:t>
            </w:r>
          </w:p>
        </w:tc>
        <w:tc>
          <w:tcPr>
            <w:tcW w:w="5392" w:type="dxa"/>
            <w:gridSpan w:val="2"/>
            <w:noWrap/>
            <w:vAlign w:val="center"/>
          </w:tcPr>
          <w:p>
            <w:pPr>
              <w:autoSpaceDE w:val="0"/>
              <w:autoSpaceDN w:val="0"/>
              <w:spacing w:line="360" w:lineRule="auto"/>
              <w:jc w:val="center"/>
              <w:rPr>
                <w:rFonts w:hint="eastAsia" w:ascii="宋体" w:hAnsi="宋体" w:cs="宋体"/>
                <w:b/>
                <w:color w:val="auto"/>
                <w:kern w:val="0"/>
                <w:sz w:val="24"/>
                <w:highlight w:val="none"/>
              </w:rPr>
            </w:pPr>
            <w:r>
              <w:rPr>
                <w:rFonts w:hint="eastAsia" w:ascii="宋体" w:hAnsi="宋体" w:cs="宋体"/>
                <w:b/>
                <w:color w:val="auto"/>
                <w:kern w:val="0"/>
                <w:sz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50" w:hRule="atLeast"/>
          <w:jc w:val="center"/>
        </w:trPr>
        <w:tc>
          <w:tcPr>
            <w:tcW w:w="775" w:type="dxa"/>
            <w:noWrap/>
            <w:vAlign w:val="center"/>
          </w:tcPr>
          <w:p>
            <w:pPr>
              <w:autoSpaceDE w:val="0"/>
              <w:autoSpaceDN w:val="0"/>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2.1</w:t>
            </w:r>
          </w:p>
        </w:tc>
        <w:tc>
          <w:tcPr>
            <w:tcW w:w="1391" w:type="dxa"/>
            <w:noWrap/>
            <w:vAlign w:val="center"/>
          </w:tcPr>
          <w:p>
            <w:pPr>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分值构成（100</w:t>
            </w:r>
            <w:r>
              <w:rPr>
                <w:rFonts w:hint="eastAsia" w:ascii="宋体" w:hAnsi="宋体" w:cs="宋体"/>
                <w:color w:val="auto"/>
                <w:sz w:val="22"/>
                <w:szCs w:val="22"/>
                <w:highlight w:val="none"/>
                <w:lang w:eastAsia="zh-CN"/>
              </w:rPr>
              <w:t>分</w:t>
            </w:r>
            <w:r>
              <w:rPr>
                <w:rFonts w:hint="eastAsia" w:ascii="宋体" w:hAnsi="宋体" w:cs="宋体"/>
                <w:color w:val="auto"/>
                <w:sz w:val="22"/>
                <w:szCs w:val="22"/>
                <w:highlight w:val="none"/>
              </w:rPr>
              <w:t>）</w:t>
            </w:r>
          </w:p>
        </w:tc>
        <w:tc>
          <w:tcPr>
            <w:tcW w:w="7092" w:type="dxa"/>
            <w:gridSpan w:val="3"/>
            <w:noWrap/>
            <w:vAlign w:val="center"/>
          </w:tcPr>
          <w:p>
            <w:pPr>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报价部分（</w:t>
            </w:r>
            <w:r>
              <w:rPr>
                <w:rFonts w:hint="eastAsia" w:ascii="宋体" w:hAnsi="宋体" w:cs="宋体"/>
                <w:color w:val="auto"/>
                <w:sz w:val="22"/>
                <w:szCs w:val="22"/>
                <w:highlight w:val="none"/>
                <w:lang w:val="en-US" w:eastAsia="zh-CN"/>
              </w:rPr>
              <w:t>45</w:t>
            </w:r>
            <w:r>
              <w:rPr>
                <w:rFonts w:hint="eastAsia" w:ascii="宋体" w:hAnsi="宋体" w:cs="宋体"/>
                <w:color w:val="auto"/>
                <w:sz w:val="22"/>
                <w:szCs w:val="22"/>
                <w:highlight w:val="none"/>
              </w:rPr>
              <w:t>分）</w:t>
            </w:r>
          </w:p>
          <w:p>
            <w:pPr>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技术部分（</w:t>
            </w:r>
            <w:r>
              <w:rPr>
                <w:rFonts w:hint="eastAsia" w:ascii="宋体" w:hAnsi="宋体" w:cs="宋体"/>
                <w:color w:val="auto"/>
                <w:sz w:val="22"/>
                <w:szCs w:val="22"/>
                <w:highlight w:val="none"/>
                <w:lang w:val="en-US" w:eastAsia="zh-CN"/>
              </w:rPr>
              <w:t>40</w:t>
            </w:r>
            <w:r>
              <w:rPr>
                <w:rFonts w:hint="eastAsia" w:ascii="宋体" w:hAnsi="宋体" w:cs="宋体"/>
                <w:color w:val="auto"/>
                <w:sz w:val="22"/>
                <w:szCs w:val="22"/>
                <w:highlight w:val="none"/>
              </w:rPr>
              <w:t>分）</w:t>
            </w:r>
          </w:p>
          <w:p>
            <w:pPr>
              <w:spacing w:line="40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综合部分（1</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70" w:hRule="atLeast"/>
          <w:jc w:val="center"/>
        </w:trPr>
        <w:tc>
          <w:tcPr>
            <w:tcW w:w="775" w:type="dxa"/>
            <w:noWrap/>
            <w:vAlign w:val="center"/>
          </w:tcPr>
          <w:p>
            <w:pPr>
              <w:autoSpaceDE w:val="0"/>
              <w:autoSpaceDN w:val="0"/>
              <w:spacing w:line="36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2.2.1</w:t>
            </w:r>
          </w:p>
        </w:tc>
        <w:tc>
          <w:tcPr>
            <w:tcW w:w="1391" w:type="dxa"/>
            <w:noWrap/>
            <w:vAlign w:val="center"/>
          </w:tcPr>
          <w:p>
            <w:pPr>
              <w:spacing w:line="400" w:lineRule="exact"/>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报价部分</w:t>
            </w:r>
          </w:p>
          <w:p>
            <w:pPr>
              <w:spacing w:line="400" w:lineRule="exact"/>
              <w:jc w:val="center"/>
              <w:rPr>
                <w:rFonts w:hint="eastAsia" w:ascii="宋体" w:hAnsi="宋体" w:cs="宋体"/>
                <w:color w:val="auto"/>
                <w:sz w:val="24"/>
                <w:highlight w:val="none"/>
              </w:rPr>
            </w:pP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45</w:t>
            </w:r>
            <w:r>
              <w:rPr>
                <w:rFonts w:hint="eastAsia" w:ascii="宋体" w:hAnsi="宋体" w:cs="宋体"/>
                <w:color w:val="auto"/>
                <w:sz w:val="22"/>
                <w:szCs w:val="22"/>
                <w:highlight w:val="none"/>
              </w:rPr>
              <w:t>分）</w:t>
            </w:r>
          </w:p>
        </w:tc>
        <w:tc>
          <w:tcPr>
            <w:tcW w:w="7092" w:type="dxa"/>
            <w:gridSpan w:val="3"/>
            <w:noWrap/>
            <w:vAlign w:val="top"/>
          </w:tcPr>
          <w:p>
            <w:pPr>
              <w:spacing w:line="400" w:lineRule="exact"/>
              <w:rPr>
                <w:rFonts w:hint="eastAsia"/>
                <w:color w:val="auto"/>
                <w:highlight w:val="none"/>
              </w:rPr>
            </w:pPr>
            <w:r>
              <w:rPr>
                <w:rFonts w:hint="eastAsia"/>
                <w:color w:val="auto"/>
                <w:highlight w:val="none"/>
              </w:rPr>
              <w:t>满足磋商文件要求且最后报价最低的供应商报价为磋商基准价，其报价得分为满分。其他供应商的价格得分统一按照下列公式计算：磋商报价得分=(磋商基准价／最后磋商报价)×</w:t>
            </w:r>
            <w:r>
              <w:rPr>
                <w:rFonts w:hint="eastAsia"/>
                <w:color w:val="auto"/>
                <w:highlight w:val="none"/>
                <w:lang w:val="en-US" w:eastAsia="zh-CN"/>
              </w:rPr>
              <w:t>45</w:t>
            </w:r>
            <w:r>
              <w:rPr>
                <w:rFonts w:hint="eastAsia"/>
                <w:color w:val="auto"/>
                <w:highlight w:val="none"/>
              </w:rPr>
              <w:t>（小数点后保留2位小数）。</w:t>
            </w:r>
          </w:p>
          <w:p>
            <w:pPr>
              <w:spacing w:line="400" w:lineRule="exact"/>
              <w:rPr>
                <w:rFonts w:hint="eastAsia"/>
                <w:color w:val="auto"/>
                <w:highlight w:val="none"/>
              </w:rPr>
            </w:pPr>
            <w:r>
              <w:rPr>
                <w:rFonts w:hint="eastAsia"/>
                <w:color w:val="auto"/>
                <w:highlight w:val="none"/>
                <w:lang w:eastAsia="zh-CN"/>
              </w:rPr>
              <w:t>注：本项目为专门面向中小企业采购的项目，不再执行价格评审优惠的政策。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jc w:val="center"/>
        </w:trPr>
        <w:tc>
          <w:tcPr>
            <w:tcW w:w="775" w:type="dxa"/>
            <w:vMerge w:val="restart"/>
            <w:noWrap/>
            <w:vAlign w:val="center"/>
          </w:tcPr>
          <w:p>
            <w:pPr>
              <w:autoSpaceDE w:val="0"/>
              <w:autoSpaceDN w:val="0"/>
              <w:spacing w:line="36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2.2.2</w:t>
            </w:r>
          </w:p>
        </w:tc>
        <w:tc>
          <w:tcPr>
            <w:tcW w:w="1391" w:type="dxa"/>
            <w:vMerge w:val="restart"/>
            <w:noWrap/>
            <w:vAlign w:val="center"/>
          </w:tcPr>
          <w:p>
            <w:pPr>
              <w:spacing w:line="400" w:lineRule="exact"/>
              <w:ind w:left="15" w:leftChars="0" w:hanging="15" w:hangingChars="7"/>
              <w:jc w:val="center"/>
              <w:rPr>
                <w:rFonts w:hint="eastAsia" w:ascii="宋体" w:hAnsi="宋体" w:cs="宋体"/>
                <w:color w:val="auto"/>
                <w:sz w:val="24"/>
                <w:highlight w:val="none"/>
              </w:rPr>
            </w:pPr>
            <w:r>
              <w:rPr>
                <w:rFonts w:hint="eastAsia" w:ascii="宋体" w:hAnsi="宋体" w:cs="宋体"/>
                <w:color w:val="auto"/>
                <w:sz w:val="22"/>
                <w:szCs w:val="22"/>
                <w:highlight w:val="none"/>
              </w:rPr>
              <w:t>技术部分（</w:t>
            </w:r>
            <w:r>
              <w:rPr>
                <w:rFonts w:hint="eastAsia" w:ascii="宋体" w:hAnsi="宋体" w:cs="宋体"/>
                <w:color w:val="auto"/>
                <w:sz w:val="22"/>
                <w:szCs w:val="22"/>
                <w:highlight w:val="none"/>
                <w:lang w:val="en-US" w:eastAsia="zh-CN"/>
              </w:rPr>
              <w:t>40</w:t>
            </w:r>
            <w:r>
              <w:rPr>
                <w:rFonts w:hint="eastAsia" w:ascii="宋体" w:hAnsi="宋体" w:cs="宋体"/>
                <w:color w:val="auto"/>
                <w:sz w:val="22"/>
                <w:szCs w:val="22"/>
                <w:highlight w:val="none"/>
              </w:rPr>
              <w:t>分）</w:t>
            </w:r>
          </w:p>
        </w:tc>
        <w:tc>
          <w:tcPr>
            <w:tcW w:w="5973" w:type="dxa"/>
            <w:gridSpan w:val="2"/>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审查内容</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6"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1391" w:type="dxa"/>
            <w:vMerge w:val="continue"/>
            <w:noWrap/>
            <w:vAlign w:val="center"/>
          </w:tcPr>
          <w:p>
            <w:pPr>
              <w:spacing w:line="400" w:lineRule="exact"/>
              <w:ind w:left="210" w:leftChars="100"/>
              <w:rPr>
                <w:rFonts w:hint="eastAsia" w:ascii="宋体" w:hAnsi="宋体" w:cs="宋体"/>
                <w:color w:val="auto"/>
                <w:sz w:val="24"/>
                <w:highlight w:val="none"/>
              </w:rPr>
            </w:pPr>
          </w:p>
        </w:tc>
        <w:tc>
          <w:tcPr>
            <w:tcW w:w="5973" w:type="dxa"/>
            <w:gridSpan w:val="2"/>
            <w:noWrap/>
            <w:vAlign w:val="center"/>
          </w:tcPr>
          <w:p>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施工方案与技术措施</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4"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1391" w:type="dxa"/>
            <w:vMerge w:val="continue"/>
            <w:noWrap/>
            <w:vAlign w:val="center"/>
          </w:tcPr>
          <w:p>
            <w:pPr>
              <w:spacing w:line="400" w:lineRule="exact"/>
              <w:ind w:left="210" w:leftChars="100"/>
              <w:rPr>
                <w:rFonts w:hint="eastAsia" w:ascii="宋体" w:hAnsi="宋体" w:cs="宋体"/>
                <w:color w:val="auto"/>
                <w:sz w:val="24"/>
                <w:highlight w:val="none"/>
              </w:rPr>
            </w:pPr>
          </w:p>
        </w:tc>
        <w:tc>
          <w:tcPr>
            <w:tcW w:w="5973" w:type="dxa"/>
            <w:gridSpan w:val="2"/>
            <w:noWrap/>
            <w:vAlign w:val="center"/>
          </w:tcPr>
          <w:p>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质量管理体系与措施</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0"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1391" w:type="dxa"/>
            <w:vMerge w:val="continue"/>
            <w:noWrap/>
            <w:vAlign w:val="center"/>
          </w:tcPr>
          <w:p>
            <w:pPr>
              <w:spacing w:line="400" w:lineRule="exact"/>
              <w:ind w:left="210" w:leftChars="100"/>
              <w:rPr>
                <w:rFonts w:hint="eastAsia" w:ascii="宋体" w:hAnsi="宋体" w:cs="宋体"/>
                <w:color w:val="auto"/>
                <w:sz w:val="24"/>
                <w:highlight w:val="none"/>
              </w:rPr>
            </w:pPr>
          </w:p>
        </w:tc>
        <w:tc>
          <w:tcPr>
            <w:tcW w:w="5973" w:type="dxa"/>
            <w:gridSpan w:val="2"/>
            <w:noWrap/>
            <w:vAlign w:val="center"/>
          </w:tcPr>
          <w:p>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安全管理体系与措施</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5"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1391" w:type="dxa"/>
            <w:vMerge w:val="continue"/>
            <w:noWrap/>
            <w:vAlign w:val="center"/>
          </w:tcPr>
          <w:p>
            <w:pPr>
              <w:spacing w:line="400" w:lineRule="exact"/>
              <w:ind w:left="210" w:leftChars="100"/>
              <w:rPr>
                <w:rFonts w:hint="eastAsia" w:ascii="宋体" w:hAnsi="宋体" w:cs="宋体"/>
                <w:color w:val="auto"/>
                <w:sz w:val="24"/>
                <w:highlight w:val="none"/>
              </w:rPr>
            </w:pPr>
          </w:p>
        </w:tc>
        <w:tc>
          <w:tcPr>
            <w:tcW w:w="5973" w:type="dxa"/>
            <w:gridSpan w:val="2"/>
            <w:noWrap/>
            <w:vAlign w:val="center"/>
          </w:tcPr>
          <w:p>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文明施工、环境保护管理体系及施工现场扬尘治理措施</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0"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1391" w:type="dxa"/>
            <w:vMerge w:val="continue"/>
            <w:noWrap/>
            <w:vAlign w:val="center"/>
          </w:tcPr>
          <w:p>
            <w:pPr>
              <w:spacing w:line="400" w:lineRule="exact"/>
              <w:ind w:left="210" w:leftChars="100"/>
              <w:rPr>
                <w:rFonts w:hint="eastAsia" w:ascii="宋体" w:hAnsi="宋体" w:cs="宋体"/>
                <w:color w:val="auto"/>
                <w:sz w:val="24"/>
                <w:highlight w:val="none"/>
              </w:rPr>
            </w:pPr>
          </w:p>
        </w:tc>
        <w:tc>
          <w:tcPr>
            <w:tcW w:w="5973" w:type="dxa"/>
            <w:gridSpan w:val="2"/>
            <w:noWrap/>
            <w:vAlign w:val="center"/>
          </w:tcPr>
          <w:p>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工程进度计划与措施</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5"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1391" w:type="dxa"/>
            <w:vMerge w:val="continue"/>
            <w:noWrap/>
            <w:vAlign w:val="center"/>
          </w:tcPr>
          <w:p>
            <w:pPr>
              <w:spacing w:line="400" w:lineRule="exact"/>
              <w:ind w:left="210" w:leftChars="100"/>
              <w:rPr>
                <w:rFonts w:hint="eastAsia" w:ascii="宋体" w:hAnsi="宋体" w:cs="宋体"/>
                <w:color w:val="auto"/>
                <w:sz w:val="24"/>
                <w:highlight w:val="none"/>
              </w:rPr>
            </w:pPr>
          </w:p>
        </w:tc>
        <w:tc>
          <w:tcPr>
            <w:tcW w:w="5973" w:type="dxa"/>
            <w:gridSpan w:val="2"/>
            <w:noWrap/>
            <w:vAlign w:val="center"/>
          </w:tcPr>
          <w:p>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拟投入资源配备计划</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9"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1391" w:type="dxa"/>
            <w:vMerge w:val="continue"/>
            <w:noWrap/>
            <w:vAlign w:val="center"/>
          </w:tcPr>
          <w:p>
            <w:pPr>
              <w:spacing w:line="400" w:lineRule="exact"/>
              <w:ind w:left="210" w:leftChars="100"/>
              <w:rPr>
                <w:rFonts w:hint="eastAsia" w:ascii="宋体" w:hAnsi="宋体" w:cs="宋体"/>
                <w:color w:val="auto"/>
                <w:sz w:val="24"/>
                <w:highlight w:val="none"/>
              </w:rPr>
            </w:pPr>
          </w:p>
        </w:tc>
        <w:tc>
          <w:tcPr>
            <w:tcW w:w="5973" w:type="dxa"/>
            <w:gridSpan w:val="2"/>
            <w:noWrap/>
            <w:vAlign w:val="center"/>
          </w:tcPr>
          <w:p>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施工进度表或施工网络图</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66"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1391" w:type="dxa"/>
            <w:vMerge w:val="continue"/>
            <w:noWrap/>
            <w:vAlign w:val="center"/>
          </w:tcPr>
          <w:p>
            <w:pPr>
              <w:spacing w:line="400" w:lineRule="exact"/>
              <w:ind w:left="210" w:leftChars="100"/>
              <w:rPr>
                <w:rFonts w:hint="eastAsia" w:ascii="宋体" w:hAnsi="宋体" w:cs="宋体"/>
                <w:color w:val="auto"/>
                <w:sz w:val="24"/>
                <w:highlight w:val="none"/>
              </w:rPr>
            </w:pPr>
          </w:p>
        </w:tc>
        <w:tc>
          <w:tcPr>
            <w:tcW w:w="5973" w:type="dxa"/>
            <w:gridSpan w:val="2"/>
            <w:noWrap/>
            <w:vAlign w:val="center"/>
          </w:tcPr>
          <w:p>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新工艺、新技术、新设备、新材料的采用程度，其在确保质量、降低成本、缩短工期、减轻劳动强度、提高工效等方面的作用。</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0"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1391" w:type="dxa"/>
            <w:vMerge w:val="continue"/>
            <w:noWrap/>
            <w:vAlign w:val="center"/>
          </w:tcPr>
          <w:p>
            <w:pPr>
              <w:spacing w:line="400" w:lineRule="exact"/>
              <w:ind w:left="210" w:leftChars="100"/>
              <w:rPr>
                <w:rFonts w:hint="eastAsia" w:ascii="宋体" w:hAnsi="宋体" w:cs="宋体"/>
                <w:color w:val="auto"/>
                <w:sz w:val="24"/>
                <w:highlight w:val="none"/>
              </w:rPr>
            </w:pPr>
          </w:p>
        </w:tc>
        <w:tc>
          <w:tcPr>
            <w:tcW w:w="5973" w:type="dxa"/>
            <w:gridSpan w:val="2"/>
            <w:noWrap/>
            <w:vAlign w:val="center"/>
          </w:tcPr>
          <w:p>
            <w:pPr>
              <w:spacing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在节能减排、绿色施工、工艺创新方面，具体措施落实可行。</w:t>
            </w:r>
          </w:p>
        </w:tc>
        <w:tc>
          <w:tcPr>
            <w:tcW w:w="1119" w:type="dxa"/>
            <w:noWrap/>
            <w:vAlign w:val="center"/>
          </w:tcPr>
          <w:p>
            <w:pPr>
              <w:spacing w:line="4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1"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1"/>
                <w:szCs w:val="21"/>
                <w:highlight w:val="none"/>
              </w:rPr>
            </w:pPr>
          </w:p>
        </w:tc>
        <w:tc>
          <w:tcPr>
            <w:tcW w:w="8483" w:type="dxa"/>
            <w:gridSpan w:val="4"/>
            <w:noWrap/>
            <w:vAlign w:val="center"/>
          </w:tcPr>
          <w:p>
            <w:pPr>
              <w:spacing w:line="400" w:lineRule="exact"/>
              <w:rPr>
                <w:rFonts w:hint="eastAsia" w:ascii="宋体" w:hAnsi="宋体" w:cs="宋体"/>
                <w:color w:val="auto"/>
                <w:sz w:val="24"/>
                <w:highlight w:val="none"/>
              </w:rPr>
            </w:pPr>
            <w:r>
              <w:rPr>
                <w:rFonts w:hint="eastAsia" w:ascii="宋体" w:hAnsi="宋体" w:cs="宋体"/>
                <w:color w:val="auto"/>
                <w:sz w:val="21"/>
                <w:szCs w:val="21"/>
                <w:highlight w:val="none"/>
              </w:rPr>
              <w:t>备注：以上项目若有缺项或不能满足施工要求或与该工程要求不相符，该项为0分；得分=所有评委计分后算术平均值。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25" w:hRule="atLeast"/>
          <w:jc w:val="center"/>
        </w:trPr>
        <w:tc>
          <w:tcPr>
            <w:tcW w:w="775" w:type="dxa"/>
            <w:vMerge w:val="restart"/>
            <w:noWrap/>
            <w:vAlign w:val="center"/>
          </w:tcPr>
          <w:p>
            <w:pPr>
              <w:autoSpaceDE w:val="0"/>
              <w:autoSpaceDN w:val="0"/>
              <w:spacing w:line="360" w:lineRule="auto"/>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2.2.3</w:t>
            </w:r>
          </w:p>
        </w:tc>
        <w:tc>
          <w:tcPr>
            <w:tcW w:w="1391" w:type="dxa"/>
            <w:vMerge w:val="restart"/>
            <w:noWrap/>
            <w:vAlign w:val="center"/>
          </w:tcPr>
          <w:p>
            <w:pPr>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综合</w:t>
            </w:r>
            <w:r>
              <w:rPr>
                <w:rFonts w:hint="eastAsia" w:ascii="宋体" w:hAnsi="宋体" w:cs="宋体"/>
                <w:color w:val="auto"/>
                <w:sz w:val="22"/>
                <w:szCs w:val="22"/>
                <w:highlight w:val="none"/>
                <w:lang w:eastAsia="zh-CN"/>
              </w:rPr>
              <w:t>部分</w:t>
            </w:r>
          </w:p>
          <w:p>
            <w:pPr>
              <w:jc w:val="center"/>
              <w:rPr>
                <w:rFonts w:hint="eastAsia" w:ascii="宋体" w:hAnsi="宋体" w:cs="宋体"/>
                <w:color w:val="auto"/>
                <w:sz w:val="24"/>
                <w:highlight w:val="none"/>
              </w:rPr>
            </w:pPr>
            <w:r>
              <w:rPr>
                <w:rFonts w:hint="eastAsia" w:ascii="宋体" w:hAnsi="宋体" w:cs="宋体"/>
                <w:color w:val="auto"/>
                <w:sz w:val="22"/>
                <w:szCs w:val="22"/>
                <w:highlight w:val="none"/>
              </w:rPr>
              <w:t>（1</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分）</w:t>
            </w:r>
          </w:p>
        </w:tc>
        <w:tc>
          <w:tcPr>
            <w:tcW w:w="1700" w:type="dxa"/>
            <w:noWrap/>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企业业绩</w:t>
            </w:r>
          </w:p>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分）</w:t>
            </w:r>
          </w:p>
        </w:tc>
        <w:tc>
          <w:tcPr>
            <w:tcW w:w="5392" w:type="dxa"/>
            <w:gridSpan w:val="2"/>
            <w:noWrap/>
            <w:vAlign w:val="center"/>
          </w:tcPr>
          <w:p>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月1日以来已完类似业绩（以合同签订日期为准）； 每提供一项满足上述条件的项目业绩得2分，最高得</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 xml:space="preserve">分。 提供中标通知书扫描件、合同扫描件，二者缺一不得分。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5"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4"/>
                <w:highlight w:val="none"/>
              </w:rPr>
            </w:pPr>
          </w:p>
        </w:tc>
        <w:tc>
          <w:tcPr>
            <w:tcW w:w="1391" w:type="dxa"/>
            <w:vMerge w:val="continue"/>
            <w:noWrap/>
            <w:vAlign w:val="center"/>
          </w:tcPr>
          <w:p>
            <w:pPr>
              <w:rPr>
                <w:rFonts w:hint="eastAsia" w:ascii="宋体" w:hAnsi="宋体" w:cs="宋体"/>
                <w:color w:val="auto"/>
                <w:sz w:val="24"/>
                <w:highlight w:val="none"/>
              </w:rPr>
            </w:pPr>
          </w:p>
        </w:tc>
        <w:tc>
          <w:tcPr>
            <w:tcW w:w="1700" w:type="dxa"/>
            <w:noWrap/>
            <w:vAlign w:val="center"/>
          </w:tcPr>
          <w:p>
            <w:pPr>
              <w:spacing w:line="400" w:lineRule="exact"/>
              <w:jc w:val="center"/>
              <w:rPr>
                <w:rFonts w:hint="eastAsia" w:ascii="宋体" w:hAnsi="宋体" w:eastAsia="宋体" w:cs="宋体"/>
                <w:color w:val="auto"/>
                <w:sz w:val="21"/>
                <w:szCs w:val="21"/>
                <w:highlight w:val="none"/>
              </w:rPr>
            </w:pPr>
            <w:r>
              <w:rPr>
                <w:rFonts w:ascii="宋体" w:hAnsi="宋体" w:cs="宋体"/>
                <w:color w:val="000000"/>
                <w:sz w:val="20"/>
                <w:szCs w:val="20"/>
              </w:rPr>
              <w:t>项目经理</w:t>
            </w:r>
            <w:r>
              <w:rPr>
                <w:rFonts w:ascii="Times New Roman" w:hAnsi="Times New Roman" w:cs="Times New Roman"/>
                <w:sz w:val="20"/>
                <w:szCs w:val="20"/>
              </w:rPr>
              <w:t xml:space="preserve"> </w:t>
            </w:r>
            <w:r>
              <w:rPr/>
              <w:br w:type="textWrapping" w:clear="all"/>
            </w:r>
            <w:r>
              <w:rPr>
                <w:rFonts w:ascii="宋体" w:hAnsi="宋体" w:cs="宋体"/>
                <w:color w:val="000000"/>
                <w:sz w:val="20"/>
                <w:szCs w:val="20"/>
              </w:rPr>
              <w:t>业</w:t>
            </w:r>
            <w:r>
              <w:rPr>
                <w:rFonts w:ascii="宋体" w:hAnsi="宋体" w:cs="宋体"/>
                <w:color w:val="000000"/>
                <w:spacing w:val="-38"/>
                <w:sz w:val="20"/>
                <w:szCs w:val="20"/>
              </w:rPr>
              <w:t>绩</w:t>
            </w:r>
            <w:r>
              <w:rPr>
                <w:rFonts w:ascii="宋体" w:hAnsi="宋体" w:cs="宋体"/>
                <w:color w:val="000000"/>
                <w:sz w:val="20"/>
                <w:szCs w:val="20"/>
              </w:rPr>
              <w:t>（</w:t>
            </w:r>
            <w:r>
              <w:rPr>
                <w:rFonts w:ascii="宋体" w:hAnsi="宋体" w:cs="宋体"/>
                <w:color w:val="000000"/>
                <w:spacing w:val="51"/>
                <w:sz w:val="20"/>
                <w:szCs w:val="20"/>
              </w:rPr>
              <w:t>3</w:t>
            </w:r>
            <w:r>
              <w:rPr>
                <w:rFonts w:ascii="宋体" w:hAnsi="宋体" w:cs="宋体"/>
                <w:color w:val="000000"/>
                <w:sz w:val="20"/>
                <w:szCs w:val="20"/>
              </w:rPr>
              <w:t>分）</w:t>
            </w:r>
          </w:p>
        </w:tc>
        <w:tc>
          <w:tcPr>
            <w:tcW w:w="5392" w:type="dxa"/>
            <w:gridSpan w:val="2"/>
            <w:noWrap/>
            <w:vAlign w:val="center"/>
          </w:tcPr>
          <w:p>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 xml:space="preserve">月1日以来已完类似项目业绩（以合同签订日期为准）；每提供一项得1.5分，最高得3分。 </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提供中标通知书扫描件、合同扫描件，二者缺一不得分。企业业绩不可重复使用。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14"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4"/>
                <w:highlight w:val="none"/>
              </w:rPr>
            </w:pPr>
          </w:p>
        </w:tc>
        <w:tc>
          <w:tcPr>
            <w:tcW w:w="1391" w:type="dxa"/>
            <w:vMerge w:val="continue"/>
            <w:noWrap/>
            <w:vAlign w:val="center"/>
          </w:tcPr>
          <w:p>
            <w:pPr>
              <w:rPr>
                <w:rFonts w:hint="eastAsia" w:ascii="宋体" w:hAnsi="宋体" w:cs="宋体"/>
                <w:color w:val="auto"/>
                <w:sz w:val="24"/>
                <w:highlight w:val="none"/>
              </w:rPr>
            </w:pPr>
          </w:p>
        </w:tc>
        <w:tc>
          <w:tcPr>
            <w:tcW w:w="1700" w:type="dxa"/>
            <w:noWrap/>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优惠承诺</w:t>
            </w:r>
          </w:p>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392" w:type="dxa"/>
            <w:gridSpan w:val="2"/>
            <w:noWrap/>
            <w:vAlign w:val="center"/>
          </w:tcPr>
          <w:p>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优惠承诺应是书面的符合工程实际情况，确保依法依规，优惠合理，详实可行。</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＜得分≦</w:t>
            </w:r>
            <w:r>
              <w:rPr>
                <w:rFonts w:hint="eastAsia" w:ascii="宋体" w:hAnsi="宋体" w:eastAsia="宋体" w:cs="宋体"/>
                <w:color w:val="auto"/>
                <w:sz w:val="21"/>
                <w:szCs w:val="21"/>
                <w:highlight w:val="none"/>
                <w:lang w:val="en-US" w:eastAsia="zh-CN"/>
              </w:rPr>
              <w:t>2</w:t>
            </w:r>
          </w:p>
          <w:p>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优惠承诺符合工程实际情况，确保依法依规，优惠基本合理，基本详实可行。</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＜得分≦</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p>
          <w:p>
            <w:pPr>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没有得0分。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15" w:hRule="atLeast"/>
          <w:jc w:val="center"/>
        </w:trPr>
        <w:tc>
          <w:tcPr>
            <w:tcW w:w="775" w:type="dxa"/>
            <w:vMerge w:val="continue"/>
            <w:noWrap/>
            <w:vAlign w:val="center"/>
          </w:tcPr>
          <w:p>
            <w:pPr>
              <w:autoSpaceDE w:val="0"/>
              <w:autoSpaceDN w:val="0"/>
              <w:spacing w:line="360" w:lineRule="auto"/>
              <w:jc w:val="center"/>
              <w:rPr>
                <w:rFonts w:hint="eastAsia" w:ascii="宋体" w:hAnsi="宋体" w:cs="宋体"/>
                <w:color w:val="auto"/>
                <w:kern w:val="0"/>
                <w:sz w:val="24"/>
                <w:highlight w:val="none"/>
              </w:rPr>
            </w:pPr>
          </w:p>
        </w:tc>
        <w:tc>
          <w:tcPr>
            <w:tcW w:w="1391" w:type="dxa"/>
            <w:vMerge w:val="continue"/>
            <w:noWrap/>
            <w:vAlign w:val="center"/>
          </w:tcPr>
          <w:p>
            <w:pPr>
              <w:rPr>
                <w:rFonts w:hint="eastAsia" w:ascii="宋体" w:hAnsi="宋体" w:cs="宋体"/>
                <w:color w:val="auto"/>
                <w:sz w:val="24"/>
                <w:highlight w:val="none"/>
              </w:rPr>
            </w:pPr>
          </w:p>
        </w:tc>
        <w:tc>
          <w:tcPr>
            <w:tcW w:w="1700" w:type="dxa"/>
            <w:noWrap/>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履职尽责承诺（0-</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392" w:type="dxa"/>
            <w:gridSpan w:val="2"/>
            <w:noWrap/>
            <w:vAlign w:val="top"/>
          </w:tcPr>
          <w:p>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全面、详实、可行、合法有效的书面保证技术措施落实到位的承诺和落实不到位的处理承诺，其中包括各关键岗位人员（项目经理、技术负责人、质量员、安全员、材料员等相关技术人员）的在岗、更换等履职尽责承诺，提供承包商履约保证。1＜得分≦2。</w:t>
            </w:r>
          </w:p>
          <w:p>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可行、合法有效的书面保证技术措施落实到位的承诺和落实不到位的处理承诺，其中包括各关键岗位人员（项目经理、技术负责人、质量员、安全员、材料员等相关技术人员）的在岗、更换等履职尽责承诺，提供承包商履约保证。0＜得分≦1。</w:t>
            </w:r>
          </w:p>
          <w:p>
            <w:pPr>
              <w:spacing w:line="40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没有得0分。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5" w:hRule="atLeast"/>
          <w:jc w:val="center"/>
        </w:trPr>
        <w:tc>
          <w:tcPr>
            <w:tcW w:w="9258" w:type="dxa"/>
            <w:gridSpan w:val="5"/>
            <w:noWrap/>
            <w:vAlign w:val="center"/>
          </w:tcPr>
          <w:p>
            <w:pPr>
              <w:tabs>
                <w:tab w:val="left" w:pos="0"/>
                <w:tab w:val="left" w:pos="1215"/>
                <w:tab w:val="left" w:pos="1320"/>
              </w:tabs>
              <w:spacing w:line="400" w:lineRule="exact"/>
              <w:jc w:val="left"/>
              <w:rPr>
                <w:rFonts w:hint="eastAsia" w:ascii="宋体" w:hAnsi="宋体" w:cs="宋体"/>
                <w:b/>
                <w:bCs/>
                <w:color w:val="auto"/>
                <w:sz w:val="24"/>
                <w:highlight w:val="none"/>
              </w:rPr>
            </w:pPr>
            <w:r>
              <w:rPr>
                <w:rFonts w:hint="eastAsia" w:ascii="宋体" w:hAnsi="宋体" w:cs="宋体"/>
                <w:b/>
                <w:bCs/>
                <w:color w:val="auto"/>
                <w:sz w:val="24"/>
                <w:highlight w:val="none"/>
              </w:rPr>
              <w:t>注：供应商最</w:t>
            </w:r>
            <w:r>
              <w:rPr>
                <w:rFonts w:hint="eastAsia" w:ascii="宋体" w:hAnsi="宋体" w:cs="宋体"/>
                <w:b/>
                <w:bCs/>
                <w:color w:val="auto"/>
                <w:sz w:val="24"/>
                <w:highlight w:val="none"/>
                <w:lang w:eastAsia="zh-CN"/>
              </w:rPr>
              <w:t>终</w:t>
            </w:r>
            <w:r>
              <w:rPr>
                <w:rFonts w:hint="eastAsia" w:ascii="宋体" w:hAnsi="宋体" w:cs="宋体"/>
                <w:b/>
                <w:bCs/>
                <w:color w:val="auto"/>
                <w:sz w:val="24"/>
                <w:highlight w:val="none"/>
              </w:rPr>
              <w:t>得分=报价部分得分+技术部分得分+综合部分得分。</w:t>
            </w:r>
          </w:p>
        </w:tc>
      </w:tr>
    </w:tbl>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注：1、磋商报价有算术错误的，磋商小组按以下原则对磋商报价进行修正，修正的价格经供应商书面确认后具有约束力。供应商不接受修正价格的，磋商小组应当否决其投标。</w:t>
      </w:r>
    </w:p>
    <w:p>
      <w:pPr>
        <w:spacing w:line="440" w:lineRule="exact"/>
        <w:ind w:firstLine="480" w:firstLineChars="200"/>
        <w:rPr>
          <w:rFonts w:hint="eastAsia" w:ascii="宋体" w:hAnsi="宋体" w:cs="宋体"/>
          <w:color w:val="auto"/>
          <w:sz w:val="24"/>
          <w:highlight w:val="none"/>
        </w:rPr>
      </w:pPr>
      <w:bookmarkStart w:id="52" w:name="_Toc152042383"/>
      <w:r>
        <w:rPr>
          <w:rFonts w:hint="eastAsia" w:ascii="宋体" w:hAnsi="宋体" w:cs="宋体"/>
          <w:color w:val="auto"/>
          <w:sz w:val="24"/>
          <w:highlight w:val="none"/>
        </w:rPr>
        <w:t>（1）</w:t>
      </w:r>
      <w:r>
        <w:rPr>
          <w:rFonts w:hint="eastAsia" w:ascii="宋体" w:hAnsi="宋体" w:cs="宋体"/>
          <w:color w:val="auto"/>
          <w:sz w:val="24"/>
          <w:highlight w:val="none"/>
          <w:lang w:eastAsia="zh-CN"/>
        </w:rPr>
        <w:t>响应性文件</w:t>
      </w:r>
      <w:r>
        <w:rPr>
          <w:rFonts w:hint="eastAsia" w:ascii="宋体" w:hAnsi="宋体" w:cs="宋体"/>
          <w:color w:val="auto"/>
          <w:sz w:val="24"/>
          <w:highlight w:val="none"/>
        </w:rPr>
        <w:t>中的大写金额与小写金额不一致的，以大写金额为准；</w:t>
      </w:r>
      <w:bookmarkEnd w:id="52"/>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（2）总价金额与依据单价计算出的结果不一致的，以单价金额为准修正总价，但单价金额小数点有明显错误的除外。</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2、磋商小组按本章第25. 4款规定的量化因素和分值进行打分，并计算出综合得分。</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3、供应商最终得分=</w:t>
      </w:r>
      <w:r>
        <w:rPr>
          <w:rFonts w:hint="eastAsia" w:ascii="宋体" w:hAnsi="宋体" w:cs="宋体"/>
          <w:b w:val="0"/>
          <w:bCs w:val="0"/>
          <w:color w:val="auto"/>
          <w:sz w:val="24"/>
          <w:highlight w:val="none"/>
        </w:rPr>
        <w:t>报价部分得分</w:t>
      </w:r>
      <w:r>
        <w:rPr>
          <w:rFonts w:hint="eastAsia" w:ascii="宋体" w:hAnsi="宋体" w:cs="宋体"/>
          <w:color w:val="auto"/>
          <w:sz w:val="24"/>
          <w:highlight w:val="none"/>
        </w:rPr>
        <w:t>+技术部分得分+综合部分得分，保留小数点后两位。</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25.5 磋商小组根据综合评分情况，按照评审得分由高到低顺序推荐1-3名成交候选供应商，并编写评</w:t>
      </w:r>
      <w:r>
        <w:rPr>
          <w:rFonts w:hint="eastAsia" w:ascii="宋体" w:hAnsi="宋体" w:cs="宋体"/>
          <w:color w:val="auto"/>
          <w:sz w:val="24"/>
          <w:highlight w:val="none"/>
          <w:lang w:eastAsia="zh-CN"/>
        </w:rPr>
        <w:t>审</w:t>
      </w:r>
      <w:r>
        <w:rPr>
          <w:rFonts w:hint="eastAsia" w:ascii="宋体" w:hAnsi="宋体" w:cs="宋体"/>
          <w:color w:val="auto"/>
          <w:sz w:val="24"/>
          <w:highlight w:val="none"/>
        </w:rPr>
        <w:t>报告。</w:t>
      </w:r>
    </w:p>
    <w:p>
      <w:pPr>
        <w:spacing w:line="44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25.6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评审得分一致时报价低的优先，评审得分且最后报价相同的，按照技术指标优劣顺序推荐。</w:t>
      </w:r>
    </w:p>
    <w:p>
      <w:pPr>
        <w:spacing w:line="44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25.7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25.8 在竞争性磋商期间，供应商不得向竞争性磋商小组成员询问其它供应商竞争性磋商情况，不得进行旨在影响成交结果的活动。</w:t>
      </w:r>
    </w:p>
    <w:p>
      <w:pPr>
        <w:spacing w:line="440" w:lineRule="exact"/>
        <w:ind w:firstLine="480" w:firstLineChars="200"/>
        <w:rPr>
          <w:rFonts w:hint="eastAsia" w:ascii="宋体" w:hAnsi="宋体" w:cs="宋体"/>
          <w:color w:val="auto"/>
          <w:kern w:val="0"/>
          <w:sz w:val="32"/>
          <w:szCs w:val="32"/>
          <w:highlight w:val="none"/>
        </w:rPr>
      </w:pPr>
      <w:r>
        <w:rPr>
          <w:rFonts w:hint="eastAsia" w:ascii="宋体" w:hAnsi="宋体" w:cs="宋体"/>
          <w:color w:val="auto"/>
          <w:sz w:val="24"/>
          <w:highlight w:val="none"/>
        </w:rPr>
        <w:t>25.9在竞争性磋商期间，采购代理机构将有专门人员与供应商进行联络。</w:t>
      </w:r>
    </w:p>
    <w:p>
      <w:pPr>
        <w:adjustRightInd w:val="0"/>
        <w:snapToGrid w:val="0"/>
        <w:spacing w:line="440" w:lineRule="exact"/>
        <w:outlineLvl w:val="2"/>
        <w:rPr>
          <w:rFonts w:hint="eastAsia" w:ascii="宋体" w:hAnsi="宋体" w:eastAsia="宋体" w:cs="宋体"/>
          <w:b/>
          <w:color w:val="auto"/>
          <w:sz w:val="24"/>
          <w:highlight w:val="none"/>
        </w:rPr>
      </w:pPr>
      <w:bookmarkStart w:id="53" w:name="_Toc28966"/>
      <w:r>
        <w:rPr>
          <w:rFonts w:hint="eastAsia" w:ascii="宋体" w:hAnsi="宋体" w:eastAsia="宋体" w:cs="宋体"/>
          <w:b/>
          <w:color w:val="auto"/>
          <w:sz w:val="24"/>
          <w:highlight w:val="none"/>
        </w:rPr>
        <w:t>26.竞争性磋商终止</w:t>
      </w:r>
      <w:bookmarkEnd w:id="53"/>
    </w:p>
    <w:p>
      <w:pPr>
        <w:spacing w:line="440" w:lineRule="exact"/>
        <w:ind w:firstLine="480" w:firstLineChars="200"/>
        <w:rPr>
          <w:rFonts w:ascii="宋体" w:hAnsi="宋体" w:cs="宋体"/>
          <w:b/>
          <w:color w:val="auto"/>
          <w:sz w:val="24"/>
          <w:highlight w:val="none"/>
        </w:rPr>
      </w:pPr>
      <w:r>
        <w:rPr>
          <w:rFonts w:hint="eastAsia" w:ascii="宋体" w:hAnsi="宋体" w:cs="宋体"/>
          <w:bCs/>
          <w:color w:val="auto"/>
          <w:sz w:val="24"/>
          <w:highlight w:val="none"/>
        </w:rPr>
        <w:t>26.1出现下列情形之一时，采购代理机构有权宣布竞争性磋商终止，并将理由通知所有供应商：</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（1）因情况变化，不再符合规定的竞争性磋商采购方式适用情形的；</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（2）出现影响采购公正的违法、违规行为的；</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（3）在采购活动中因重大变故，采购任务取消的。</w:t>
      </w:r>
    </w:p>
    <w:p>
      <w:pPr>
        <w:adjustRightInd w:val="0"/>
        <w:snapToGrid w:val="0"/>
        <w:spacing w:line="440" w:lineRule="exact"/>
        <w:jc w:val="center"/>
        <w:outlineLvl w:val="1"/>
        <w:rPr>
          <w:rFonts w:hint="eastAsia" w:ascii="宋体" w:hAnsi="宋体" w:eastAsia="宋体" w:cs="宋体"/>
          <w:b/>
          <w:color w:val="auto"/>
          <w:sz w:val="24"/>
          <w:highlight w:val="none"/>
        </w:rPr>
      </w:pPr>
      <w:bookmarkStart w:id="54" w:name="_Toc7387"/>
      <w:bookmarkStart w:id="55" w:name="_Toc9722"/>
      <w:r>
        <w:rPr>
          <w:rFonts w:hint="eastAsia" w:ascii="宋体" w:hAnsi="宋体" w:eastAsia="宋体" w:cs="宋体"/>
          <w:b/>
          <w:color w:val="auto"/>
          <w:sz w:val="24"/>
          <w:highlight w:val="none"/>
        </w:rPr>
        <w:t>七、成交通知书</w:t>
      </w:r>
      <w:bookmarkEnd w:id="54"/>
      <w:bookmarkEnd w:id="55"/>
    </w:p>
    <w:p>
      <w:pPr>
        <w:adjustRightInd w:val="0"/>
        <w:snapToGrid w:val="0"/>
        <w:spacing w:line="440" w:lineRule="exact"/>
        <w:ind w:firstLine="480" w:firstLineChars="200"/>
        <w:outlineLvl w:val="2"/>
        <w:rPr>
          <w:rFonts w:hint="eastAsia" w:ascii="宋体" w:hAnsi="宋体" w:eastAsia="宋体" w:cs="宋体"/>
          <w:b w:val="0"/>
          <w:bCs/>
          <w:color w:val="auto"/>
          <w:sz w:val="24"/>
          <w:highlight w:val="none"/>
        </w:rPr>
      </w:pPr>
      <w:bookmarkStart w:id="56" w:name="_Toc9375"/>
      <w:r>
        <w:rPr>
          <w:rFonts w:hint="eastAsia" w:ascii="宋体" w:hAnsi="宋体" w:eastAsia="宋体" w:cs="宋体"/>
          <w:b w:val="0"/>
          <w:bCs/>
          <w:color w:val="auto"/>
          <w:sz w:val="24"/>
          <w:highlight w:val="none"/>
        </w:rPr>
        <w:t>27.成交通知</w:t>
      </w:r>
      <w:bookmarkEnd w:id="56"/>
    </w:p>
    <w:p>
      <w:pPr>
        <w:tabs>
          <w:tab w:val="left" w:pos="1800"/>
        </w:tabs>
        <w:spacing w:line="440" w:lineRule="exact"/>
        <w:ind w:firstLine="480" w:firstLineChars="200"/>
        <w:rPr>
          <w:rFonts w:ascii="宋体" w:hAnsi="宋体" w:cs="宋体"/>
          <w:color w:val="auto"/>
          <w:sz w:val="24"/>
          <w:highlight w:val="none"/>
        </w:rPr>
      </w:pPr>
      <w:r>
        <w:rPr>
          <w:rFonts w:hint="eastAsia" w:ascii="宋体" w:hAnsi="宋体" w:cs="宋体"/>
          <w:color w:val="000000"/>
          <w:sz w:val="24"/>
          <w:highlight w:val="none"/>
        </w:rPr>
        <w:t>27.1确定成交供应商后,采购代理机构将成交结果在《中国招标投标公共服务平台》《河南省政府采购网》《焦作市政府采购网》《焦作市公共资源交易中心网》《沁阳市公共资源交易中心网》上予以公</w:t>
      </w:r>
      <w:r>
        <w:rPr>
          <w:rFonts w:hint="eastAsia" w:ascii="宋体" w:hAnsi="宋体" w:cs="宋体"/>
          <w:color w:val="auto"/>
          <w:sz w:val="24"/>
          <w:highlight w:val="none"/>
        </w:rPr>
        <w:t>告，同时向成交供应商发出成交通知书，成交通知书将作为签订合同的依据。</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27.2 供应商若对成交结果有疑问，有权按照《政府采购供应商投诉处理管理办法》规定的程序进行质疑和投诉，但须对投诉和质疑内容的真实性承担责任。</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27.3成交通知书对采购人和成交供应商具有同等法律效力。成交通知书发出后，采购人改变成交结果，或者成交供应商放弃成交，应当承担相应的法律责任。</w:t>
      </w:r>
    </w:p>
    <w:p>
      <w:pPr>
        <w:adjustRightInd w:val="0"/>
        <w:snapToGrid w:val="0"/>
        <w:spacing w:line="440" w:lineRule="exact"/>
        <w:jc w:val="center"/>
        <w:outlineLvl w:val="1"/>
        <w:rPr>
          <w:rFonts w:hint="eastAsia" w:ascii="宋体" w:hAnsi="宋体" w:eastAsia="宋体" w:cs="宋体"/>
          <w:b/>
          <w:color w:val="auto"/>
          <w:sz w:val="24"/>
          <w:highlight w:val="none"/>
        </w:rPr>
      </w:pPr>
      <w:bookmarkStart w:id="57" w:name="_Toc7407"/>
      <w:bookmarkStart w:id="58" w:name="_Toc25237"/>
      <w:r>
        <w:rPr>
          <w:rFonts w:hint="eastAsia" w:ascii="宋体" w:hAnsi="宋体" w:eastAsia="宋体" w:cs="宋体"/>
          <w:b/>
          <w:color w:val="auto"/>
          <w:sz w:val="24"/>
          <w:highlight w:val="none"/>
        </w:rPr>
        <w:t>八、合同授予</w:t>
      </w:r>
      <w:bookmarkEnd w:id="57"/>
      <w:bookmarkEnd w:id="58"/>
    </w:p>
    <w:p>
      <w:pPr>
        <w:adjustRightInd w:val="0"/>
        <w:snapToGrid w:val="0"/>
        <w:spacing w:line="440" w:lineRule="exact"/>
        <w:ind w:firstLine="480" w:firstLineChars="200"/>
        <w:outlineLvl w:val="2"/>
        <w:rPr>
          <w:rFonts w:hint="eastAsia" w:ascii="宋体" w:hAnsi="宋体" w:eastAsia="宋体" w:cs="宋体"/>
          <w:b w:val="0"/>
          <w:bCs/>
          <w:color w:val="auto"/>
          <w:sz w:val="24"/>
          <w:highlight w:val="none"/>
        </w:rPr>
      </w:pPr>
      <w:bookmarkStart w:id="59" w:name="_Toc1822"/>
      <w:r>
        <w:rPr>
          <w:rFonts w:hint="eastAsia" w:ascii="宋体" w:hAnsi="宋体" w:eastAsia="宋体" w:cs="宋体"/>
          <w:b w:val="0"/>
          <w:bCs/>
          <w:color w:val="auto"/>
          <w:sz w:val="24"/>
          <w:highlight w:val="none"/>
        </w:rPr>
        <w:t>28.签订合同及合同的执行</w:t>
      </w:r>
      <w:bookmarkEnd w:id="59"/>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28.1 在通知书发出之日起</w:t>
      </w:r>
      <w:r>
        <w:rPr>
          <w:rFonts w:hint="eastAsia" w:ascii="宋体" w:hAnsi="宋体" w:cs="宋体"/>
          <w:color w:val="auto"/>
          <w:sz w:val="24"/>
          <w:highlight w:val="none"/>
          <w:lang w:val="en-US" w:eastAsia="zh-CN"/>
        </w:rPr>
        <w:t>30</w:t>
      </w:r>
      <w:r>
        <w:rPr>
          <w:rFonts w:hint="eastAsia" w:ascii="宋体" w:hAnsi="宋体" w:cs="宋体"/>
          <w:color w:val="auto"/>
          <w:sz w:val="24"/>
          <w:highlight w:val="none"/>
        </w:rPr>
        <w:t>工作日内，按照竞争性磋商文件确定的合同文本以及采购标的、采购金额、采购项目内容及要求等事项签订政府采购合同。</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28.2 采购人不得向成交供应商提出超过竞争性磋商文件以外的任何要求作为签订合同的条件，不得与成交供应商订立背离竞争性磋商文件确定的合同文本以及采购标的、采购金额、采购数量、采购项目内容及要求等实质性内容的协议。</w:t>
      </w:r>
    </w:p>
    <w:p>
      <w:pPr>
        <w:spacing w:line="440" w:lineRule="exact"/>
        <w:ind w:firstLine="480" w:firstLineChars="200"/>
        <w:rPr>
          <w:rFonts w:hint="eastAsia" w:ascii="宋体" w:hAnsi="宋体" w:cs="宋体"/>
          <w:b/>
          <w:color w:val="auto"/>
          <w:sz w:val="24"/>
          <w:highlight w:val="none"/>
        </w:rPr>
      </w:pPr>
      <w:r>
        <w:rPr>
          <w:rFonts w:hint="eastAsia" w:ascii="宋体" w:hAnsi="宋体" w:cs="宋体"/>
          <w:color w:val="auto"/>
          <w:sz w:val="24"/>
          <w:highlight w:val="none"/>
        </w:rPr>
        <w:t>28.3 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440" w:lineRule="exact"/>
        <w:ind w:firstLine="482" w:firstLineChars="200"/>
        <w:jc w:val="center"/>
        <w:outlineLvl w:val="1"/>
        <w:rPr>
          <w:rFonts w:ascii="宋体" w:hAnsi="宋体" w:cs="宋体"/>
          <w:b/>
          <w:color w:val="auto"/>
          <w:sz w:val="24"/>
          <w:highlight w:val="none"/>
        </w:rPr>
      </w:pPr>
      <w:bookmarkStart w:id="60" w:name="_Toc18262"/>
      <w:bookmarkStart w:id="61" w:name="_Toc9140"/>
      <w:r>
        <w:rPr>
          <w:rFonts w:hint="eastAsia" w:ascii="宋体" w:hAnsi="宋体" w:cs="宋体"/>
          <w:b/>
          <w:color w:val="auto"/>
          <w:sz w:val="24"/>
          <w:highlight w:val="none"/>
        </w:rPr>
        <w:t>九、质疑处理</w:t>
      </w:r>
      <w:bookmarkEnd w:id="60"/>
      <w:bookmarkEnd w:id="61"/>
    </w:p>
    <w:p>
      <w:pPr>
        <w:adjustRightInd w:val="0"/>
        <w:snapToGrid w:val="0"/>
        <w:spacing w:line="440" w:lineRule="exact"/>
        <w:ind w:firstLine="480" w:firstLineChars="200"/>
        <w:outlineLvl w:val="2"/>
        <w:rPr>
          <w:rFonts w:hint="eastAsia" w:ascii="宋体" w:hAnsi="宋体" w:eastAsia="宋体" w:cs="宋体"/>
          <w:b w:val="0"/>
          <w:bCs/>
          <w:color w:val="auto"/>
          <w:sz w:val="24"/>
          <w:highlight w:val="none"/>
        </w:rPr>
      </w:pPr>
      <w:bookmarkStart w:id="62" w:name="_Toc32529"/>
      <w:r>
        <w:rPr>
          <w:rFonts w:hint="eastAsia" w:ascii="宋体" w:hAnsi="宋体" w:eastAsia="宋体" w:cs="宋体"/>
          <w:b w:val="0"/>
          <w:bCs/>
          <w:color w:val="auto"/>
          <w:sz w:val="24"/>
          <w:highlight w:val="none"/>
        </w:rPr>
        <w:t>29. 质疑与投诉</w:t>
      </w:r>
      <w:bookmarkEnd w:id="62"/>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29.1 质疑供应商认为采购文件、采购过程、成交结果使自己的权益受到损害的，可以在知道或者应知其权益受到损害之日起7个工作日内，以书面形式向采购人提出质疑。质疑供应商应在法定质疑期内一次性提出针对同一采购程序环节的质疑。</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29.2 提出质疑的供应商应当是参与所质疑项目采购活动的供应商。</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29.3 潜在供应商已依法获取其可质疑的采购文件的，可以对该文件提出质疑。对采购文件提出质疑的，应当在获取采购文件或者采购文件公告期限届满之日起7个工作日内提出。</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供应商提出质疑应当提交质疑函和必要的证明材料。质疑函应当包括下列内容：</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（1）供应商的姓名或者名称、地址、邮编、联系人及联系电话；</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（2）质疑项目的名称、编号；</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（3）具体、明确的质疑事项和与质疑事项相关的请求；</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（4）事实依据；</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（5）必要的法律依据；</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（6）提出质疑的日期；</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（7）以上资料一式二份（采购人、采购代理机构各执一份）。</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29.4 供应商不得虚假质疑和恶意质疑，并对质疑内容的真实性承担责任。供应商或者其他利害关系人通过捏造事实、伪造证明材料等方式提出异议或投诉，阻碍</w:t>
      </w:r>
      <w:r>
        <w:rPr>
          <w:rFonts w:hint="eastAsia" w:ascii="宋体" w:hAnsi="宋体" w:cs="宋体"/>
          <w:color w:val="auto"/>
          <w:sz w:val="24"/>
          <w:highlight w:val="none"/>
          <w:lang w:eastAsia="zh-CN"/>
        </w:rPr>
        <w:t>政府采购</w:t>
      </w:r>
      <w:r>
        <w:rPr>
          <w:rFonts w:hint="eastAsia" w:ascii="宋体" w:hAnsi="宋体" w:cs="宋体"/>
          <w:color w:val="auto"/>
          <w:sz w:val="24"/>
          <w:highlight w:val="none"/>
        </w:rPr>
        <w:t>活动正常进行的，属于严重不良行为，采购代理机构将提请政府采购监管部门将其列入不良行为记录名单，依法予以处罚。</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29.5采购人应在收到符合上述条件的书面质疑后7个工作日内审查质疑事项，并作出答复，同时以书面形式（或网上公告方式）通知质疑供应商和其他相关权利人，但答复的内容不涉及商业秘密。</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29.6质疑处理遵循“谁过错谁负担”的原则，有过错的一方承担调查论证费用。</w:t>
      </w:r>
    </w:p>
    <w:p>
      <w:pPr>
        <w:adjustRightInd w:val="0"/>
        <w:snapToGrid w:val="0"/>
        <w:spacing w:line="440" w:lineRule="exact"/>
        <w:ind w:firstLine="480" w:firstLineChars="200"/>
        <w:outlineLvl w:val="3"/>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29.7质疑联系事项： </w:t>
      </w:r>
    </w:p>
    <w:p>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质疑供应商应以书面方式将质疑函分别送至采购人、采购代理机构；</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1、采购人信息</w:t>
      </w:r>
    </w:p>
    <w:p>
      <w:pPr>
        <w:spacing w:line="440" w:lineRule="exact"/>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名称：</w:t>
      </w:r>
      <w:r>
        <w:rPr>
          <w:rFonts w:hint="eastAsia" w:ascii="宋体" w:hAnsi="宋体" w:cs="宋体"/>
          <w:color w:val="auto"/>
          <w:sz w:val="24"/>
          <w:highlight w:val="none"/>
          <w:lang w:eastAsia="zh-CN"/>
        </w:rPr>
        <w:t>沁阳市常平中心幼儿园</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lang w:eastAsia="zh-CN"/>
        </w:rPr>
        <w:t>沁阳市西万镇校尉营村小学东50米</w:t>
      </w:r>
    </w:p>
    <w:p>
      <w:pPr>
        <w:spacing w:line="44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联系人：</w:t>
      </w:r>
      <w:r>
        <w:rPr>
          <w:rFonts w:hint="eastAsia" w:ascii="宋体" w:hAnsi="宋体" w:eastAsia="宋体" w:cs="宋体"/>
          <w:color w:val="auto"/>
          <w:sz w:val="24"/>
          <w:highlight w:val="none"/>
          <w:lang w:val="en-US" w:eastAsia="zh-CN"/>
        </w:rPr>
        <w:t>陈菲菲</w:t>
      </w:r>
    </w:p>
    <w:p>
      <w:pPr>
        <w:spacing w:line="44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电话：</w:t>
      </w:r>
      <w:r>
        <w:rPr>
          <w:rFonts w:hint="eastAsia" w:ascii="宋体" w:hAnsi="宋体" w:eastAsia="宋体" w:cs="宋体"/>
          <w:color w:val="auto"/>
          <w:sz w:val="24"/>
          <w:highlight w:val="none"/>
          <w:lang w:val="en-US" w:eastAsia="zh-CN"/>
        </w:rPr>
        <w:t xml:space="preserve"> 15838995520  </w:t>
      </w:r>
    </w:p>
    <w:p>
      <w:pPr>
        <w:spacing w:line="440" w:lineRule="exact"/>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2、</w:t>
      </w:r>
      <w:r>
        <w:rPr>
          <w:rFonts w:hint="eastAsia" w:ascii="宋体" w:hAnsi="宋体" w:cs="宋体"/>
          <w:color w:val="auto"/>
          <w:sz w:val="24"/>
          <w:highlight w:val="none"/>
          <w:lang w:eastAsia="zh-CN"/>
        </w:rPr>
        <w:t>采购</w:t>
      </w:r>
      <w:r>
        <w:rPr>
          <w:rFonts w:hint="eastAsia" w:ascii="宋体" w:hAnsi="宋体" w:cs="宋体"/>
          <w:color w:val="auto"/>
          <w:sz w:val="24"/>
          <w:highlight w:val="none"/>
        </w:rPr>
        <w:t>代理机构信息</w:t>
      </w:r>
      <w:r>
        <w:rPr>
          <w:rFonts w:hint="eastAsia" w:ascii="宋体" w:hAnsi="宋体" w:cs="宋体"/>
          <w:color w:val="auto"/>
          <w:sz w:val="24"/>
          <w:highlight w:val="none"/>
          <w:lang w:eastAsia="zh-CN"/>
        </w:rPr>
        <w:t>（如有）</w:t>
      </w:r>
    </w:p>
    <w:p>
      <w:pPr>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代理机构：</w:t>
      </w:r>
      <w:r>
        <w:rPr>
          <w:rFonts w:hint="eastAsia" w:ascii="宋体" w:hAnsi="宋体" w:cs="宋体"/>
          <w:color w:val="auto"/>
          <w:sz w:val="24"/>
          <w:highlight w:val="none"/>
          <w:lang w:eastAsia="zh-CN"/>
        </w:rPr>
        <w:t>河南惠德工程咨询有限公司</w:t>
      </w:r>
    </w:p>
    <w:p>
      <w:pPr>
        <w:spacing w:line="44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地址：</w:t>
      </w:r>
      <w:r>
        <w:rPr>
          <w:rFonts w:hint="eastAsia" w:ascii="宋体" w:hAnsi="宋体" w:eastAsia="宋体" w:cs="宋体"/>
          <w:color w:val="auto"/>
          <w:sz w:val="24"/>
          <w:szCs w:val="24"/>
          <w:highlight w:val="none"/>
        </w:rPr>
        <w:t>河南省焦作市山阳区</w:t>
      </w:r>
      <w:r>
        <w:rPr>
          <w:rFonts w:hint="eastAsia" w:ascii="宋体" w:hAnsi="宋体" w:eastAsia="宋体" w:cs="宋体"/>
          <w:color w:val="auto"/>
          <w:sz w:val="24"/>
          <w:szCs w:val="24"/>
          <w:highlight w:val="none"/>
          <w:lang w:eastAsia="zh-CN"/>
        </w:rPr>
        <w:t>太极体育中心连廊</w:t>
      </w:r>
      <w:r>
        <w:rPr>
          <w:rFonts w:hint="eastAsia" w:ascii="宋体" w:hAnsi="宋体" w:eastAsia="宋体" w:cs="宋体"/>
          <w:color w:val="auto"/>
          <w:sz w:val="24"/>
          <w:szCs w:val="24"/>
          <w:highlight w:val="none"/>
          <w:lang w:val="en-US" w:eastAsia="zh-CN"/>
        </w:rPr>
        <w:t>42号</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lang w:eastAsia="zh-CN"/>
        </w:rPr>
        <w:t>史思涵</w:t>
      </w:r>
      <w:r>
        <w:rPr>
          <w:rFonts w:hint="eastAsia" w:ascii="宋体" w:hAnsi="宋体" w:cs="宋体"/>
          <w:color w:val="auto"/>
          <w:sz w:val="24"/>
          <w:highlight w:val="none"/>
        </w:rPr>
        <w:t xml:space="preserve">   </w:t>
      </w:r>
    </w:p>
    <w:p>
      <w:pPr>
        <w:spacing w:line="440" w:lineRule="exact"/>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电话：</w:t>
      </w:r>
      <w:r>
        <w:rPr>
          <w:rFonts w:hint="eastAsia" w:ascii="宋体" w:hAnsi="宋体" w:cs="宋体"/>
          <w:color w:val="auto"/>
          <w:sz w:val="24"/>
          <w:highlight w:val="none"/>
          <w:lang w:val="en-US" w:eastAsia="zh-CN"/>
        </w:rPr>
        <w:t>15517779278</w:t>
      </w:r>
    </w:p>
    <w:p>
      <w:pPr>
        <w:spacing w:line="440" w:lineRule="exact"/>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3、项目联系方式</w:t>
      </w:r>
    </w:p>
    <w:p>
      <w:pPr>
        <w:spacing w:line="44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联系人：</w:t>
      </w:r>
      <w:r>
        <w:rPr>
          <w:rFonts w:hint="eastAsia" w:ascii="宋体" w:hAnsi="宋体" w:eastAsia="宋体" w:cs="宋体"/>
          <w:color w:val="auto"/>
          <w:sz w:val="24"/>
          <w:highlight w:val="none"/>
          <w:lang w:val="en-US" w:eastAsia="zh-CN"/>
        </w:rPr>
        <w:t>陈菲菲</w:t>
      </w:r>
    </w:p>
    <w:p>
      <w:pPr>
        <w:spacing w:line="440" w:lineRule="exact"/>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电话：</w:t>
      </w:r>
      <w:r>
        <w:rPr>
          <w:rFonts w:hint="eastAsia" w:ascii="宋体" w:hAnsi="宋体" w:eastAsia="宋体" w:cs="宋体"/>
          <w:color w:val="auto"/>
          <w:sz w:val="24"/>
          <w:highlight w:val="none"/>
          <w:lang w:val="en-US" w:eastAsia="zh-CN"/>
        </w:rPr>
        <w:t xml:space="preserve">15838995520 </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29.8质疑供应商对采购人的答复不满意以及采购人未在规定的时间内做出答复的，可以在答复期满后15个工作日内向同级财政部门投诉。 </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监督单位：沁阳市政府采购服务中心</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监督电话：0391-5637651   </w:t>
      </w:r>
    </w:p>
    <w:p>
      <w:p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电子邮箱：qycgb@163.com</w:t>
      </w:r>
    </w:p>
    <w:p>
      <w:pPr>
        <w:spacing w:line="440" w:lineRule="exact"/>
        <w:rPr>
          <w:rFonts w:ascii="宋体" w:hAnsi="宋体" w:cs="宋体"/>
          <w:color w:val="auto"/>
          <w:sz w:val="24"/>
          <w:highlight w:val="none"/>
        </w:rPr>
      </w:pPr>
      <w:bookmarkStart w:id="63" w:name="_Toc102045547"/>
      <w:bookmarkStart w:id="64" w:name="_Toc6889"/>
    </w:p>
    <w:p>
      <w:pPr>
        <w:rPr>
          <w:rFonts w:ascii="宋体" w:hAnsi="宋体" w:cs="宋体"/>
          <w:color w:val="auto"/>
          <w:kern w:val="0"/>
          <w:sz w:val="24"/>
          <w:highlight w:val="none"/>
        </w:rPr>
      </w:pPr>
      <w:r>
        <w:rPr>
          <w:rFonts w:hint="eastAsia" w:ascii="宋体" w:hAnsi="宋体" w:cs="宋体"/>
          <w:color w:val="auto"/>
          <w:sz w:val="24"/>
          <w:highlight w:val="none"/>
        </w:rPr>
        <w:br w:type="page"/>
      </w:r>
      <w:r>
        <w:rPr>
          <w:rFonts w:hint="eastAsia" w:ascii="宋体" w:hAnsi="宋体" w:cs="宋体"/>
          <w:color w:val="auto"/>
          <w:kern w:val="0"/>
          <w:sz w:val="24"/>
          <w:highlight w:val="none"/>
        </w:rPr>
        <w:t>附件1：</w:t>
      </w:r>
    </w:p>
    <w:p>
      <w:pPr>
        <w:spacing w:line="380" w:lineRule="exact"/>
        <w:jc w:val="center"/>
        <w:outlineLvl w:val="1"/>
        <w:rPr>
          <w:rFonts w:ascii="宋体" w:hAnsi="宋体" w:cs="宋体"/>
          <w:b/>
          <w:bCs/>
          <w:color w:val="auto"/>
          <w:kern w:val="0"/>
          <w:sz w:val="24"/>
          <w:highlight w:val="none"/>
        </w:rPr>
      </w:pPr>
      <w:r>
        <w:rPr>
          <w:rFonts w:hint="eastAsia" w:ascii="宋体" w:hAnsi="宋体" w:cs="宋体"/>
          <w:b/>
          <w:bCs/>
          <w:color w:val="auto"/>
          <w:kern w:val="0"/>
          <w:sz w:val="24"/>
          <w:highlight w:val="none"/>
        </w:rPr>
        <w:t>质疑函范本</w:t>
      </w:r>
    </w:p>
    <w:p>
      <w:pPr>
        <w:spacing w:line="380" w:lineRule="exact"/>
        <w:outlineLvl w:val="1"/>
        <w:rPr>
          <w:rFonts w:ascii="宋体" w:hAnsi="宋体" w:cs="宋体"/>
          <w:b/>
          <w:bCs/>
          <w:color w:val="auto"/>
          <w:kern w:val="0"/>
          <w:sz w:val="24"/>
          <w:highlight w:val="none"/>
        </w:rPr>
      </w:pPr>
      <w:r>
        <w:rPr>
          <w:rFonts w:hint="eastAsia" w:ascii="宋体" w:hAnsi="宋体" w:cs="宋体"/>
          <w:b/>
          <w:bCs/>
          <w:color w:val="auto"/>
          <w:kern w:val="0"/>
          <w:sz w:val="24"/>
          <w:highlight w:val="none"/>
        </w:rPr>
        <w:t>一、质疑供应商基本信息</w:t>
      </w:r>
    </w:p>
    <w:p>
      <w:pPr>
        <w:spacing w:line="380" w:lineRule="exact"/>
        <w:rPr>
          <w:rFonts w:ascii="宋体" w:hAnsi="宋体" w:cs="宋体"/>
          <w:color w:val="auto"/>
          <w:kern w:val="0"/>
          <w:sz w:val="24"/>
          <w:highlight w:val="none"/>
          <w:u w:val="single"/>
        </w:rPr>
      </w:pPr>
      <w:r>
        <w:rPr>
          <w:rFonts w:hint="eastAsia" w:ascii="宋体" w:hAnsi="宋体" w:cs="宋体"/>
          <w:color w:val="auto"/>
          <w:kern w:val="0"/>
          <w:sz w:val="24"/>
          <w:highlight w:val="none"/>
        </w:rPr>
        <w:t>质疑供应商：</w:t>
      </w:r>
      <w:r>
        <w:rPr>
          <w:rFonts w:hint="eastAsia" w:ascii="宋体" w:hAnsi="宋体" w:cs="宋体"/>
          <w:color w:val="auto"/>
          <w:kern w:val="0"/>
          <w:sz w:val="24"/>
          <w:highlight w:val="none"/>
          <w:u w:val="singl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联系电话：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授权代表：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outlineLvl w:val="1"/>
        <w:rPr>
          <w:rFonts w:ascii="宋体" w:hAnsi="宋体" w:cs="宋体"/>
          <w:b/>
          <w:bCs/>
          <w:color w:val="auto"/>
          <w:kern w:val="0"/>
          <w:sz w:val="24"/>
          <w:highlight w:val="none"/>
        </w:rPr>
      </w:pPr>
      <w:r>
        <w:rPr>
          <w:rFonts w:hint="eastAsia" w:ascii="宋体" w:hAnsi="宋体" w:cs="宋体"/>
          <w:b/>
          <w:bCs/>
          <w:color w:val="auto"/>
          <w:kern w:val="0"/>
          <w:sz w:val="24"/>
          <w:highlight w:val="none"/>
        </w:rPr>
        <w:t>二、质疑项目基本情况</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质疑项目的名称：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rPr>
          <w:rFonts w:ascii="宋体" w:hAnsi="宋体" w:cs="宋体"/>
          <w:color w:val="auto"/>
          <w:kern w:val="0"/>
          <w:sz w:val="24"/>
          <w:highlight w:val="none"/>
          <w:u w:val="single"/>
        </w:rPr>
      </w:pPr>
      <w:r>
        <w:rPr>
          <w:rFonts w:hint="eastAsia" w:ascii="宋体" w:hAnsi="宋体" w:cs="宋体"/>
          <w:color w:val="auto"/>
          <w:kern w:val="0"/>
          <w:sz w:val="24"/>
          <w:highlight w:val="none"/>
        </w:rPr>
        <w:t>质疑项目的编号：</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包号：</w:t>
      </w:r>
      <w:r>
        <w:rPr>
          <w:rFonts w:hint="eastAsia" w:ascii="宋体" w:hAnsi="宋体" w:cs="宋体"/>
          <w:color w:val="auto"/>
          <w:kern w:val="0"/>
          <w:sz w:val="24"/>
          <w:highlight w:val="none"/>
          <w:u w:val="singl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采购人名称：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 xml:space="preserve">磋商文件获取日期: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outlineLvl w:val="1"/>
        <w:rPr>
          <w:rFonts w:ascii="宋体" w:hAnsi="宋体" w:cs="宋体"/>
          <w:b/>
          <w:bCs/>
          <w:color w:val="auto"/>
          <w:kern w:val="0"/>
          <w:sz w:val="24"/>
          <w:highlight w:val="none"/>
        </w:rPr>
      </w:pPr>
      <w:r>
        <w:rPr>
          <w:rFonts w:hint="eastAsia" w:ascii="宋体" w:hAnsi="宋体" w:cs="宋体"/>
          <w:b/>
          <w:bCs/>
          <w:color w:val="auto"/>
          <w:kern w:val="0"/>
          <w:sz w:val="24"/>
          <w:highlight w:val="none"/>
        </w:rPr>
        <w:t>三、质疑事项具体内容</w:t>
      </w:r>
    </w:p>
    <w:p>
      <w:pPr>
        <w:spacing w:line="380" w:lineRule="exact"/>
        <w:rPr>
          <w:rFonts w:ascii="宋体" w:hAnsi="宋体" w:cs="宋体"/>
          <w:color w:val="auto"/>
          <w:kern w:val="0"/>
          <w:sz w:val="24"/>
          <w:highlight w:val="none"/>
          <w:u w:val="single"/>
        </w:rPr>
      </w:pPr>
      <w:r>
        <w:rPr>
          <w:rFonts w:hint="eastAsia" w:ascii="宋体" w:hAnsi="宋体" w:cs="宋体"/>
          <w:color w:val="auto"/>
          <w:kern w:val="0"/>
          <w:sz w:val="24"/>
          <w:highlight w:val="none"/>
        </w:rPr>
        <w:t>质疑事项1:</w:t>
      </w:r>
      <w:r>
        <w:rPr>
          <w:rFonts w:hint="eastAsia" w:ascii="宋体" w:hAnsi="宋体" w:cs="宋体"/>
          <w:color w:val="auto"/>
          <w:kern w:val="0"/>
          <w:sz w:val="24"/>
          <w:highlight w:val="none"/>
          <w:u w:val="single"/>
        </w:rPr>
        <w:t xml:space="preserve">                    </w:t>
      </w:r>
    </w:p>
    <w:p>
      <w:pPr>
        <w:spacing w:line="380" w:lineRule="exact"/>
        <w:rPr>
          <w:rFonts w:ascii="宋体" w:hAnsi="宋体" w:cs="宋体"/>
          <w:color w:val="auto"/>
          <w:kern w:val="0"/>
          <w:sz w:val="24"/>
          <w:highlight w:val="none"/>
          <w:u w:val="single"/>
        </w:rPr>
      </w:pPr>
      <w:r>
        <w:rPr>
          <w:rFonts w:hint="eastAsia" w:ascii="宋体" w:hAnsi="宋体" w:cs="宋体"/>
          <w:color w:val="auto"/>
          <w:kern w:val="0"/>
          <w:sz w:val="24"/>
          <w:highlight w:val="none"/>
        </w:rPr>
        <w:t>事实依据：</w:t>
      </w:r>
      <w:r>
        <w:rPr>
          <w:rFonts w:hint="eastAsia" w:ascii="宋体" w:hAnsi="宋体" w:cs="宋体"/>
          <w:color w:val="auto"/>
          <w:kern w:val="0"/>
          <w:sz w:val="24"/>
          <w:highlight w:val="none"/>
          <w:u w:val="single"/>
        </w:rPr>
        <w:t xml:space="preserve">                     </w:t>
      </w:r>
    </w:p>
    <w:p>
      <w:pPr>
        <w:spacing w:line="380" w:lineRule="exact"/>
        <w:rPr>
          <w:rFonts w:ascii="宋体" w:hAnsi="宋体" w:cs="宋体"/>
          <w:color w:val="auto"/>
          <w:kern w:val="0"/>
          <w:sz w:val="24"/>
          <w:highlight w:val="none"/>
          <w:u w:val="single"/>
        </w:rPr>
      </w:pPr>
      <w:r>
        <w:rPr>
          <w:rFonts w:hint="eastAsia" w:ascii="宋体" w:hAnsi="宋体" w:cs="宋体"/>
          <w:color w:val="auto"/>
          <w:kern w:val="0"/>
          <w:sz w:val="24"/>
          <w:highlight w:val="none"/>
        </w:rPr>
        <w:t>法律依据：</w:t>
      </w:r>
      <w:r>
        <w:rPr>
          <w:rFonts w:hint="eastAsia" w:ascii="宋体" w:hAnsi="宋体" w:cs="宋体"/>
          <w:color w:val="auto"/>
          <w:kern w:val="0"/>
          <w:sz w:val="24"/>
          <w:highlight w:val="none"/>
          <w:u w:val="singl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质疑事项2</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pPr>
        <w:spacing w:line="380" w:lineRule="exact"/>
        <w:outlineLvl w:val="1"/>
        <w:rPr>
          <w:rFonts w:ascii="宋体" w:hAnsi="宋体" w:cs="宋体"/>
          <w:b/>
          <w:bCs/>
          <w:color w:val="auto"/>
          <w:kern w:val="0"/>
          <w:sz w:val="24"/>
          <w:highlight w:val="none"/>
        </w:rPr>
      </w:pPr>
      <w:r>
        <w:rPr>
          <w:rFonts w:hint="eastAsia" w:ascii="宋体" w:hAnsi="宋体" w:cs="宋体"/>
          <w:b/>
          <w:bCs/>
          <w:color w:val="auto"/>
          <w:kern w:val="0"/>
          <w:sz w:val="24"/>
          <w:highlight w:val="none"/>
        </w:rPr>
        <w:t>四、与质疑事项相关的质疑请求</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签字(签章)：</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 xml:space="preserve">公章：                      </w:t>
      </w:r>
    </w:p>
    <w:p>
      <w:pPr>
        <w:spacing w:line="380" w:lineRule="exact"/>
        <w:rPr>
          <w:rFonts w:ascii="宋体" w:hAnsi="宋体" w:cs="宋体"/>
          <w:color w:val="auto"/>
          <w:kern w:val="0"/>
          <w:sz w:val="24"/>
          <w:highlight w:val="none"/>
          <w:u w:val="single"/>
        </w:rPr>
      </w:pPr>
      <w:r>
        <w:rPr>
          <w:rFonts w:hint="eastAsia" w:ascii="宋体" w:hAnsi="宋体" w:cs="宋体"/>
          <w:color w:val="auto"/>
          <w:kern w:val="0"/>
          <w:sz w:val="24"/>
          <w:highlight w:val="none"/>
        </w:rPr>
        <w:t>日期：</w:t>
      </w:r>
      <w:r>
        <w:rPr>
          <w:rFonts w:hint="eastAsia" w:ascii="宋体" w:hAnsi="宋体" w:cs="宋体"/>
          <w:color w:val="auto"/>
          <w:kern w:val="0"/>
          <w:sz w:val="24"/>
          <w:highlight w:val="none"/>
          <w:u w:val="single"/>
        </w:rPr>
        <w:t xml:space="preserve">                      </w:t>
      </w:r>
    </w:p>
    <w:p>
      <w:pPr>
        <w:spacing w:line="380" w:lineRule="exact"/>
        <w:rPr>
          <w:rFonts w:ascii="宋体" w:hAnsi="宋体" w:cs="宋体"/>
          <w:b/>
          <w:bCs/>
          <w:color w:val="auto"/>
          <w:kern w:val="0"/>
          <w:sz w:val="24"/>
          <w:highlight w:val="none"/>
        </w:rPr>
      </w:pPr>
      <w:r>
        <w:rPr>
          <w:rFonts w:hint="eastAsia" w:ascii="宋体" w:hAnsi="宋体" w:cs="宋体"/>
          <w:b/>
          <w:bCs/>
          <w:color w:val="auto"/>
          <w:kern w:val="0"/>
          <w:sz w:val="24"/>
          <w:highlight w:val="none"/>
        </w:rPr>
        <w:t>质疑函制作说明：</w:t>
      </w:r>
    </w:p>
    <w:p>
      <w:pPr>
        <w:spacing w:line="380" w:lineRule="exact"/>
        <w:outlineLvl w:val="2"/>
        <w:rPr>
          <w:rFonts w:ascii="宋体" w:hAnsi="宋体" w:cs="宋体"/>
          <w:color w:val="auto"/>
          <w:kern w:val="0"/>
          <w:sz w:val="24"/>
          <w:highlight w:val="none"/>
        </w:rPr>
      </w:pPr>
      <w:r>
        <w:rPr>
          <w:rFonts w:hint="eastAsia" w:ascii="宋体" w:hAnsi="宋体" w:cs="宋体"/>
          <w:color w:val="auto"/>
          <w:kern w:val="0"/>
          <w:sz w:val="24"/>
          <w:highlight w:val="none"/>
        </w:rPr>
        <w:t>1.供应商提出质疑时，应提交质疑函和必要的证明材料。</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3.质疑供应商若对项目的某一分包进行质疑，质疑函中应列明具体分包号。</w:t>
      </w:r>
    </w:p>
    <w:p>
      <w:pPr>
        <w:spacing w:line="380" w:lineRule="exact"/>
        <w:rPr>
          <w:rFonts w:ascii="宋体" w:hAnsi="宋体" w:cs="宋体"/>
          <w:color w:val="auto"/>
          <w:kern w:val="0"/>
          <w:sz w:val="24"/>
          <w:highlight w:val="none"/>
        </w:rPr>
      </w:pPr>
      <w:r>
        <w:rPr>
          <w:rFonts w:hint="eastAsia" w:ascii="宋体" w:hAnsi="宋体" w:cs="宋体"/>
          <w:color w:val="auto"/>
          <w:kern w:val="0"/>
          <w:sz w:val="24"/>
          <w:highlight w:val="none"/>
        </w:rPr>
        <w:t>4.质疑函的质疑事项应具体、明确，并有必要的事实依据和法律依据。</w:t>
      </w:r>
    </w:p>
    <w:p>
      <w:pPr>
        <w:spacing w:line="380" w:lineRule="exact"/>
        <w:outlineLvl w:val="2"/>
        <w:rPr>
          <w:rFonts w:ascii="宋体" w:hAnsi="宋体" w:cs="宋体"/>
          <w:color w:val="auto"/>
          <w:kern w:val="0"/>
          <w:sz w:val="24"/>
          <w:highlight w:val="none"/>
        </w:rPr>
      </w:pPr>
      <w:r>
        <w:rPr>
          <w:rFonts w:hint="eastAsia" w:ascii="宋体" w:hAnsi="宋体" w:cs="宋体"/>
          <w:color w:val="auto"/>
          <w:kern w:val="0"/>
          <w:sz w:val="24"/>
          <w:highlight w:val="none"/>
        </w:rPr>
        <w:t>5.质疑函的质疑请求应与质疑事项相关。</w:t>
      </w:r>
    </w:p>
    <w:p>
      <w:pPr>
        <w:spacing w:line="38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6.质疑供应商为自然人的，质疑函应由本人签字；质疑供应商为法人或者其他组织的，质疑函应由法定代表人、主要负责人，或者其授权代表签字或者盖章，并加盖公章。</w:t>
      </w:r>
      <w:bookmarkStart w:id="65" w:name="_Toc11283"/>
      <w:bookmarkStart w:id="66" w:name="_Toc13961"/>
    </w:p>
    <w:p>
      <w:pPr>
        <w:spacing w:line="380" w:lineRule="exact"/>
        <w:rPr>
          <w:rFonts w:hint="eastAsia" w:ascii="宋体" w:hAnsi="宋体" w:cs="宋体"/>
          <w:color w:val="auto"/>
          <w:kern w:val="0"/>
          <w:sz w:val="24"/>
          <w:highlight w:val="none"/>
        </w:rPr>
      </w:pPr>
    </w:p>
    <w:p>
      <w:pPr>
        <w:spacing w:line="480" w:lineRule="auto"/>
        <w:jc w:val="center"/>
        <w:outlineLvl w:val="0"/>
        <w:rPr>
          <w:rFonts w:ascii="宋体" w:hAnsi="宋体" w:cs="宋体"/>
          <w:b/>
          <w:color w:val="auto"/>
          <w:sz w:val="36"/>
          <w:szCs w:val="36"/>
          <w:highlight w:val="none"/>
        </w:rPr>
      </w:pPr>
      <w:bookmarkStart w:id="67" w:name="_Toc23608"/>
      <w:bookmarkStart w:id="68" w:name="_Toc6420"/>
      <w:r>
        <w:rPr>
          <w:rFonts w:hint="eastAsia" w:ascii="宋体" w:hAnsi="宋体" w:cs="宋体"/>
          <w:b/>
          <w:color w:val="auto"/>
          <w:sz w:val="36"/>
          <w:szCs w:val="36"/>
          <w:highlight w:val="none"/>
        </w:rPr>
        <w:t>第三章 采购内容</w:t>
      </w:r>
      <w:bookmarkEnd w:id="63"/>
      <w:bookmarkEnd w:id="64"/>
      <w:r>
        <w:rPr>
          <w:rFonts w:hint="eastAsia" w:ascii="宋体" w:hAnsi="宋体" w:cs="宋体"/>
          <w:b/>
          <w:color w:val="auto"/>
          <w:sz w:val="36"/>
          <w:szCs w:val="36"/>
          <w:highlight w:val="none"/>
        </w:rPr>
        <w:t>及技术参数要求</w:t>
      </w:r>
      <w:bookmarkEnd w:id="65"/>
      <w:bookmarkEnd w:id="66"/>
      <w:bookmarkEnd w:id="67"/>
      <w:bookmarkEnd w:id="68"/>
      <w:bookmarkStart w:id="69" w:name="_Toc102045548"/>
      <w:bookmarkStart w:id="70" w:name="_Toc21642"/>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ascii="宋体" w:hAnsi="宋体" w:eastAsia="宋体" w:cs="宋体"/>
          <w:b w:val="0"/>
          <w:bCs w:val="0"/>
          <w:color w:val="auto"/>
          <w:sz w:val="24"/>
          <w:highlight w:val="none"/>
          <w:lang w:val="en-US" w:eastAsia="zh-CN"/>
        </w:rPr>
      </w:pPr>
      <w:bookmarkStart w:id="71" w:name="_Toc18626"/>
      <w:bookmarkStart w:id="72" w:name="_Toc28876"/>
      <w:r>
        <w:rPr>
          <w:rFonts w:hint="eastAsia" w:ascii="宋体" w:hAnsi="宋体" w:cs="宋体"/>
          <w:b/>
          <w:bCs/>
          <w:color w:val="auto"/>
          <w:sz w:val="24"/>
          <w:highlight w:val="none"/>
        </w:rPr>
        <w:t>一、项目概况：</w:t>
      </w:r>
      <w:bookmarkStart w:id="73" w:name="_Toc6846"/>
      <w:bookmarkStart w:id="74" w:name="_Toc4117"/>
      <w:r>
        <w:rPr>
          <w:rFonts w:hint="eastAsia" w:ascii="宋体" w:hAnsi="宋体" w:eastAsia="宋体" w:cs="宋体"/>
          <w:b w:val="0"/>
          <w:bCs w:val="0"/>
          <w:color w:val="auto"/>
          <w:sz w:val="24"/>
          <w:highlight w:val="none"/>
          <w:lang w:val="en-US" w:eastAsia="zh-CN"/>
        </w:rPr>
        <w:t>本工程为沁阳市常平中心幼儿园校尉营分园配套工程项目，建筑面积</w:t>
      </w:r>
      <w:r>
        <w:rPr>
          <w:rFonts w:hint="eastAsia" w:ascii="宋体" w:hAnsi="宋体" w:cs="宋体"/>
          <w:b w:val="0"/>
          <w:bCs w:val="0"/>
          <w:color w:val="auto"/>
          <w:sz w:val="24"/>
          <w:highlight w:val="none"/>
          <w:lang w:val="en-US" w:eastAsia="zh-CN"/>
        </w:rPr>
        <w:t>约</w:t>
      </w:r>
      <w:r>
        <w:rPr>
          <w:rFonts w:hint="eastAsia" w:ascii="宋体" w:hAnsi="宋体" w:eastAsia="宋体" w:cs="宋体"/>
          <w:b w:val="0"/>
          <w:bCs w:val="0"/>
          <w:color w:val="auto"/>
          <w:sz w:val="24"/>
          <w:highlight w:val="none"/>
          <w:lang w:val="en-US" w:eastAsia="zh-CN"/>
        </w:rPr>
        <w:t>1359平方米，主要内容包括：户外场地、消防水池等。(详见工程量清单）</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color w:val="auto"/>
          <w:highlight w:val="none"/>
        </w:rPr>
      </w:pPr>
      <w:r>
        <w:rPr>
          <w:rFonts w:hint="eastAsia" w:ascii="宋体" w:hAnsi="宋体" w:eastAsia="宋体" w:cs="宋体"/>
          <w:b/>
          <w:bCs/>
          <w:color w:val="auto"/>
          <w:sz w:val="24"/>
          <w:highlight w:val="none"/>
        </w:rPr>
        <w:t>二、</w:t>
      </w:r>
      <w:bookmarkEnd w:id="73"/>
      <w:r>
        <w:rPr>
          <w:rFonts w:hint="eastAsia" w:ascii="宋体" w:hAnsi="宋体" w:eastAsia="宋体" w:cs="宋体"/>
          <w:b/>
          <w:bCs/>
          <w:color w:val="auto"/>
          <w:sz w:val="24"/>
          <w:highlight w:val="none"/>
        </w:rPr>
        <w:t>工程量清单：</w:t>
      </w:r>
      <w:bookmarkStart w:id="75" w:name="_Toc17098"/>
      <w:r>
        <w:rPr>
          <w:rFonts w:hint="eastAsia"/>
          <w:color w:val="auto"/>
          <w:sz w:val="24"/>
          <w:szCs w:val="24"/>
          <w:highlight w:val="none"/>
        </w:rPr>
        <w:t>具体工程量清单另附。</w:t>
      </w:r>
      <w:bookmarkEnd w:id="74"/>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4"/>
          <w:highlight w:val="none"/>
        </w:rPr>
      </w:pPr>
      <w:bookmarkStart w:id="76" w:name="_Toc28322"/>
      <w:r>
        <w:rPr>
          <w:rFonts w:hint="eastAsia" w:ascii="宋体" w:hAnsi="宋体" w:eastAsia="宋体" w:cs="宋体"/>
          <w:b/>
          <w:bCs/>
          <w:color w:val="auto"/>
          <w:sz w:val="24"/>
          <w:highlight w:val="none"/>
        </w:rPr>
        <w:t>三、报价要求</w:t>
      </w:r>
      <w:bookmarkEnd w:id="75"/>
      <w:bookmarkEnd w:id="76"/>
      <w:r>
        <w:rPr>
          <w:rFonts w:hint="eastAsia" w:ascii="宋体" w:hAnsi="宋体" w:eastAsia="宋体" w:cs="宋体"/>
          <w:b/>
          <w:bCs/>
          <w:color w:val="auto"/>
          <w:sz w:val="24"/>
          <w:highlight w:val="none"/>
        </w:rPr>
        <w:t>：</w:t>
      </w:r>
      <w:r>
        <w:rPr>
          <w:rFonts w:hint="eastAsia" w:ascii="宋体" w:hAnsi="宋体" w:eastAsia="宋体" w:cs="宋体"/>
          <w:b w:val="0"/>
          <w:bCs w:val="0"/>
          <w:color w:val="auto"/>
          <w:sz w:val="24"/>
          <w:highlight w:val="none"/>
        </w:rPr>
        <w:t>所有磋商报价均以人民币元为计算单位。供应商的报价应包含完成本次采购所需的人工、材料、机械、措施、规费、管理、保险、服务、利润、税金及其他等全部费用总和；成交供应商在成交后不得以任何理由增加任何费用，改变采购需求或合同重要内容除外。</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color w:val="auto"/>
          <w:sz w:val="24"/>
          <w:highlight w:val="none"/>
        </w:rPr>
      </w:pPr>
      <w:r>
        <w:rPr>
          <w:rFonts w:hint="eastAsia" w:ascii="宋体" w:hAnsi="宋体" w:eastAsia="宋体" w:cs="宋体"/>
          <w:b/>
          <w:bCs/>
          <w:color w:val="auto"/>
          <w:sz w:val="24"/>
          <w:highlight w:val="none"/>
        </w:rPr>
        <w:t>四、工期：</w:t>
      </w:r>
      <w:r>
        <w:rPr>
          <w:rFonts w:hint="eastAsia" w:ascii="宋体" w:hAnsi="宋体" w:eastAsia="宋体" w:cs="宋体"/>
          <w:b w:val="0"/>
          <w:bCs w:val="0"/>
          <w:color w:val="auto"/>
          <w:sz w:val="24"/>
          <w:highlight w:val="none"/>
          <w:lang w:eastAsia="zh-CN"/>
        </w:rPr>
        <w:t>自合同签订之日起</w:t>
      </w:r>
      <w:r>
        <w:rPr>
          <w:rFonts w:hint="eastAsia" w:ascii="宋体" w:hAnsi="宋体" w:cs="宋体"/>
          <w:b w:val="0"/>
          <w:bCs w:val="0"/>
          <w:color w:val="auto"/>
          <w:sz w:val="24"/>
          <w:highlight w:val="none"/>
          <w:lang w:val="en-US" w:eastAsia="zh-CN"/>
        </w:rPr>
        <w:t>90</w:t>
      </w:r>
      <w:r>
        <w:rPr>
          <w:rFonts w:hint="eastAsia" w:ascii="宋体" w:hAnsi="宋体" w:eastAsia="宋体" w:cs="宋体"/>
          <w:b w:val="0"/>
          <w:bCs w:val="0"/>
          <w:color w:val="auto"/>
          <w:sz w:val="24"/>
          <w:highlight w:val="none"/>
          <w:lang w:val="en-US" w:eastAsia="zh-CN"/>
        </w:rPr>
        <w:t>日历天</w:t>
      </w:r>
      <w:r>
        <w:rPr>
          <w:rFonts w:hint="eastAsia" w:ascii="宋体" w:hAnsi="宋体" w:eastAsia="宋体" w:cs="宋体"/>
          <w:b w:val="0"/>
          <w:bCs w:val="0"/>
          <w:color w:val="auto"/>
          <w:sz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五、质量</w:t>
      </w:r>
      <w:r>
        <w:rPr>
          <w:rFonts w:hint="eastAsia" w:ascii="宋体" w:hAnsi="宋体" w:eastAsia="宋体" w:cs="宋体"/>
          <w:b/>
          <w:bCs/>
          <w:color w:val="auto"/>
          <w:sz w:val="24"/>
          <w:highlight w:val="none"/>
          <w:lang w:eastAsia="zh-CN"/>
        </w:rPr>
        <w:t>要求</w:t>
      </w:r>
      <w:r>
        <w:rPr>
          <w:rFonts w:hint="eastAsia" w:ascii="宋体" w:hAnsi="宋体" w:eastAsia="宋体" w:cs="宋体"/>
          <w:b/>
          <w:bCs/>
          <w:color w:val="auto"/>
          <w:sz w:val="24"/>
          <w:highlight w:val="none"/>
        </w:rPr>
        <w:t>：</w:t>
      </w:r>
      <w:bookmarkStart w:id="77" w:name="_Toc10110"/>
      <w:bookmarkStart w:id="78" w:name="_Toc13410"/>
      <w:r>
        <w:rPr>
          <w:rFonts w:hint="eastAsia" w:ascii="宋体" w:hAnsi="宋体" w:cs="宋体"/>
          <w:color w:val="auto"/>
          <w:sz w:val="24"/>
          <w:highlight w:val="none"/>
        </w:rPr>
        <w:t>合格</w:t>
      </w:r>
      <w:r>
        <w:rPr>
          <w:rFonts w:hint="eastAsia" w:ascii="宋体" w:hAnsi="宋体" w:eastAsia="宋体" w:cs="宋体"/>
          <w:b/>
          <w:bCs/>
          <w:color w:val="auto"/>
          <w:sz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六、付款方式</w:t>
      </w:r>
      <w:bookmarkEnd w:id="77"/>
      <w:bookmarkEnd w:id="78"/>
      <w:r>
        <w:rPr>
          <w:rFonts w:hint="eastAsia" w:ascii="宋体" w:hAnsi="宋体" w:eastAsia="宋体" w:cs="宋体"/>
          <w:b/>
          <w:bCs/>
          <w:color w:val="auto"/>
          <w:sz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auto"/>
          <w:sz w:val="24"/>
          <w:highlight w:val="none"/>
        </w:rPr>
      </w:pPr>
      <w:bookmarkStart w:id="79" w:name="_Toc27071"/>
      <w:r>
        <w:rPr>
          <w:rFonts w:hint="eastAsia" w:ascii="宋体" w:hAnsi="宋体" w:eastAsia="宋体" w:cs="宋体"/>
          <w:b w:val="0"/>
          <w:bCs w:val="0"/>
          <w:color w:val="auto"/>
          <w:sz w:val="24"/>
          <w:highlight w:val="none"/>
        </w:rPr>
        <w:t xml:space="preserve">工程按照进度支付，支付比例按照各阶段实际完成工程价款的80%支付，工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 xml:space="preserve">程竣工验收经审计部门审计后，支付至审计金额的97%，剩余3%为质保金，质保期一年，到期后经施工方申请，经验收合格后一次性支付。质保金由成交供应商以支票、汇票、本票、保险、保函等非现金形式替代预留保证金的，发包人不得同时预留工程质量保证金。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auto"/>
          <w:sz w:val="24"/>
          <w:highlight w:val="none"/>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auto"/>
          <w:sz w:val="24"/>
          <w:highlight w:val="none"/>
        </w:rPr>
      </w:pPr>
    </w:p>
    <w:p>
      <w:pPr>
        <w:pStyle w:val="3"/>
        <w:rPr>
          <w:rFonts w:hint="eastAsia"/>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auto"/>
          <w:sz w:val="24"/>
          <w:highlight w:val="none"/>
          <w:lang w:val="en-US"/>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auto"/>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auto"/>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auto"/>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auto"/>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b w:val="0"/>
          <w:bCs w:val="0"/>
          <w:color w:val="auto"/>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0"/>
        <w:rPr>
          <w:rFonts w:ascii="宋体" w:hAnsi="宋体" w:cs="宋体"/>
          <w:b/>
          <w:bCs/>
          <w:color w:val="auto"/>
          <w:sz w:val="36"/>
          <w:szCs w:val="36"/>
          <w:highlight w:val="none"/>
        </w:rPr>
      </w:pPr>
      <w:r>
        <w:rPr>
          <w:rFonts w:hint="eastAsia" w:ascii="宋体" w:hAnsi="宋体" w:eastAsia="宋体" w:cs="宋体"/>
          <w:b w:val="0"/>
          <w:bCs w:val="0"/>
          <w:color w:val="auto"/>
          <w:sz w:val="24"/>
          <w:highlight w:val="none"/>
        </w:rPr>
        <w:br w:type="page"/>
      </w:r>
      <w:bookmarkStart w:id="80" w:name="_Toc28032"/>
      <w:r>
        <w:rPr>
          <w:rStyle w:val="43"/>
          <w:rFonts w:hint="eastAsia"/>
          <w:color w:val="auto"/>
          <w:sz w:val="40"/>
          <w:szCs w:val="40"/>
          <w:highlight w:val="none"/>
        </w:rPr>
        <w:t>第四章  响应性文件内容及格式</w:t>
      </w:r>
      <w:bookmarkEnd w:id="69"/>
      <w:bookmarkEnd w:id="70"/>
      <w:bookmarkEnd w:id="71"/>
      <w:bookmarkEnd w:id="72"/>
      <w:bookmarkEnd w:id="79"/>
      <w:bookmarkEnd w:id="80"/>
    </w:p>
    <w:p>
      <w:pPr>
        <w:snapToGrid w:val="0"/>
        <w:spacing w:line="460" w:lineRule="exact"/>
        <w:ind w:firstLine="480" w:firstLineChars="200"/>
        <w:rPr>
          <w:rFonts w:ascii="宋体" w:hAnsi="宋体" w:cs="宋体"/>
          <w:color w:val="auto"/>
          <w:sz w:val="24"/>
          <w:highlight w:val="none"/>
        </w:rPr>
      </w:pPr>
    </w:p>
    <w:p>
      <w:pPr>
        <w:snapToGrid w:val="0"/>
        <w:spacing w:line="46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注：请供应商依照以下文件的要求格式、内容，顺序制作响应性文件，并编制目录及页码。</w:t>
      </w:r>
    </w:p>
    <w:p>
      <w:pPr>
        <w:spacing w:line="360" w:lineRule="auto"/>
        <w:jc w:val="center"/>
        <w:rPr>
          <w:rFonts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hint="eastAsia" w:ascii="宋体" w:hAnsi="宋体" w:cs="宋体"/>
          <w:color w:val="auto"/>
          <w:sz w:val="24"/>
          <w:highlight w:val="none"/>
        </w:rPr>
      </w:pPr>
    </w:p>
    <w:p>
      <w:pPr>
        <w:spacing w:line="360" w:lineRule="auto"/>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封  面</w:t>
      </w:r>
    </w:p>
    <w:p>
      <w:pPr>
        <w:spacing w:line="360" w:lineRule="auto"/>
        <w:jc w:val="center"/>
        <w:rPr>
          <w:rFonts w:ascii="宋体" w:hAnsi="宋体" w:cs="宋体"/>
          <w:color w:val="auto"/>
          <w:sz w:val="24"/>
          <w:highlight w:val="none"/>
        </w:rPr>
      </w:pPr>
    </w:p>
    <w:p>
      <w:pPr>
        <w:spacing w:line="360" w:lineRule="auto"/>
        <w:ind w:firstLine="1920" w:firstLineChars="800"/>
        <w:jc w:val="left"/>
        <w:rPr>
          <w:rFonts w:ascii="宋体" w:hAnsi="宋体" w:cs="宋体"/>
          <w:color w:val="auto"/>
          <w:sz w:val="24"/>
          <w:highlight w:val="none"/>
          <w:u w:val="single"/>
        </w:rPr>
      </w:pPr>
    </w:p>
    <w:p>
      <w:pPr>
        <w:spacing w:line="360" w:lineRule="auto"/>
        <w:ind w:firstLine="1920" w:firstLineChars="800"/>
        <w:jc w:val="left"/>
        <w:rPr>
          <w:rFonts w:ascii="宋体" w:hAnsi="宋体" w:cs="宋体"/>
          <w:color w:val="auto"/>
          <w:sz w:val="24"/>
          <w:highlight w:val="none"/>
          <w:u w:val="single"/>
        </w:rPr>
      </w:pPr>
      <w:r>
        <w:rPr>
          <w:rFonts w:hint="eastAsia" w:ascii="宋体" w:hAnsi="宋体" w:cs="宋体"/>
          <w:color w:val="auto"/>
          <w:sz w:val="24"/>
          <w:highlight w:val="none"/>
          <w:u w:val="single"/>
        </w:rPr>
        <w:t xml:space="preserve">                   （项目名称）                </w:t>
      </w:r>
    </w:p>
    <w:p>
      <w:pPr>
        <w:spacing w:line="360" w:lineRule="auto"/>
        <w:ind w:firstLine="120" w:firstLineChars="50"/>
        <w:rPr>
          <w:rFonts w:ascii="宋体" w:hAnsi="宋体" w:cs="宋体"/>
          <w:color w:val="auto"/>
          <w:sz w:val="24"/>
          <w:highlight w:val="none"/>
        </w:rPr>
      </w:pPr>
      <w:r>
        <w:rPr>
          <w:rFonts w:hint="eastAsia" w:ascii="宋体" w:hAnsi="宋体" w:cs="宋体"/>
          <w:color w:val="auto"/>
          <w:sz w:val="24"/>
          <w:highlight w:val="none"/>
        </w:rPr>
        <w:t xml:space="preserve">                 </w:t>
      </w:r>
    </w:p>
    <w:p>
      <w:pPr>
        <w:spacing w:line="360" w:lineRule="auto"/>
        <w:jc w:val="center"/>
        <w:rPr>
          <w:rFonts w:ascii="宋体" w:hAnsi="宋体" w:cs="宋体"/>
          <w:color w:val="auto"/>
          <w:sz w:val="24"/>
          <w:highlight w:val="none"/>
        </w:rPr>
      </w:pPr>
    </w:p>
    <w:p>
      <w:pPr>
        <w:spacing w:line="360" w:lineRule="auto"/>
        <w:jc w:val="center"/>
        <w:outlineLvl w:val="1"/>
        <w:rPr>
          <w:rFonts w:ascii="宋体" w:hAnsi="宋体" w:cs="宋体"/>
          <w:b/>
          <w:color w:val="auto"/>
          <w:sz w:val="52"/>
          <w:szCs w:val="52"/>
          <w:highlight w:val="none"/>
        </w:rPr>
      </w:pPr>
      <w:r>
        <w:rPr>
          <w:rFonts w:hint="eastAsia" w:ascii="宋体" w:hAnsi="宋体" w:cs="宋体"/>
          <w:b/>
          <w:color w:val="auto"/>
          <w:sz w:val="52"/>
          <w:szCs w:val="52"/>
          <w:highlight w:val="none"/>
        </w:rPr>
        <w:t>响 应 性 文 件</w:t>
      </w:r>
    </w:p>
    <w:p>
      <w:pPr>
        <w:spacing w:line="360" w:lineRule="auto"/>
        <w:jc w:val="center"/>
        <w:rPr>
          <w:rFonts w:hint="eastAsia" w:ascii="宋体" w:hAnsi="宋体" w:cs="宋体"/>
          <w:color w:val="auto"/>
          <w:sz w:val="24"/>
          <w:highlight w:val="none"/>
          <w:lang w:val="en-US" w:eastAsia="zh-CN"/>
        </w:rPr>
      </w:pPr>
      <w:r>
        <w:rPr>
          <w:rFonts w:hint="eastAsia" w:ascii="宋体" w:hAnsi="宋体" w:cs="宋体"/>
          <w:color w:val="auto"/>
          <w:sz w:val="24"/>
          <w:highlight w:val="none"/>
        </w:rPr>
        <w:t>采购编号</w:t>
      </w:r>
      <w:r>
        <w:rPr>
          <w:rFonts w:hint="eastAsia" w:ascii="宋体" w:hAnsi="宋体" w:cs="宋体"/>
          <w:color w:val="auto"/>
          <w:sz w:val="24"/>
          <w:highlight w:val="none"/>
          <w:lang w:val="en-US" w:eastAsia="zh-CN"/>
        </w:rPr>
        <w:t>:</w:t>
      </w:r>
    </w:p>
    <w:p>
      <w:pPr>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项目编号：</w:t>
      </w:r>
    </w:p>
    <w:p>
      <w:pPr>
        <w:spacing w:line="360" w:lineRule="auto"/>
        <w:ind w:firstLine="120" w:firstLineChars="50"/>
        <w:rPr>
          <w:rFonts w:ascii="宋体" w:hAnsi="宋体" w:cs="宋体"/>
          <w:color w:val="auto"/>
          <w:sz w:val="24"/>
          <w:highlight w:val="none"/>
        </w:rPr>
      </w:pPr>
    </w:p>
    <w:p>
      <w:pPr>
        <w:spacing w:line="360" w:lineRule="auto"/>
        <w:rPr>
          <w:rFonts w:ascii="宋体" w:hAnsi="宋体" w:cs="宋体"/>
          <w:color w:val="auto"/>
          <w:sz w:val="24"/>
          <w:highlight w:val="none"/>
        </w:rPr>
      </w:pPr>
    </w:p>
    <w:p>
      <w:pPr>
        <w:spacing w:line="360" w:lineRule="auto"/>
        <w:ind w:firstLine="120" w:firstLineChars="50"/>
        <w:rPr>
          <w:rFonts w:ascii="宋体" w:hAnsi="宋体" w:cs="宋体"/>
          <w:color w:val="auto"/>
          <w:sz w:val="24"/>
          <w:highlight w:val="none"/>
        </w:rPr>
      </w:pPr>
    </w:p>
    <w:p>
      <w:pPr>
        <w:pStyle w:val="24"/>
        <w:ind w:firstLine="0" w:firstLineChars="0"/>
        <w:rPr>
          <w:rFonts w:ascii="宋体" w:hAnsi="宋体" w:cs="宋体"/>
          <w:color w:val="auto"/>
          <w:sz w:val="24"/>
          <w:highlight w:val="none"/>
        </w:rPr>
      </w:pPr>
    </w:p>
    <w:p>
      <w:pPr>
        <w:rPr>
          <w:rFonts w:ascii="宋体" w:hAnsi="宋体"/>
          <w:color w:val="auto"/>
          <w:sz w:val="24"/>
          <w:highlight w:val="none"/>
        </w:rPr>
      </w:pPr>
    </w:p>
    <w:p>
      <w:pPr>
        <w:spacing w:line="360" w:lineRule="auto"/>
        <w:ind w:firstLine="2640" w:firstLineChars="1100"/>
        <w:rPr>
          <w:rFonts w:ascii="宋体" w:hAnsi="宋体" w:cs="宋体"/>
          <w:color w:val="auto"/>
          <w:sz w:val="24"/>
          <w:highlight w:val="none"/>
        </w:rPr>
      </w:pPr>
    </w:p>
    <w:p>
      <w:pPr>
        <w:spacing w:line="360" w:lineRule="auto"/>
        <w:ind w:firstLine="1920" w:firstLineChars="800"/>
        <w:rPr>
          <w:rFonts w:ascii="宋体" w:hAnsi="宋体" w:cs="宋体"/>
          <w:color w:val="auto"/>
          <w:sz w:val="24"/>
          <w:highlight w:val="none"/>
        </w:rPr>
      </w:pPr>
      <w:r>
        <w:rPr>
          <w:rFonts w:hint="eastAsia" w:ascii="宋体" w:hAnsi="宋体" w:cs="宋体"/>
          <w:color w:val="auto"/>
          <w:sz w:val="24"/>
          <w:highlight w:val="none"/>
        </w:rPr>
        <w:t>供  应  商：</w:t>
      </w:r>
      <w:r>
        <w:rPr>
          <w:rFonts w:hint="eastAsia" w:ascii="宋体" w:hAnsi="宋体" w:cs="宋体"/>
          <w:color w:val="auto"/>
          <w:sz w:val="24"/>
          <w:highlight w:val="none"/>
          <w:u w:val="single"/>
        </w:rPr>
        <w:t xml:space="preserve">  （全称）  </w:t>
      </w:r>
      <w:r>
        <w:rPr>
          <w:rFonts w:hint="eastAsia" w:ascii="宋体" w:hAnsi="宋体" w:cs="宋体"/>
          <w:color w:val="auto"/>
          <w:sz w:val="24"/>
          <w:highlight w:val="none"/>
        </w:rPr>
        <w:t>（电子签章）</w:t>
      </w:r>
    </w:p>
    <w:p>
      <w:pPr>
        <w:spacing w:line="360" w:lineRule="auto"/>
        <w:ind w:firstLine="1920" w:firstLineChars="800"/>
        <w:rPr>
          <w:rFonts w:ascii="宋体" w:hAnsi="宋体" w:cs="宋体"/>
          <w:color w:val="auto"/>
          <w:sz w:val="24"/>
          <w:highlight w:val="none"/>
        </w:rPr>
      </w:pPr>
      <w:r>
        <w:rPr>
          <w:rFonts w:hint="eastAsia" w:ascii="宋体" w:hAnsi="宋体" w:cs="宋体"/>
          <w:color w:val="auto"/>
          <w:sz w:val="24"/>
          <w:highlight w:val="none"/>
        </w:rPr>
        <w:t>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（电子签章）</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      址：</w:t>
      </w:r>
      <w:r>
        <w:rPr>
          <w:rFonts w:hint="eastAsia" w:ascii="宋体" w:hAnsi="宋体" w:cs="宋体"/>
          <w:color w:val="auto"/>
          <w:sz w:val="24"/>
          <w:highlight w:val="none"/>
          <w:u w:val="single"/>
        </w:rPr>
        <w:t xml:space="preserve">                 </w:t>
      </w:r>
    </w:p>
    <w:p>
      <w:pPr>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adjustRightInd w:val="0"/>
        <w:spacing w:line="440" w:lineRule="exact"/>
        <w:ind w:firstLine="480" w:firstLineChars="200"/>
        <w:jc w:val="left"/>
        <w:rPr>
          <w:rFonts w:ascii="宋体" w:hAnsi="宋体" w:cs="宋体"/>
          <w:color w:val="auto"/>
          <w:sz w:val="24"/>
          <w:highlight w:val="none"/>
        </w:rPr>
      </w:pPr>
    </w:p>
    <w:p>
      <w:pPr>
        <w:rPr>
          <w:rFonts w:ascii="宋体" w:hAnsi="宋体" w:cs="宋体"/>
          <w:b/>
          <w:bCs/>
          <w:color w:val="auto"/>
          <w:sz w:val="24"/>
          <w:highlight w:val="none"/>
        </w:rPr>
      </w:pPr>
    </w:p>
    <w:p>
      <w:pPr>
        <w:pStyle w:val="10"/>
        <w:ind w:firstLine="463"/>
        <w:rPr>
          <w:rFonts w:ascii="宋体" w:hAnsi="宋体" w:cs="宋体"/>
          <w:b/>
          <w:bCs/>
          <w:color w:val="auto"/>
          <w:sz w:val="24"/>
          <w:highlight w:val="none"/>
        </w:rPr>
      </w:pPr>
    </w:p>
    <w:p>
      <w:pPr>
        <w:pStyle w:val="11"/>
        <w:rPr>
          <w:rFonts w:ascii="宋体" w:hAnsi="宋体" w:cs="宋体"/>
          <w:b/>
          <w:bCs/>
          <w:color w:val="auto"/>
          <w:sz w:val="24"/>
          <w:highlight w:val="none"/>
        </w:rPr>
      </w:pPr>
    </w:p>
    <w:p>
      <w:pPr>
        <w:pStyle w:val="11"/>
        <w:rPr>
          <w:rFonts w:ascii="宋体" w:hAnsi="宋体" w:cs="宋体"/>
          <w:b/>
          <w:bCs/>
          <w:color w:val="auto"/>
          <w:sz w:val="24"/>
          <w:highlight w:val="none"/>
        </w:rPr>
      </w:pPr>
    </w:p>
    <w:p>
      <w:pPr>
        <w:pStyle w:val="11"/>
        <w:rPr>
          <w:rFonts w:ascii="宋体" w:hAnsi="宋体" w:cs="宋体"/>
          <w:b/>
          <w:bCs/>
          <w:color w:val="auto"/>
          <w:sz w:val="24"/>
          <w:highlight w:val="none"/>
        </w:rPr>
      </w:pPr>
    </w:p>
    <w:p>
      <w:pPr>
        <w:pStyle w:val="11"/>
        <w:rPr>
          <w:rFonts w:ascii="宋体" w:hAnsi="宋体" w:cs="宋体"/>
          <w:b/>
          <w:bCs/>
          <w:color w:val="auto"/>
          <w:sz w:val="24"/>
          <w:highlight w:val="none"/>
        </w:rPr>
      </w:pPr>
    </w:p>
    <w:p>
      <w:pPr>
        <w:pStyle w:val="11"/>
        <w:rPr>
          <w:rFonts w:ascii="宋体" w:hAnsi="宋体" w:cs="宋体"/>
          <w:b/>
          <w:bCs/>
          <w:color w:val="auto"/>
          <w:sz w:val="24"/>
          <w:highlight w:val="none"/>
        </w:rPr>
      </w:pPr>
    </w:p>
    <w:p>
      <w:pPr>
        <w:pStyle w:val="11"/>
        <w:rPr>
          <w:rFonts w:ascii="宋体" w:hAnsi="宋体" w:cs="宋体"/>
          <w:b/>
          <w:bCs/>
          <w:color w:val="auto"/>
          <w:sz w:val="24"/>
          <w:highlight w:val="none"/>
        </w:rPr>
      </w:pPr>
    </w:p>
    <w:p>
      <w:pPr>
        <w:pStyle w:val="11"/>
        <w:rPr>
          <w:rFonts w:ascii="宋体" w:hAnsi="宋体" w:cs="宋体"/>
          <w:b/>
          <w:bCs/>
          <w:color w:val="auto"/>
          <w:sz w:val="24"/>
          <w:highlight w:val="none"/>
        </w:rPr>
      </w:pPr>
    </w:p>
    <w:p>
      <w:pPr>
        <w:pStyle w:val="11"/>
        <w:rPr>
          <w:rFonts w:ascii="宋体" w:hAnsi="宋体" w:cs="宋体"/>
          <w:b/>
          <w:bCs/>
          <w:color w:val="auto"/>
          <w:sz w:val="24"/>
          <w:highlight w:val="none"/>
        </w:rPr>
      </w:pPr>
    </w:p>
    <w:p>
      <w:pPr>
        <w:pStyle w:val="11"/>
        <w:rPr>
          <w:rFonts w:ascii="宋体" w:hAnsi="宋体" w:cs="宋体"/>
          <w:b/>
          <w:bCs/>
          <w:color w:val="auto"/>
          <w:sz w:val="24"/>
          <w:highlight w:val="none"/>
        </w:rPr>
      </w:pPr>
    </w:p>
    <w:p>
      <w:pPr>
        <w:pStyle w:val="11"/>
        <w:rPr>
          <w:rFonts w:ascii="宋体" w:hAnsi="宋体" w:cs="宋体"/>
          <w:b/>
          <w:bCs/>
          <w:color w:val="auto"/>
          <w:sz w:val="24"/>
          <w:highlight w:val="none"/>
        </w:rPr>
      </w:pPr>
    </w:p>
    <w:p>
      <w:pPr>
        <w:jc w:val="center"/>
        <w:rPr>
          <w:color w:val="auto"/>
          <w:sz w:val="28"/>
          <w:szCs w:val="36"/>
          <w:highlight w:val="none"/>
        </w:rPr>
      </w:pPr>
      <w:bookmarkStart w:id="81" w:name="_Toc22467"/>
      <w:bookmarkStart w:id="82" w:name="_Toc24760"/>
      <w:bookmarkStart w:id="83" w:name="_Toc26173"/>
      <w:r>
        <w:rPr>
          <w:rFonts w:hint="eastAsia"/>
          <w:color w:val="auto"/>
          <w:sz w:val="28"/>
          <w:szCs w:val="36"/>
          <w:highlight w:val="none"/>
        </w:rPr>
        <w:t>目  录</w:t>
      </w:r>
      <w:bookmarkEnd w:id="81"/>
      <w:bookmarkEnd w:id="82"/>
      <w:bookmarkEnd w:id="83"/>
    </w:p>
    <w:p>
      <w:pPr>
        <w:adjustRightInd w:val="0"/>
        <w:spacing w:line="440" w:lineRule="exact"/>
        <w:ind w:firstLine="480" w:firstLineChars="200"/>
        <w:rPr>
          <w:rFonts w:ascii="宋体" w:hAnsi="宋体" w:cs="宋体"/>
          <w:color w:val="auto"/>
          <w:sz w:val="24"/>
          <w:szCs w:val="24"/>
          <w:highlight w:val="none"/>
        </w:rPr>
      </w:pP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一、磋商函</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二、法定代表人身份证明书或授权委托书</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2.1法定代表人身份证明书</w:t>
      </w:r>
      <w:r>
        <w:rPr>
          <w:rFonts w:hint="eastAsia" w:ascii="宋体" w:hAnsi="宋体" w:cs="宋体"/>
          <w:color w:val="auto"/>
          <w:sz w:val="24"/>
          <w:szCs w:val="24"/>
          <w:highlight w:val="none"/>
        </w:rPr>
        <w:tab/>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2.2 授权委托书</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三、供应商公司基本情况简介</w:t>
      </w:r>
      <w:r>
        <w:rPr>
          <w:rFonts w:hint="eastAsia" w:ascii="宋体" w:hAnsi="宋体" w:cs="宋体"/>
          <w:color w:val="auto"/>
          <w:sz w:val="24"/>
          <w:szCs w:val="24"/>
          <w:highlight w:val="none"/>
        </w:rPr>
        <w:tab/>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四、政府采购供应商资格信用承诺函</w:t>
      </w:r>
      <w:r>
        <w:rPr>
          <w:rFonts w:hint="eastAsia" w:ascii="宋体" w:hAnsi="宋体" w:cs="宋体"/>
          <w:color w:val="auto"/>
          <w:sz w:val="24"/>
          <w:szCs w:val="24"/>
          <w:highlight w:val="none"/>
        </w:rPr>
        <w:tab/>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五、反商业贿赂承诺书</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六、报价一览表</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七、已标价工程量清单</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八、服务响应表</w:t>
      </w:r>
      <w:r>
        <w:rPr>
          <w:rFonts w:hint="eastAsia" w:ascii="宋体" w:hAnsi="宋体" w:cs="宋体"/>
          <w:color w:val="auto"/>
          <w:sz w:val="24"/>
          <w:szCs w:val="24"/>
          <w:highlight w:val="none"/>
        </w:rPr>
        <w:tab/>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九、供应商资格文件</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十、项目经理简介表</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十一、拟投入本项目人员表</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十二、施工组织设计</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十三、服务及优惠承诺</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十四、其他资料</w:t>
      </w:r>
    </w:p>
    <w:p>
      <w:pPr>
        <w:pStyle w:val="3"/>
        <w:bidi w:val="0"/>
        <w:rPr>
          <w:rFonts w:hint="eastAsia"/>
          <w:b/>
          <w:bCs/>
          <w:color w:val="auto"/>
          <w:sz w:val="24"/>
          <w:szCs w:val="24"/>
          <w:highlight w:val="none"/>
          <w:lang w:val="en-US" w:eastAsia="zh-CN"/>
        </w:rPr>
      </w:pPr>
      <w:bookmarkStart w:id="84" w:name="_Toc22283"/>
      <w:bookmarkStart w:id="85" w:name="_Toc15877"/>
      <w:bookmarkStart w:id="86" w:name="_Toc6599"/>
      <w:r>
        <w:rPr>
          <w:rFonts w:hint="eastAsia"/>
          <w:b/>
          <w:bCs/>
          <w:color w:val="auto"/>
          <w:sz w:val="24"/>
          <w:szCs w:val="24"/>
          <w:highlight w:val="none"/>
          <w:lang w:val="en-US" w:eastAsia="zh-CN"/>
        </w:rPr>
        <w:br w:type="page"/>
      </w:r>
      <w:bookmarkStart w:id="87" w:name="_Toc31264"/>
      <w:r>
        <w:rPr>
          <w:rFonts w:hint="eastAsia"/>
          <w:b/>
          <w:bCs/>
          <w:color w:val="auto"/>
          <w:sz w:val="24"/>
          <w:szCs w:val="24"/>
          <w:highlight w:val="none"/>
          <w:lang w:val="en-US" w:eastAsia="zh-CN"/>
        </w:rPr>
        <w:t>一、磋商函</w:t>
      </w:r>
      <w:bookmarkEnd w:id="84"/>
      <w:bookmarkEnd w:id="85"/>
      <w:bookmarkEnd w:id="86"/>
      <w:bookmarkEnd w:id="87"/>
    </w:p>
    <w:p>
      <w:pPr>
        <w:adjustRightInd w:val="0"/>
        <w:spacing w:line="440" w:lineRule="exact"/>
        <w:textAlignment w:val="baseline"/>
        <w:rPr>
          <w:rFonts w:hint="eastAsia" w:ascii="宋体" w:hAnsi="宋体" w:cs="宋体"/>
          <w:color w:val="auto"/>
          <w:sz w:val="24"/>
          <w:highlight w:val="none"/>
        </w:rPr>
      </w:pPr>
    </w:p>
    <w:p>
      <w:pPr>
        <w:adjustRightInd w:val="0"/>
        <w:spacing w:line="440" w:lineRule="exact"/>
        <w:textAlignment w:val="baseline"/>
        <w:rPr>
          <w:rFonts w:ascii="宋体" w:hAnsi="宋体" w:cs="宋体"/>
          <w:color w:val="auto"/>
          <w:sz w:val="24"/>
          <w:highlight w:val="none"/>
        </w:rPr>
      </w:pPr>
      <w:r>
        <w:rPr>
          <w:rFonts w:hint="eastAsia" w:ascii="宋体" w:hAnsi="宋体" w:cs="宋体"/>
          <w:color w:val="auto"/>
          <w:sz w:val="24"/>
          <w:highlight w:val="none"/>
        </w:rPr>
        <w:t>致：（采购人）</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根据贵方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项目的磋商邀请（采购编号：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），委托代理</w:t>
      </w:r>
      <w:r>
        <w:rPr>
          <w:rFonts w:hint="eastAsia" w:ascii="宋体" w:hAnsi="宋体" w:cs="宋体"/>
          <w:color w:val="auto"/>
          <w:sz w:val="24"/>
          <w:highlight w:val="none"/>
          <w:u w:val="none"/>
        </w:rPr>
        <w:t>人</w:t>
      </w:r>
      <w:r>
        <w:rPr>
          <w:rFonts w:hint="eastAsia" w:ascii="宋体" w:hAnsi="宋体" w:cs="宋体"/>
          <w:color w:val="auto"/>
          <w:sz w:val="24"/>
          <w:highlight w:val="none"/>
          <w:u w:val="non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(全名、职务)代表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(供应商名称、地址)提交下述文件，并对之负法律责任。</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据此函，承诺如下：</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1.我们完全理解贵方不一定要接受最低报价，保证报价不存在低于成本的恶意报价行为，并同意本文件规定的响应性文件有效期；</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2.保证响应性文件内容无任何虚假。若评审过程中查出有虚假，同意按无效处理并同意接受相关处罚；若成交之后查出有虚假的，同意被取消成交资格并愿意接受相关处罚；</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3.如果我们的响应性文件被接受，我们将履行磋商文件中规定的每一项要求，按期、按质、按量履行每项规定；</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4.我们已详细审查全部磋商文件，完全理解并同意放弃对这方面有不明及误解的权利；</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5.如果在规定的磋商会时间后，至响应性文件有效期满前撤回响应性文件，我们将自愿接受相关处罚；</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6.保证成交之后按照磋商文件的要求提供相关货物或服务，如有违法，同意接受相关处罚；</w:t>
      </w:r>
    </w:p>
    <w:p>
      <w:pPr>
        <w:autoSpaceDE w:val="0"/>
        <w:autoSpaceDN w:val="0"/>
        <w:adjustRightInd w:val="0"/>
        <w:spacing w:line="440" w:lineRule="exact"/>
        <w:ind w:firstLine="480" w:firstLineChars="200"/>
        <w:textAlignment w:val="baseline"/>
        <w:rPr>
          <w:rFonts w:ascii="宋体" w:hAnsi="宋体" w:cs="宋体"/>
          <w:color w:val="auto"/>
          <w:kern w:val="0"/>
          <w:sz w:val="24"/>
          <w:highlight w:val="none"/>
        </w:rPr>
      </w:pPr>
      <w:r>
        <w:rPr>
          <w:rFonts w:hint="eastAsia" w:ascii="宋体" w:hAnsi="宋体" w:cs="宋体"/>
          <w:color w:val="auto"/>
          <w:kern w:val="0"/>
          <w:sz w:val="24"/>
          <w:highlight w:val="none"/>
        </w:rPr>
        <w:t>7.成交后保证在与采购人签订合同之日起7个工作日内将合同向采购代理机构备案。我单位保证项目验收合格之日起5个工作日内将验收证明（验收书）向采购代理机构备案；</w:t>
      </w:r>
    </w:p>
    <w:p>
      <w:pPr>
        <w:adjustRightInd w:val="0"/>
        <w:spacing w:line="440" w:lineRule="exact"/>
        <w:ind w:firstLine="480" w:firstLineChars="200"/>
        <w:textAlignment w:val="baseline"/>
        <w:rPr>
          <w:rFonts w:ascii="宋体" w:hAnsi="宋体" w:cs="宋体"/>
          <w:color w:val="auto"/>
          <w:kern w:val="0"/>
          <w:sz w:val="24"/>
          <w:highlight w:val="none"/>
        </w:rPr>
      </w:pPr>
      <w:r>
        <w:rPr>
          <w:rFonts w:hint="eastAsia" w:ascii="宋体" w:hAnsi="宋体" w:cs="宋体"/>
          <w:color w:val="auto"/>
          <w:kern w:val="0"/>
          <w:sz w:val="24"/>
          <w:highlight w:val="none"/>
        </w:rPr>
        <w:t>8.保证成交之后按照磋商文件的要求提供相关货物或服务，如有违法或出现上述违背承诺的行为，我单位愿意接受按照国家法律法规等有关规定给予的处罚；</w:t>
      </w:r>
    </w:p>
    <w:p>
      <w:pPr>
        <w:adjustRightInd w:val="0"/>
        <w:spacing w:line="440" w:lineRule="exact"/>
        <w:ind w:firstLine="480" w:firstLineChars="200"/>
        <w:textAlignment w:val="baseline"/>
        <w:outlineLvl w:val="2"/>
        <w:rPr>
          <w:rFonts w:ascii="宋体" w:hAnsi="宋体" w:cs="宋体"/>
          <w:color w:val="auto"/>
          <w:sz w:val="24"/>
          <w:highlight w:val="none"/>
        </w:rPr>
      </w:pPr>
      <w:r>
        <w:rPr>
          <w:rFonts w:hint="eastAsia" w:ascii="宋体" w:hAnsi="宋体" w:cs="宋体"/>
          <w:color w:val="auto"/>
          <w:sz w:val="24"/>
          <w:highlight w:val="none"/>
        </w:rPr>
        <w:t>9.与磋商有关的一切正式往来请寄：</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地址：                       邮箱：</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电话：                       传真：</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供应商名称：（电子签章）  </w:t>
      </w:r>
    </w:p>
    <w:p>
      <w:pPr>
        <w:adjustRightInd w:val="0"/>
        <w:spacing w:line="440" w:lineRule="exact"/>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法定代表人或委托代理人：（签字或签章）</w:t>
      </w:r>
    </w:p>
    <w:p>
      <w:pPr>
        <w:wordWrap w:val="0"/>
        <w:adjustRightInd w:val="0"/>
        <w:spacing w:line="440" w:lineRule="exact"/>
        <w:ind w:firstLine="480" w:firstLineChars="200"/>
        <w:jc w:val="right"/>
        <w:rPr>
          <w:rFonts w:ascii="宋体" w:hAnsi="宋体" w:cs="仿宋"/>
          <w:color w:val="auto"/>
          <w:sz w:val="24"/>
          <w:highlight w:val="none"/>
        </w:rPr>
      </w:pPr>
      <w:r>
        <w:rPr>
          <w:rFonts w:hint="eastAsia" w:ascii="宋体" w:hAnsi="宋体" w:cs="宋体"/>
          <w:color w:val="auto"/>
          <w:sz w:val="24"/>
          <w:highlight w:val="none"/>
        </w:rPr>
        <w:t xml:space="preserve">         年  月  日</w:t>
      </w:r>
      <w:r>
        <w:rPr>
          <w:rFonts w:hint="eastAsia" w:ascii="宋体" w:hAnsi="宋体" w:cs="仿宋"/>
          <w:color w:val="auto"/>
          <w:sz w:val="24"/>
          <w:highlight w:val="none"/>
        </w:rPr>
        <w:t xml:space="preserve"> </w:t>
      </w:r>
    </w:p>
    <w:p>
      <w:pPr>
        <w:rPr>
          <w:rFonts w:hint="eastAsia" w:ascii="Times New Roman" w:hAnsi="Times New Roman" w:eastAsia="宋体" w:cs="Times New Roman"/>
          <w:b/>
          <w:bCs/>
          <w:color w:val="auto"/>
          <w:kern w:val="0"/>
          <w:szCs w:val="24"/>
          <w:highlight w:val="none"/>
          <w:lang w:val="en-US" w:eastAsia="zh-CN" w:bidi="ar-SA"/>
        </w:rPr>
      </w:pPr>
      <w:r>
        <w:rPr>
          <w:rFonts w:hint="eastAsia" w:ascii="宋体" w:hAnsi="宋体" w:cs="仿宋"/>
          <w:color w:val="auto"/>
          <w:sz w:val="24"/>
          <w:highlight w:val="none"/>
        </w:rPr>
        <w:t xml:space="preserve">      </w:t>
      </w:r>
      <w:bookmarkStart w:id="88" w:name="_Toc15821"/>
      <w:bookmarkStart w:id="89" w:name="_Toc25940"/>
      <w:bookmarkStart w:id="90" w:name="_Toc18971"/>
      <w:bookmarkStart w:id="91" w:name="_Toc5321"/>
      <w:r>
        <w:rPr>
          <w:rFonts w:hint="eastAsia"/>
          <w:b/>
          <w:bCs/>
          <w:color w:val="auto"/>
          <w:sz w:val="24"/>
          <w:szCs w:val="24"/>
          <w:highlight w:val="none"/>
          <w:lang w:val="en-US" w:eastAsia="zh-CN"/>
        </w:rPr>
        <w:t>二、法定代表人身份证明书或授权委托书</w:t>
      </w:r>
      <w:bookmarkEnd w:id="88"/>
      <w:bookmarkEnd w:id="89"/>
      <w:bookmarkEnd w:id="90"/>
      <w:bookmarkEnd w:id="91"/>
    </w:p>
    <w:p>
      <w:pPr>
        <w:adjustRightInd w:val="0"/>
        <w:snapToGrid w:val="0"/>
        <w:spacing w:line="440" w:lineRule="exact"/>
        <w:jc w:val="center"/>
        <w:rPr>
          <w:rFonts w:ascii="宋体" w:hAnsi="宋体" w:cs="宋体"/>
          <w:b/>
          <w:bCs/>
          <w:color w:val="auto"/>
          <w:sz w:val="24"/>
          <w:highlight w:val="none"/>
        </w:rPr>
      </w:pPr>
    </w:p>
    <w:p>
      <w:pPr>
        <w:jc w:val="center"/>
        <w:outlineLvl w:val="2"/>
        <w:rPr>
          <w:rFonts w:hint="eastAsia" w:ascii="宋体" w:hAnsi="宋体" w:eastAsia="宋体" w:cs="宋体"/>
          <w:color w:val="auto"/>
          <w:sz w:val="28"/>
          <w:szCs w:val="28"/>
          <w:highlight w:val="none"/>
        </w:rPr>
      </w:pPr>
      <w:bookmarkStart w:id="92" w:name="_Toc888"/>
      <w:bookmarkStart w:id="93" w:name="_Toc10994"/>
      <w:bookmarkStart w:id="94" w:name="_Toc16179"/>
      <w:r>
        <w:rPr>
          <w:rFonts w:hint="eastAsia" w:ascii="宋体" w:hAnsi="宋体" w:eastAsia="宋体" w:cs="宋体"/>
          <w:color w:val="auto"/>
          <w:sz w:val="28"/>
          <w:szCs w:val="28"/>
          <w:highlight w:val="none"/>
        </w:rPr>
        <w:t>2.1法定代表人身份证明书</w:t>
      </w:r>
      <w:bookmarkEnd w:id="92"/>
      <w:bookmarkEnd w:id="93"/>
      <w:bookmarkEnd w:id="94"/>
    </w:p>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（法定代表人参加竞争性磋商的，出具此证明书）</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供应商名称：___________________________________</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单位性质：_____________________________________</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地址：_________________________________________</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成立时间：_________年________月_________日</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经营期限：_______________________________</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姓名：________性别：__________年龄：__________职务：________</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（供应商名称）的法定代表人。</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特此证明。</w:t>
      </w:r>
    </w:p>
    <w:p>
      <w:pPr>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附：法定代表人身份证扫描件</w:t>
      </w:r>
    </w:p>
    <w:p>
      <w:pPr>
        <w:wordWrap w:val="0"/>
        <w:adjustRightInd w:val="0"/>
        <w:snapToGrid w:val="0"/>
        <w:spacing w:line="360" w:lineRule="auto"/>
        <w:rPr>
          <w:rFonts w:ascii="宋体" w:hAnsi="宋体" w:cs="宋体"/>
          <w:color w:val="auto"/>
          <w:sz w:val="24"/>
          <w:highlight w:val="none"/>
        </w:rPr>
      </w:pPr>
    </w:p>
    <w:p>
      <w:pPr>
        <w:wordWrap w:val="0"/>
        <w:adjustRightInd w:val="0"/>
        <w:snapToGrid w:val="0"/>
        <w:spacing w:line="360" w:lineRule="auto"/>
        <w:rPr>
          <w:rFonts w:ascii="宋体" w:hAnsi="宋体" w:cs="宋体"/>
          <w:color w:val="auto"/>
          <w:sz w:val="24"/>
          <w:highlight w:val="none"/>
        </w:rPr>
      </w:pPr>
    </w:p>
    <w:p>
      <w:pPr>
        <w:wordWrap w:val="0"/>
        <w:adjustRightInd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供应商（电子签章）：          </w:t>
      </w:r>
    </w:p>
    <w:p>
      <w:pPr>
        <w:adjustRightInd w:val="0"/>
        <w:snapToGrid w:val="0"/>
        <w:spacing w:line="440" w:lineRule="exact"/>
        <w:rPr>
          <w:rFonts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rPr>
        <w:tab/>
      </w:r>
      <w:r>
        <w:rPr>
          <w:rFonts w:hint="eastAsia" w:ascii="宋体" w:hAnsi="宋体" w:cs="宋体"/>
          <w:color w:val="auto"/>
          <w:sz w:val="24"/>
          <w:highlight w:val="none"/>
        </w:rPr>
        <w:t>年</w:t>
      </w:r>
      <w:r>
        <w:rPr>
          <w:rFonts w:hint="eastAsia" w:ascii="宋体" w:hAnsi="宋体" w:cs="宋体"/>
          <w:color w:val="auto"/>
          <w:sz w:val="24"/>
          <w:highlight w:val="none"/>
        </w:rPr>
        <w:tab/>
      </w:r>
      <w:r>
        <w:rPr>
          <w:rFonts w:hint="eastAsia" w:ascii="宋体" w:hAnsi="宋体" w:cs="宋体"/>
          <w:color w:val="auto"/>
          <w:sz w:val="24"/>
          <w:highlight w:val="none"/>
        </w:rPr>
        <w:t>月</w:t>
      </w:r>
      <w:r>
        <w:rPr>
          <w:rFonts w:hint="eastAsia" w:ascii="宋体" w:hAnsi="宋体" w:cs="宋体"/>
          <w:color w:val="auto"/>
          <w:sz w:val="24"/>
          <w:highlight w:val="none"/>
        </w:rPr>
        <w:tab/>
      </w:r>
      <w:r>
        <w:rPr>
          <w:rFonts w:hint="eastAsia" w:ascii="宋体" w:hAnsi="宋体" w:cs="宋体"/>
          <w:color w:val="auto"/>
          <w:sz w:val="24"/>
          <w:highlight w:val="none"/>
        </w:rPr>
        <w:t>日</w:t>
      </w:r>
    </w:p>
    <w:p>
      <w:pPr>
        <w:adjustRightInd w:val="0"/>
        <w:snapToGrid w:val="0"/>
        <w:spacing w:line="440" w:lineRule="exact"/>
        <w:rPr>
          <w:rFonts w:ascii="宋体" w:hAnsi="宋体" w:cs="宋体"/>
          <w:color w:val="auto"/>
          <w:sz w:val="24"/>
          <w:highlight w:val="none"/>
        </w:rPr>
      </w:pPr>
    </w:p>
    <w:p>
      <w:pPr>
        <w:adjustRightInd w:val="0"/>
        <w:snapToGrid w:val="0"/>
        <w:spacing w:line="440" w:lineRule="exact"/>
        <w:rPr>
          <w:rFonts w:ascii="宋体" w:hAnsi="宋体" w:cs="宋体"/>
          <w:color w:val="auto"/>
          <w:sz w:val="24"/>
          <w:highlight w:val="none"/>
        </w:rPr>
      </w:pPr>
    </w:p>
    <w:p>
      <w:pPr>
        <w:pStyle w:val="24"/>
        <w:adjustRightInd w:val="0"/>
        <w:snapToGrid w:val="0"/>
        <w:spacing w:after="0" w:line="440" w:lineRule="exact"/>
        <w:ind w:firstLine="240"/>
        <w:rPr>
          <w:rFonts w:ascii="宋体" w:hAnsi="宋体" w:cs="宋体"/>
          <w:color w:val="auto"/>
          <w:sz w:val="24"/>
          <w:highlight w:val="none"/>
        </w:rPr>
      </w:pPr>
    </w:p>
    <w:p>
      <w:pPr>
        <w:pStyle w:val="25"/>
        <w:adjustRightInd w:val="0"/>
        <w:snapToGrid w:val="0"/>
        <w:spacing w:line="440" w:lineRule="exact"/>
        <w:ind w:firstLine="461"/>
        <w:rPr>
          <w:rFonts w:ascii="宋体" w:hAnsi="宋体" w:eastAsia="宋体" w:cs="宋体"/>
          <w:color w:val="auto"/>
          <w:sz w:val="24"/>
          <w:highlight w:val="none"/>
        </w:rPr>
      </w:pPr>
    </w:p>
    <w:p>
      <w:pPr>
        <w:adjustRightInd w:val="0"/>
        <w:snapToGrid w:val="0"/>
        <w:spacing w:line="440" w:lineRule="exact"/>
        <w:rPr>
          <w:rFonts w:ascii="宋体" w:hAnsi="宋体" w:cs="宋体"/>
          <w:color w:val="auto"/>
          <w:sz w:val="24"/>
          <w:highlight w:val="none"/>
        </w:rPr>
      </w:pPr>
    </w:p>
    <w:p>
      <w:pPr>
        <w:pStyle w:val="24"/>
        <w:adjustRightInd w:val="0"/>
        <w:snapToGrid w:val="0"/>
        <w:spacing w:after="0" w:line="440" w:lineRule="exact"/>
        <w:ind w:firstLine="240"/>
        <w:rPr>
          <w:rFonts w:ascii="宋体" w:hAnsi="宋体" w:cs="宋体"/>
          <w:color w:val="auto"/>
          <w:sz w:val="24"/>
          <w:highlight w:val="none"/>
        </w:rPr>
      </w:pPr>
    </w:p>
    <w:p>
      <w:pPr>
        <w:pStyle w:val="25"/>
        <w:adjustRightInd w:val="0"/>
        <w:snapToGrid w:val="0"/>
        <w:spacing w:line="440" w:lineRule="exact"/>
        <w:ind w:firstLine="461"/>
        <w:rPr>
          <w:rFonts w:ascii="宋体" w:hAnsi="宋体" w:eastAsia="宋体" w:cs="宋体"/>
          <w:color w:val="auto"/>
          <w:sz w:val="24"/>
          <w:highlight w:val="none"/>
        </w:rPr>
      </w:pPr>
    </w:p>
    <w:p>
      <w:pPr>
        <w:adjustRightInd w:val="0"/>
        <w:snapToGrid w:val="0"/>
        <w:spacing w:line="440" w:lineRule="exact"/>
        <w:rPr>
          <w:rFonts w:ascii="宋体" w:hAnsi="宋体" w:cs="宋体"/>
          <w:color w:val="auto"/>
          <w:sz w:val="24"/>
          <w:highlight w:val="none"/>
        </w:rPr>
      </w:pPr>
    </w:p>
    <w:p>
      <w:pPr>
        <w:pStyle w:val="24"/>
        <w:adjustRightInd w:val="0"/>
        <w:snapToGrid w:val="0"/>
        <w:spacing w:after="0" w:line="440" w:lineRule="exact"/>
        <w:ind w:firstLine="240"/>
        <w:rPr>
          <w:rFonts w:ascii="宋体" w:hAnsi="宋体" w:cs="宋体"/>
          <w:color w:val="auto"/>
          <w:sz w:val="24"/>
          <w:highlight w:val="none"/>
        </w:rPr>
      </w:pPr>
    </w:p>
    <w:p>
      <w:pPr>
        <w:pStyle w:val="25"/>
        <w:adjustRightInd w:val="0"/>
        <w:snapToGrid w:val="0"/>
        <w:spacing w:line="440" w:lineRule="exact"/>
        <w:ind w:firstLine="461"/>
        <w:rPr>
          <w:rFonts w:ascii="宋体" w:hAnsi="宋体" w:eastAsia="宋体" w:cs="宋体"/>
          <w:color w:val="auto"/>
          <w:sz w:val="24"/>
          <w:highlight w:val="none"/>
        </w:rPr>
      </w:pPr>
    </w:p>
    <w:p>
      <w:pPr>
        <w:adjustRightInd w:val="0"/>
        <w:snapToGrid w:val="0"/>
        <w:spacing w:line="440" w:lineRule="exact"/>
        <w:rPr>
          <w:rFonts w:ascii="宋体" w:hAnsi="宋体" w:cs="宋体"/>
          <w:color w:val="auto"/>
          <w:sz w:val="24"/>
          <w:highlight w:val="none"/>
        </w:rPr>
      </w:pPr>
    </w:p>
    <w:p>
      <w:pPr>
        <w:pStyle w:val="24"/>
        <w:adjustRightInd w:val="0"/>
        <w:snapToGrid w:val="0"/>
        <w:spacing w:after="0" w:line="440" w:lineRule="exact"/>
        <w:ind w:firstLine="240"/>
        <w:rPr>
          <w:rFonts w:ascii="宋体" w:hAnsi="宋体" w:cs="宋体"/>
          <w:color w:val="auto"/>
          <w:sz w:val="24"/>
          <w:highlight w:val="none"/>
        </w:rPr>
      </w:pPr>
    </w:p>
    <w:p/>
    <w:p>
      <w:pPr>
        <w:pStyle w:val="24"/>
        <w:adjustRightInd w:val="0"/>
        <w:snapToGrid w:val="0"/>
        <w:spacing w:after="0" w:line="440" w:lineRule="exact"/>
        <w:ind w:left="0" w:leftChars="0" w:firstLine="0" w:firstLineChars="0"/>
        <w:rPr>
          <w:rFonts w:ascii="宋体" w:hAnsi="宋体" w:cs="宋体"/>
          <w:color w:val="auto"/>
          <w:sz w:val="24"/>
          <w:highlight w:val="none"/>
        </w:rPr>
      </w:pPr>
    </w:p>
    <w:p>
      <w:pPr>
        <w:jc w:val="center"/>
        <w:outlineLvl w:val="2"/>
        <w:rPr>
          <w:rFonts w:hint="eastAsia" w:ascii="宋体" w:hAnsi="宋体" w:eastAsia="宋体" w:cs="宋体"/>
          <w:color w:val="auto"/>
          <w:sz w:val="28"/>
          <w:szCs w:val="28"/>
          <w:highlight w:val="none"/>
        </w:rPr>
      </w:pPr>
      <w:bookmarkStart w:id="95" w:name="_Toc31732"/>
      <w:bookmarkStart w:id="96" w:name="_Toc21007"/>
      <w:bookmarkStart w:id="97" w:name="_Toc5205"/>
      <w:r>
        <w:rPr>
          <w:rFonts w:hint="eastAsia" w:ascii="宋体" w:hAnsi="宋体" w:eastAsia="宋体" w:cs="宋体"/>
          <w:color w:val="auto"/>
          <w:sz w:val="28"/>
          <w:szCs w:val="28"/>
          <w:highlight w:val="none"/>
        </w:rPr>
        <w:t>2.2 授权委托书</w:t>
      </w:r>
      <w:bookmarkEnd w:id="95"/>
      <w:bookmarkEnd w:id="96"/>
      <w:bookmarkEnd w:id="97"/>
    </w:p>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（委托代理人参加竞争性磋商的，出具此证明书）</w:t>
      </w:r>
    </w:p>
    <w:p>
      <w:pPr>
        <w:pStyle w:val="49"/>
        <w:snapToGrid w:val="0"/>
        <w:spacing w:line="48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 xml:space="preserve"> </w:t>
      </w:r>
    </w:p>
    <w:p>
      <w:pPr>
        <w:pStyle w:val="49"/>
        <w:snapToGrid w:val="0"/>
        <w:spacing w:line="48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本人</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（姓名）系</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（供应商名称）的法定代表人，现委托</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（姓名、签名）为我方委托代理人。委托代理人根据授权，以我方名义签署、澄清、递交、撤回、修改 </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（项目名称）响应性文件，其行为我方均予以认可，法律后果由我方承担。 </w:t>
      </w:r>
    </w:p>
    <w:p>
      <w:pPr>
        <w:pStyle w:val="49"/>
        <w:snapToGrid w:val="0"/>
        <w:spacing w:line="480" w:lineRule="auto"/>
        <w:ind w:firstLine="420"/>
        <w:rPr>
          <w:rFonts w:hAnsi="宋体" w:cs="宋体"/>
          <w:color w:val="auto"/>
          <w:sz w:val="24"/>
          <w:szCs w:val="24"/>
          <w:highlight w:val="none"/>
        </w:rPr>
      </w:pPr>
      <w:r>
        <w:rPr>
          <w:rFonts w:hint="eastAsia" w:hAnsi="宋体" w:cs="宋体"/>
          <w:color w:val="auto"/>
          <w:sz w:val="24"/>
          <w:szCs w:val="24"/>
          <w:highlight w:val="none"/>
        </w:rPr>
        <w:t>委托期限：</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  </w:t>
      </w:r>
    </w:p>
    <w:p>
      <w:pPr>
        <w:pStyle w:val="49"/>
        <w:snapToGrid w:val="0"/>
        <w:spacing w:line="480" w:lineRule="auto"/>
        <w:ind w:firstLine="420"/>
        <w:rPr>
          <w:rFonts w:hAnsi="宋体" w:cs="宋体"/>
          <w:color w:val="auto"/>
          <w:sz w:val="24"/>
          <w:szCs w:val="24"/>
          <w:highlight w:val="none"/>
        </w:rPr>
      </w:pPr>
      <w:r>
        <w:rPr>
          <w:rFonts w:hint="eastAsia" w:hAnsi="宋体" w:cs="宋体"/>
          <w:color w:val="auto"/>
          <w:sz w:val="24"/>
          <w:szCs w:val="24"/>
          <w:highlight w:val="none"/>
        </w:rPr>
        <w:t xml:space="preserve">代理人无转委托权。 </w:t>
      </w:r>
    </w:p>
    <w:p>
      <w:pPr>
        <w:pStyle w:val="49"/>
        <w:snapToGrid w:val="0"/>
        <w:spacing w:line="480" w:lineRule="auto"/>
        <w:ind w:firstLine="420"/>
        <w:rPr>
          <w:rFonts w:hAnsi="宋体" w:cs="宋体"/>
          <w:color w:val="auto"/>
          <w:sz w:val="24"/>
          <w:szCs w:val="24"/>
          <w:highlight w:val="none"/>
        </w:rPr>
      </w:pPr>
      <w:r>
        <w:rPr>
          <w:rFonts w:hint="eastAsia" w:hAnsi="宋体" w:cs="宋体"/>
          <w:color w:val="auto"/>
          <w:sz w:val="24"/>
          <w:szCs w:val="24"/>
          <w:highlight w:val="none"/>
        </w:rPr>
        <w:t xml:space="preserve">附：法定代表人身份证扫描件 </w:t>
      </w:r>
    </w:p>
    <w:p>
      <w:pPr>
        <w:pStyle w:val="49"/>
        <w:snapToGrid w:val="0"/>
        <w:spacing w:line="480" w:lineRule="auto"/>
        <w:ind w:firstLine="960" w:firstLineChars="400"/>
        <w:outlineLvl w:val="1"/>
        <w:rPr>
          <w:rFonts w:hAnsi="宋体" w:cs="宋体"/>
          <w:color w:val="auto"/>
          <w:sz w:val="24"/>
          <w:szCs w:val="24"/>
          <w:highlight w:val="none"/>
        </w:rPr>
      </w:pPr>
      <w:r>
        <w:rPr>
          <w:rFonts w:hint="eastAsia" w:hAnsi="宋体" w:cs="宋体"/>
          <w:color w:val="auto"/>
          <w:sz w:val="24"/>
          <w:szCs w:val="24"/>
          <w:highlight w:val="none"/>
        </w:rPr>
        <w:t>委托代理人身份证扫描件</w:t>
      </w:r>
    </w:p>
    <w:p>
      <w:pPr>
        <w:pStyle w:val="49"/>
        <w:snapToGrid w:val="0"/>
        <w:spacing w:line="500" w:lineRule="exact"/>
        <w:ind w:firstLine="420"/>
        <w:rPr>
          <w:rFonts w:hAnsi="宋体" w:cs="宋体"/>
          <w:color w:val="auto"/>
          <w:sz w:val="24"/>
          <w:szCs w:val="24"/>
          <w:highlight w:val="none"/>
        </w:rPr>
      </w:pPr>
    </w:p>
    <w:p>
      <w:pPr>
        <w:pStyle w:val="49"/>
        <w:snapToGrid w:val="0"/>
        <w:spacing w:line="500" w:lineRule="exact"/>
        <w:ind w:firstLine="420"/>
        <w:rPr>
          <w:rFonts w:hAnsi="宋体" w:cs="宋体"/>
          <w:color w:val="auto"/>
          <w:sz w:val="24"/>
          <w:szCs w:val="24"/>
          <w:highlight w:val="none"/>
        </w:rPr>
      </w:pPr>
    </w:p>
    <w:p>
      <w:pPr>
        <w:pStyle w:val="49"/>
        <w:snapToGrid w:val="0"/>
        <w:spacing w:line="500" w:lineRule="exact"/>
        <w:ind w:firstLine="420"/>
        <w:rPr>
          <w:rFonts w:hAnsi="宋体" w:cs="宋体"/>
          <w:color w:val="auto"/>
          <w:sz w:val="24"/>
          <w:szCs w:val="24"/>
          <w:highlight w:val="none"/>
        </w:rPr>
      </w:pPr>
    </w:p>
    <w:p>
      <w:pPr>
        <w:pStyle w:val="49"/>
        <w:snapToGrid w:val="0"/>
        <w:spacing w:line="500" w:lineRule="exact"/>
        <w:ind w:firstLine="420"/>
        <w:rPr>
          <w:rFonts w:hAnsi="宋体" w:cs="宋体"/>
          <w:color w:val="auto"/>
          <w:sz w:val="24"/>
          <w:szCs w:val="24"/>
          <w:highlight w:val="none"/>
        </w:rPr>
      </w:pPr>
    </w:p>
    <w:p>
      <w:pPr>
        <w:pStyle w:val="49"/>
        <w:snapToGrid w:val="0"/>
        <w:spacing w:line="500" w:lineRule="exact"/>
        <w:ind w:firstLine="420"/>
        <w:rPr>
          <w:rFonts w:hAnsi="宋体" w:cs="宋体"/>
          <w:color w:val="auto"/>
          <w:sz w:val="24"/>
          <w:szCs w:val="24"/>
          <w:highlight w:val="none"/>
        </w:rPr>
      </w:pPr>
    </w:p>
    <w:p>
      <w:pPr>
        <w:pStyle w:val="49"/>
        <w:snapToGrid w:val="0"/>
        <w:spacing w:line="500" w:lineRule="exact"/>
        <w:ind w:firstLine="420"/>
        <w:rPr>
          <w:rFonts w:hAnsi="宋体" w:cs="宋体"/>
          <w:color w:val="auto"/>
          <w:sz w:val="24"/>
          <w:szCs w:val="24"/>
          <w:highlight w:val="none"/>
        </w:rPr>
      </w:pPr>
    </w:p>
    <w:p>
      <w:pPr>
        <w:pStyle w:val="49"/>
        <w:snapToGrid w:val="0"/>
        <w:spacing w:line="500" w:lineRule="exact"/>
        <w:ind w:firstLine="2318" w:firstLineChars="966"/>
        <w:rPr>
          <w:rFonts w:hAnsi="宋体" w:cs="宋体"/>
          <w:color w:val="auto"/>
          <w:sz w:val="24"/>
          <w:szCs w:val="24"/>
          <w:highlight w:val="none"/>
        </w:rPr>
      </w:pPr>
      <w:r>
        <w:rPr>
          <w:rFonts w:hint="eastAsia" w:hAnsi="宋体" w:cs="宋体"/>
          <w:color w:val="auto"/>
          <w:sz w:val="24"/>
          <w:szCs w:val="24"/>
          <w:highlight w:val="none"/>
        </w:rPr>
        <w:t>供  应  商：</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（电子签章） </w:t>
      </w:r>
    </w:p>
    <w:p>
      <w:pPr>
        <w:pStyle w:val="49"/>
        <w:snapToGrid w:val="0"/>
        <w:spacing w:line="500" w:lineRule="exact"/>
        <w:ind w:firstLine="2318" w:firstLineChars="966"/>
        <w:rPr>
          <w:rFonts w:hAnsi="宋体" w:cs="宋体"/>
          <w:color w:val="auto"/>
          <w:sz w:val="24"/>
          <w:szCs w:val="24"/>
          <w:highlight w:val="none"/>
        </w:rPr>
      </w:pPr>
      <w:r>
        <w:rPr>
          <w:rFonts w:hint="eastAsia" w:hAnsi="宋体" w:cs="宋体"/>
          <w:color w:val="auto"/>
          <w:sz w:val="24"/>
          <w:szCs w:val="24"/>
          <w:highlight w:val="none"/>
        </w:rPr>
        <w:t>法定代表人：</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（电子签章） </w:t>
      </w:r>
    </w:p>
    <w:p>
      <w:pPr>
        <w:pStyle w:val="49"/>
        <w:snapToGrid w:val="0"/>
        <w:spacing w:line="500" w:lineRule="exact"/>
        <w:ind w:firstLine="2318" w:firstLineChars="966"/>
        <w:rPr>
          <w:rFonts w:hAnsi="宋体" w:cs="宋体"/>
          <w:color w:val="auto"/>
          <w:sz w:val="24"/>
          <w:szCs w:val="24"/>
          <w:highlight w:val="none"/>
        </w:rPr>
      </w:pPr>
      <w:r>
        <w:rPr>
          <w:rFonts w:hint="eastAsia" w:hAnsi="宋体" w:cs="宋体"/>
          <w:color w:val="auto"/>
          <w:sz w:val="24"/>
          <w:szCs w:val="24"/>
          <w:highlight w:val="none"/>
        </w:rPr>
        <w:t>身份证号码：</w:t>
      </w:r>
      <w:r>
        <w:rPr>
          <w:rFonts w:hint="eastAsia" w:hAnsi="宋体" w:cs="宋体"/>
          <w:color w:val="auto"/>
          <w:sz w:val="24"/>
          <w:szCs w:val="24"/>
          <w:highlight w:val="none"/>
          <w:u w:val="single"/>
        </w:rPr>
        <w:t xml:space="preserve">                          </w:t>
      </w:r>
    </w:p>
    <w:p>
      <w:pPr>
        <w:adjustRightInd w:val="0"/>
        <w:snapToGrid w:val="0"/>
        <w:spacing w:line="360" w:lineRule="auto"/>
        <w:ind w:firstLine="3840" w:firstLineChars="1600"/>
        <w:rPr>
          <w:rFonts w:ascii="宋体" w:hAnsi="宋体" w:cs="宋体"/>
          <w:color w:val="auto"/>
          <w:sz w:val="24"/>
          <w:highlight w:val="none"/>
        </w:rPr>
      </w:pPr>
    </w:p>
    <w:p>
      <w:pPr>
        <w:adjustRightInd w:val="0"/>
        <w:snapToGrid w:val="0"/>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日 </w:t>
      </w:r>
    </w:p>
    <w:p>
      <w:pPr>
        <w:pStyle w:val="3"/>
        <w:bidi w:val="0"/>
        <w:rPr>
          <w:rStyle w:val="42"/>
          <w:rFonts w:hint="eastAsia"/>
          <w:b/>
          <w:bCs/>
          <w:color w:val="auto"/>
          <w:szCs w:val="24"/>
          <w:highlight w:val="none"/>
          <w:lang w:val="en-US" w:eastAsia="zh-CN"/>
        </w:rPr>
      </w:pPr>
      <w:bookmarkStart w:id="98" w:name="_Toc3344"/>
      <w:bookmarkStart w:id="99" w:name="_Toc4941"/>
      <w:bookmarkStart w:id="100" w:name="_Toc18563"/>
      <w:r>
        <w:rPr>
          <w:rFonts w:hint="eastAsia"/>
          <w:b/>
          <w:bCs/>
          <w:color w:val="auto"/>
          <w:sz w:val="24"/>
          <w:szCs w:val="24"/>
          <w:highlight w:val="none"/>
          <w:lang w:val="en-US" w:eastAsia="zh-CN"/>
        </w:rPr>
        <w:br w:type="page"/>
      </w:r>
      <w:bookmarkStart w:id="101" w:name="_Toc15716"/>
      <w:r>
        <w:rPr>
          <w:rFonts w:hint="eastAsia"/>
          <w:b/>
          <w:bCs/>
          <w:color w:val="auto"/>
          <w:sz w:val="24"/>
          <w:szCs w:val="24"/>
          <w:highlight w:val="none"/>
          <w:lang w:val="en-US" w:eastAsia="zh-CN"/>
        </w:rPr>
        <w:t>三、供应商公司基本情况简介</w:t>
      </w:r>
      <w:bookmarkEnd w:id="98"/>
      <w:bookmarkEnd w:id="99"/>
      <w:bookmarkEnd w:id="100"/>
      <w:bookmarkEnd w:id="101"/>
    </w:p>
    <w:tbl>
      <w:tblPr>
        <w:tblStyle w:val="26"/>
        <w:tblpPr w:leftFromText="180" w:rightFromText="180" w:vertAnchor="text" w:horzAnchor="margin" w:tblpXSpec="center" w:tblpY="244"/>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080"/>
        <w:gridCol w:w="1080"/>
        <w:gridCol w:w="285"/>
        <w:gridCol w:w="531"/>
        <w:gridCol w:w="705"/>
        <w:gridCol w:w="809"/>
        <w:gridCol w:w="816"/>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 xml:space="preserve"> 名称</w:t>
            </w:r>
          </w:p>
        </w:tc>
        <w:tc>
          <w:tcPr>
            <w:tcW w:w="6701" w:type="dxa"/>
            <w:gridSpan w:val="8"/>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注册地址</w:t>
            </w:r>
          </w:p>
        </w:tc>
        <w:tc>
          <w:tcPr>
            <w:tcW w:w="2445" w:type="dxa"/>
            <w:gridSpan w:val="3"/>
            <w:noWrap w:val="0"/>
            <w:vAlign w:val="center"/>
          </w:tcPr>
          <w:p>
            <w:pPr>
              <w:adjustRightInd w:val="0"/>
              <w:snapToGrid w:val="0"/>
              <w:spacing w:line="440" w:lineRule="exact"/>
              <w:jc w:val="center"/>
              <w:rPr>
                <w:rFonts w:ascii="宋体" w:hAnsi="宋体" w:cs="宋体"/>
                <w:color w:val="auto"/>
                <w:sz w:val="24"/>
                <w:highlight w:val="none"/>
              </w:rPr>
            </w:pPr>
          </w:p>
        </w:tc>
        <w:tc>
          <w:tcPr>
            <w:tcW w:w="1236" w:type="dxa"/>
            <w:gridSpan w:val="2"/>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邮政编码</w:t>
            </w:r>
          </w:p>
        </w:tc>
        <w:tc>
          <w:tcPr>
            <w:tcW w:w="3020" w:type="dxa"/>
            <w:gridSpan w:val="3"/>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vMerge w:val="restart"/>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联系方式</w:t>
            </w:r>
          </w:p>
        </w:tc>
        <w:tc>
          <w:tcPr>
            <w:tcW w:w="1080"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联系人</w:t>
            </w:r>
          </w:p>
        </w:tc>
        <w:tc>
          <w:tcPr>
            <w:tcW w:w="1365" w:type="dxa"/>
            <w:gridSpan w:val="2"/>
            <w:noWrap w:val="0"/>
            <w:vAlign w:val="center"/>
          </w:tcPr>
          <w:p>
            <w:pPr>
              <w:adjustRightInd w:val="0"/>
              <w:snapToGrid w:val="0"/>
              <w:spacing w:line="440" w:lineRule="exact"/>
              <w:jc w:val="center"/>
              <w:rPr>
                <w:rFonts w:ascii="宋体" w:hAnsi="宋体" w:cs="宋体"/>
                <w:color w:val="auto"/>
                <w:sz w:val="24"/>
                <w:highlight w:val="none"/>
              </w:rPr>
            </w:pPr>
          </w:p>
        </w:tc>
        <w:tc>
          <w:tcPr>
            <w:tcW w:w="1236" w:type="dxa"/>
            <w:gridSpan w:val="2"/>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电话</w:t>
            </w:r>
          </w:p>
        </w:tc>
        <w:tc>
          <w:tcPr>
            <w:tcW w:w="3020" w:type="dxa"/>
            <w:gridSpan w:val="3"/>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vMerge w:val="continue"/>
            <w:noWrap w:val="0"/>
            <w:vAlign w:val="center"/>
          </w:tcPr>
          <w:p>
            <w:pPr>
              <w:adjustRightInd w:val="0"/>
              <w:snapToGrid w:val="0"/>
              <w:spacing w:line="440" w:lineRule="exact"/>
              <w:jc w:val="center"/>
              <w:rPr>
                <w:rFonts w:ascii="宋体" w:hAnsi="宋体" w:cs="宋体"/>
                <w:color w:val="auto"/>
                <w:sz w:val="24"/>
                <w:highlight w:val="none"/>
              </w:rPr>
            </w:pPr>
          </w:p>
        </w:tc>
        <w:tc>
          <w:tcPr>
            <w:tcW w:w="1080"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传真</w:t>
            </w:r>
          </w:p>
        </w:tc>
        <w:tc>
          <w:tcPr>
            <w:tcW w:w="1365" w:type="dxa"/>
            <w:gridSpan w:val="2"/>
            <w:noWrap w:val="0"/>
            <w:vAlign w:val="center"/>
          </w:tcPr>
          <w:p>
            <w:pPr>
              <w:adjustRightInd w:val="0"/>
              <w:snapToGrid w:val="0"/>
              <w:spacing w:line="440" w:lineRule="exact"/>
              <w:jc w:val="center"/>
              <w:rPr>
                <w:rFonts w:ascii="宋体" w:hAnsi="宋体" w:cs="宋体"/>
                <w:color w:val="auto"/>
                <w:sz w:val="24"/>
                <w:highlight w:val="none"/>
              </w:rPr>
            </w:pPr>
          </w:p>
        </w:tc>
        <w:tc>
          <w:tcPr>
            <w:tcW w:w="1236" w:type="dxa"/>
            <w:gridSpan w:val="2"/>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网址</w:t>
            </w:r>
          </w:p>
        </w:tc>
        <w:tc>
          <w:tcPr>
            <w:tcW w:w="3020" w:type="dxa"/>
            <w:gridSpan w:val="3"/>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营业执照号</w:t>
            </w:r>
          </w:p>
        </w:tc>
        <w:tc>
          <w:tcPr>
            <w:tcW w:w="6701" w:type="dxa"/>
            <w:gridSpan w:val="8"/>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税务登记证号</w:t>
            </w:r>
          </w:p>
        </w:tc>
        <w:tc>
          <w:tcPr>
            <w:tcW w:w="6701" w:type="dxa"/>
            <w:gridSpan w:val="8"/>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组织机构代码证号</w:t>
            </w:r>
          </w:p>
        </w:tc>
        <w:tc>
          <w:tcPr>
            <w:tcW w:w="6701" w:type="dxa"/>
            <w:gridSpan w:val="8"/>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法定代表人</w:t>
            </w:r>
          </w:p>
        </w:tc>
        <w:tc>
          <w:tcPr>
            <w:tcW w:w="1080"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姓名</w:t>
            </w:r>
          </w:p>
        </w:tc>
        <w:tc>
          <w:tcPr>
            <w:tcW w:w="1080" w:type="dxa"/>
            <w:noWrap w:val="0"/>
            <w:vAlign w:val="center"/>
          </w:tcPr>
          <w:p>
            <w:pPr>
              <w:adjustRightInd w:val="0"/>
              <w:snapToGrid w:val="0"/>
              <w:spacing w:line="440" w:lineRule="exact"/>
              <w:jc w:val="center"/>
              <w:rPr>
                <w:rFonts w:ascii="宋体" w:hAnsi="宋体" w:cs="宋体"/>
                <w:color w:val="auto"/>
                <w:sz w:val="24"/>
                <w:highlight w:val="none"/>
              </w:rPr>
            </w:pPr>
          </w:p>
        </w:tc>
        <w:tc>
          <w:tcPr>
            <w:tcW w:w="816" w:type="dxa"/>
            <w:gridSpan w:val="2"/>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职务</w:t>
            </w:r>
          </w:p>
        </w:tc>
        <w:tc>
          <w:tcPr>
            <w:tcW w:w="1514" w:type="dxa"/>
            <w:gridSpan w:val="2"/>
            <w:noWrap w:val="0"/>
            <w:vAlign w:val="center"/>
          </w:tcPr>
          <w:p>
            <w:pPr>
              <w:adjustRightInd w:val="0"/>
              <w:snapToGrid w:val="0"/>
              <w:spacing w:line="440" w:lineRule="exact"/>
              <w:jc w:val="center"/>
              <w:rPr>
                <w:rFonts w:ascii="宋体" w:hAnsi="宋体" w:cs="宋体"/>
                <w:color w:val="auto"/>
                <w:sz w:val="24"/>
                <w:highlight w:val="none"/>
              </w:rPr>
            </w:pPr>
          </w:p>
        </w:tc>
        <w:tc>
          <w:tcPr>
            <w:tcW w:w="816"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电话</w:t>
            </w:r>
          </w:p>
        </w:tc>
        <w:tc>
          <w:tcPr>
            <w:tcW w:w="1395" w:type="dxa"/>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注册资金</w:t>
            </w:r>
          </w:p>
        </w:tc>
        <w:tc>
          <w:tcPr>
            <w:tcW w:w="2160" w:type="dxa"/>
            <w:gridSpan w:val="2"/>
            <w:noWrap w:val="0"/>
            <w:vAlign w:val="center"/>
          </w:tcPr>
          <w:p>
            <w:pPr>
              <w:adjustRightInd w:val="0"/>
              <w:snapToGrid w:val="0"/>
              <w:spacing w:line="440" w:lineRule="exact"/>
              <w:jc w:val="center"/>
              <w:rPr>
                <w:rFonts w:ascii="宋体" w:hAnsi="宋体" w:cs="宋体"/>
                <w:color w:val="auto"/>
                <w:sz w:val="24"/>
                <w:highlight w:val="none"/>
              </w:rPr>
            </w:pPr>
          </w:p>
        </w:tc>
        <w:tc>
          <w:tcPr>
            <w:tcW w:w="2330" w:type="dxa"/>
            <w:gridSpan w:val="4"/>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成立时间</w:t>
            </w:r>
          </w:p>
        </w:tc>
        <w:tc>
          <w:tcPr>
            <w:tcW w:w="2211" w:type="dxa"/>
            <w:gridSpan w:val="2"/>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开户银行</w:t>
            </w:r>
          </w:p>
        </w:tc>
        <w:tc>
          <w:tcPr>
            <w:tcW w:w="2160" w:type="dxa"/>
            <w:gridSpan w:val="2"/>
            <w:noWrap w:val="0"/>
            <w:vAlign w:val="center"/>
          </w:tcPr>
          <w:p>
            <w:pPr>
              <w:adjustRightInd w:val="0"/>
              <w:snapToGrid w:val="0"/>
              <w:spacing w:line="440" w:lineRule="exact"/>
              <w:jc w:val="center"/>
              <w:rPr>
                <w:rFonts w:ascii="宋体" w:hAnsi="宋体" w:cs="宋体"/>
                <w:color w:val="auto"/>
                <w:sz w:val="24"/>
                <w:highlight w:val="none"/>
              </w:rPr>
            </w:pPr>
          </w:p>
        </w:tc>
        <w:tc>
          <w:tcPr>
            <w:tcW w:w="2330" w:type="dxa"/>
            <w:gridSpan w:val="4"/>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账号</w:t>
            </w:r>
          </w:p>
        </w:tc>
        <w:tc>
          <w:tcPr>
            <w:tcW w:w="2211" w:type="dxa"/>
            <w:gridSpan w:val="2"/>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经营范围</w:t>
            </w:r>
          </w:p>
        </w:tc>
        <w:tc>
          <w:tcPr>
            <w:tcW w:w="6701" w:type="dxa"/>
            <w:gridSpan w:val="8"/>
            <w:noWrap w:val="0"/>
            <w:vAlign w:val="center"/>
          </w:tcPr>
          <w:p>
            <w:pPr>
              <w:adjustRightInd w:val="0"/>
              <w:snapToGrid w:val="0"/>
              <w:spacing w:line="440" w:lineRule="exact"/>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2088" w:type="dxa"/>
            <w:noWrap w:val="0"/>
            <w:vAlign w:val="center"/>
          </w:tcPr>
          <w:p>
            <w:pPr>
              <w:adjustRightInd w:val="0"/>
              <w:snapToGrid w:val="0"/>
              <w:spacing w:line="440" w:lineRule="exact"/>
              <w:jc w:val="center"/>
              <w:rPr>
                <w:rFonts w:ascii="宋体" w:hAnsi="宋体" w:cs="宋体"/>
                <w:color w:val="auto"/>
                <w:sz w:val="24"/>
                <w:highlight w:val="none"/>
              </w:rPr>
            </w:pPr>
            <w:r>
              <w:rPr>
                <w:rFonts w:hint="eastAsia" w:ascii="宋体" w:hAnsi="宋体" w:cs="宋体"/>
                <w:color w:val="auto"/>
                <w:sz w:val="24"/>
                <w:highlight w:val="none"/>
              </w:rPr>
              <w:t>备注</w:t>
            </w:r>
          </w:p>
        </w:tc>
        <w:tc>
          <w:tcPr>
            <w:tcW w:w="6701" w:type="dxa"/>
            <w:gridSpan w:val="8"/>
            <w:noWrap w:val="0"/>
            <w:vAlign w:val="center"/>
          </w:tcPr>
          <w:p>
            <w:pPr>
              <w:adjustRightInd w:val="0"/>
              <w:snapToGrid w:val="0"/>
              <w:spacing w:line="440" w:lineRule="exact"/>
              <w:jc w:val="center"/>
              <w:rPr>
                <w:rFonts w:ascii="宋体" w:hAnsi="宋体" w:cs="宋体"/>
                <w:color w:val="auto"/>
                <w:sz w:val="24"/>
                <w:highlight w:val="none"/>
              </w:rPr>
            </w:pPr>
          </w:p>
        </w:tc>
      </w:tr>
    </w:tbl>
    <w:p>
      <w:pPr>
        <w:adjustRightInd w:val="0"/>
        <w:snapToGrid w:val="0"/>
        <w:spacing w:line="440" w:lineRule="exact"/>
        <w:rPr>
          <w:rFonts w:ascii="宋体" w:hAnsi="宋体" w:cs="宋体"/>
          <w:b/>
          <w:color w:val="auto"/>
          <w:sz w:val="24"/>
          <w:highlight w:val="none"/>
        </w:rPr>
      </w:pPr>
      <w:r>
        <w:rPr>
          <w:rFonts w:hint="eastAsia" w:ascii="宋体" w:hAnsi="宋体" w:cs="宋体"/>
          <w:color w:val="auto"/>
          <w:sz w:val="24"/>
          <w:highlight w:val="none"/>
        </w:rPr>
        <w:t>注：供应商可根据实际情况自行</w:t>
      </w:r>
      <w:r>
        <w:rPr>
          <w:rFonts w:hint="eastAsia" w:ascii="宋体" w:hAnsi="宋体" w:cs="宋体"/>
          <w:bCs/>
          <w:color w:val="auto"/>
          <w:sz w:val="24"/>
          <w:highlight w:val="none"/>
        </w:rPr>
        <w:t>添加</w:t>
      </w:r>
      <w:r>
        <w:rPr>
          <w:rFonts w:hint="eastAsia" w:ascii="宋体" w:hAnsi="宋体" w:cs="宋体"/>
          <w:color w:val="auto"/>
          <w:sz w:val="24"/>
          <w:highlight w:val="none"/>
        </w:rPr>
        <w:t>表格内容。</w:t>
      </w:r>
    </w:p>
    <w:p>
      <w:pPr>
        <w:adjustRightInd w:val="0"/>
        <w:snapToGrid w:val="0"/>
        <w:spacing w:line="440" w:lineRule="exact"/>
        <w:ind w:firstLine="4800" w:firstLineChars="2000"/>
        <w:jc w:val="left"/>
        <w:rPr>
          <w:rFonts w:ascii="宋体" w:hAnsi="宋体" w:cs="宋体"/>
          <w:color w:val="auto"/>
          <w:sz w:val="24"/>
          <w:highlight w:val="none"/>
        </w:rPr>
      </w:pPr>
    </w:p>
    <w:p>
      <w:pPr>
        <w:adjustRightInd w:val="0"/>
        <w:snapToGrid w:val="0"/>
        <w:spacing w:line="440" w:lineRule="exact"/>
        <w:ind w:firstLine="4800" w:firstLineChars="2000"/>
        <w:jc w:val="left"/>
        <w:rPr>
          <w:rFonts w:ascii="宋体" w:hAnsi="宋体" w:cs="宋体"/>
          <w:color w:val="auto"/>
          <w:sz w:val="24"/>
          <w:highlight w:val="none"/>
        </w:rPr>
      </w:pPr>
      <w:r>
        <w:rPr>
          <w:rFonts w:hint="eastAsia" w:ascii="宋体" w:hAnsi="宋体" w:cs="宋体"/>
          <w:color w:val="auto"/>
          <w:sz w:val="24"/>
          <w:highlight w:val="none"/>
        </w:rPr>
        <w:t xml:space="preserve"> 供应商名称：（</w:t>
      </w:r>
      <w:r>
        <w:rPr>
          <w:rFonts w:hint="eastAsia" w:hAnsi="宋体" w:cs="宋体"/>
          <w:color w:val="auto"/>
          <w:sz w:val="24"/>
          <w:szCs w:val="24"/>
          <w:highlight w:val="none"/>
        </w:rPr>
        <w:t>电子签章</w:t>
      </w:r>
      <w:r>
        <w:rPr>
          <w:rFonts w:hint="eastAsia" w:ascii="宋体" w:hAnsi="宋体" w:cs="宋体"/>
          <w:color w:val="auto"/>
          <w:sz w:val="24"/>
          <w:highlight w:val="none"/>
        </w:rPr>
        <w:t>）</w:t>
      </w:r>
    </w:p>
    <w:p>
      <w:pPr>
        <w:adjustRightInd w:val="0"/>
        <w:snapToGrid w:val="0"/>
        <w:spacing w:line="440" w:lineRule="exact"/>
        <w:ind w:firstLine="4800" w:firstLineChars="2000"/>
        <w:jc w:val="left"/>
        <w:rPr>
          <w:rFonts w:ascii="宋体" w:hAnsi="宋体" w:cs="宋体"/>
          <w:b/>
          <w:color w:val="auto"/>
          <w:sz w:val="24"/>
          <w:highlight w:val="none"/>
        </w:rPr>
      </w:pPr>
      <w:r>
        <w:rPr>
          <w:rFonts w:hint="eastAsia" w:ascii="宋体" w:hAnsi="宋体" w:cs="宋体"/>
          <w:color w:val="auto"/>
          <w:sz w:val="24"/>
          <w:highlight w:val="none"/>
        </w:rPr>
        <w:t xml:space="preserve"> 法定代表人：(电子签章) </w:t>
      </w:r>
    </w:p>
    <w:p>
      <w:pPr>
        <w:adjustRightInd w:val="0"/>
        <w:snapToGrid w:val="0"/>
        <w:spacing w:line="440" w:lineRule="exact"/>
        <w:ind w:firstLine="6240" w:firstLineChars="2600"/>
        <w:rPr>
          <w:rFonts w:ascii="宋体" w:hAnsi="宋体" w:cs="宋体"/>
          <w:color w:val="auto"/>
          <w:sz w:val="24"/>
          <w:highlight w:val="none"/>
        </w:rPr>
      </w:pPr>
      <w:r>
        <w:rPr>
          <w:rFonts w:hint="eastAsia" w:ascii="宋体" w:hAnsi="宋体" w:cs="宋体"/>
          <w:color w:val="auto"/>
          <w:sz w:val="24"/>
          <w:highlight w:val="none"/>
        </w:rPr>
        <w:t>年  月  日</w:t>
      </w:r>
    </w:p>
    <w:p>
      <w:pPr>
        <w:pStyle w:val="3"/>
        <w:bidi w:val="0"/>
        <w:jc w:val="center"/>
        <w:rPr>
          <w:rFonts w:hint="eastAsia"/>
          <w:b/>
          <w:bCs/>
          <w:color w:val="auto"/>
          <w:sz w:val="24"/>
          <w:szCs w:val="24"/>
          <w:highlight w:val="none"/>
        </w:rPr>
      </w:pPr>
      <w:bookmarkStart w:id="102" w:name="_Toc28185"/>
      <w:bookmarkStart w:id="103" w:name="_Toc7765"/>
      <w:bookmarkStart w:id="104" w:name="_Toc1982"/>
      <w:r>
        <w:rPr>
          <w:rFonts w:hint="eastAsia"/>
          <w:b/>
          <w:bCs/>
          <w:color w:val="auto"/>
          <w:sz w:val="24"/>
          <w:szCs w:val="24"/>
          <w:highlight w:val="none"/>
        </w:rPr>
        <w:br w:type="page"/>
      </w:r>
      <w:bookmarkStart w:id="105" w:name="_Toc27456"/>
      <w:r>
        <w:rPr>
          <w:rFonts w:hint="eastAsia"/>
          <w:b/>
          <w:bCs/>
          <w:color w:val="auto"/>
          <w:sz w:val="24"/>
          <w:szCs w:val="24"/>
          <w:highlight w:val="none"/>
        </w:rPr>
        <w:t>四、</w:t>
      </w:r>
      <w:bookmarkEnd w:id="102"/>
      <w:bookmarkEnd w:id="103"/>
      <w:bookmarkEnd w:id="104"/>
      <w:r>
        <w:rPr>
          <w:rFonts w:hint="eastAsia"/>
          <w:b/>
          <w:bCs/>
          <w:color w:val="auto"/>
          <w:sz w:val="24"/>
          <w:szCs w:val="24"/>
          <w:highlight w:val="none"/>
        </w:rPr>
        <w:t>采购供应商资格信用承诺函</w:t>
      </w:r>
      <w:bookmarkEnd w:id="105"/>
    </w:p>
    <w:p>
      <w:pPr>
        <w:spacing w:line="540" w:lineRule="exact"/>
        <w:ind w:firstLine="480" w:firstLineChars="200"/>
        <w:rPr>
          <w:rFonts w:hint="eastAsia" w:ascii="宋体" w:hAnsi="宋体" w:cs="宋体"/>
          <w:color w:val="auto"/>
          <w:sz w:val="24"/>
          <w:highlight w:val="none"/>
        </w:rPr>
      </w:pPr>
    </w:p>
    <w:p>
      <w:pPr>
        <w:spacing w:line="540" w:lineRule="exact"/>
        <w:ind w:left="0" w:leftChars="0" w:firstLine="0" w:firstLineChars="0"/>
        <w:rPr>
          <w:rFonts w:hint="eastAsia" w:ascii="宋体" w:hAnsi="宋体" w:cs="宋体"/>
          <w:color w:val="auto"/>
          <w:sz w:val="24"/>
          <w:highlight w:val="none"/>
        </w:rPr>
      </w:pPr>
      <w:r>
        <w:rPr>
          <w:rFonts w:hint="eastAsia" w:ascii="宋体" w:hAnsi="宋体" w:cs="宋体"/>
          <w:color w:val="auto"/>
          <w:sz w:val="24"/>
          <w:highlight w:val="none"/>
        </w:rPr>
        <w:t>致（采购人或采购代理机构） ：</w:t>
      </w:r>
    </w:p>
    <w:p>
      <w:pPr>
        <w:spacing w:line="540" w:lineRule="exact"/>
        <w:ind w:left="0" w:leftChars="0" w:firstLine="638" w:firstLineChars="266"/>
        <w:rPr>
          <w:rFonts w:hint="eastAsia" w:ascii="宋体" w:hAnsi="宋体" w:cs="宋体"/>
          <w:color w:val="auto"/>
          <w:sz w:val="24"/>
          <w:highlight w:val="none"/>
        </w:rPr>
      </w:pPr>
      <w:r>
        <w:rPr>
          <w:rFonts w:hint="eastAsia" w:ascii="宋体" w:hAnsi="宋体" w:cs="宋体"/>
          <w:color w:val="auto"/>
          <w:sz w:val="24"/>
          <w:highlight w:val="none"/>
        </w:rPr>
        <w:t>供应商名称：</w:t>
      </w:r>
    </w:p>
    <w:p>
      <w:pPr>
        <w:spacing w:line="540" w:lineRule="exact"/>
        <w:ind w:left="0" w:leftChars="0" w:firstLine="638" w:firstLineChars="266"/>
        <w:rPr>
          <w:rFonts w:hint="eastAsia" w:ascii="宋体" w:hAnsi="宋体" w:cs="宋体"/>
          <w:color w:val="auto"/>
          <w:sz w:val="24"/>
          <w:highlight w:val="none"/>
        </w:rPr>
      </w:pPr>
      <w:r>
        <w:rPr>
          <w:rFonts w:hint="eastAsia" w:ascii="宋体" w:hAnsi="宋体" w:cs="宋体"/>
          <w:color w:val="auto"/>
          <w:sz w:val="24"/>
          <w:highlight w:val="none"/>
        </w:rPr>
        <w:t>统一社会信用代码：</w:t>
      </w:r>
    </w:p>
    <w:p>
      <w:pPr>
        <w:spacing w:line="540" w:lineRule="exact"/>
        <w:ind w:left="0" w:leftChars="0" w:firstLine="638" w:firstLineChars="266"/>
        <w:rPr>
          <w:rFonts w:hint="eastAsia" w:ascii="宋体" w:hAnsi="宋体" w:cs="宋体"/>
          <w:color w:val="auto"/>
          <w:sz w:val="24"/>
          <w:highlight w:val="none"/>
        </w:rPr>
      </w:pPr>
      <w:r>
        <w:rPr>
          <w:rFonts w:hint="eastAsia" w:ascii="宋体" w:hAnsi="宋体" w:cs="宋体"/>
          <w:color w:val="auto"/>
          <w:sz w:val="24"/>
          <w:highlight w:val="none"/>
        </w:rPr>
        <w:t>供应商地址：</w:t>
      </w:r>
    </w:p>
    <w:p>
      <w:pPr>
        <w:spacing w:line="540" w:lineRule="exact"/>
        <w:ind w:left="0" w:leftChars="0" w:firstLine="638" w:firstLineChars="266"/>
        <w:rPr>
          <w:rFonts w:hint="eastAsia" w:ascii="宋体" w:hAnsi="宋体" w:cs="宋体"/>
          <w:color w:val="auto"/>
          <w:sz w:val="24"/>
          <w:highlight w:val="none"/>
        </w:rPr>
      </w:pPr>
      <w:r>
        <w:rPr>
          <w:rFonts w:hint="eastAsia" w:ascii="宋体" w:hAnsi="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pacing w:line="540" w:lineRule="exact"/>
        <w:ind w:left="0" w:leftChars="0" w:firstLine="638" w:firstLineChars="266"/>
        <w:rPr>
          <w:rFonts w:hint="eastAsia" w:ascii="宋体" w:hAnsi="宋体" w:cs="宋体"/>
          <w:color w:val="auto"/>
          <w:sz w:val="24"/>
          <w:highlight w:val="none"/>
        </w:rPr>
      </w:pPr>
      <w:r>
        <w:rPr>
          <w:rFonts w:hint="eastAsia" w:ascii="宋体" w:hAnsi="宋体" w:cs="宋体"/>
          <w:color w:val="auto"/>
          <w:sz w:val="24"/>
          <w:highlight w:val="none"/>
        </w:rPr>
        <w:t>1.我单位具有符合采购文件资格要求独立承担民事责任的能力。</w:t>
      </w:r>
    </w:p>
    <w:p>
      <w:pPr>
        <w:spacing w:line="540" w:lineRule="exact"/>
        <w:ind w:left="0" w:leftChars="0" w:firstLine="638" w:firstLineChars="266"/>
        <w:rPr>
          <w:rFonts w:hint="eastAsia" w:ascii="宋体" w:hAnsi="宋体" w:cs="宋体"/>
          <w:color w:val="auto"/>
          <w:sz w:val="24"/>
          <w:highlight w:val="none"/>
        </w:rPr>
      </w:pPr>
      <w:r>
        <w:rPr>
          <w:rFonts w:hint="eastAsia" w:ascii="宋体" w:hAnsi="宋体" w:cs="宋体"/>
          <w:color w:val="auto"/>
          <w:sz w:val="24"/>
          <w:highlight w:val="none"/>
        </w:rPr>
        <w:t>2.我单位具有符合采购文件资格要求的财务状况报告。</w:t>
      </w:r>
    </w:p>
    <w:p>
      <w:pPr>
        <w:spacing w:line="540" w:lineRule="exact"/>
        <w:ind w:left="0" w:leftChars="0" w:firstLine="638" w:firstLineChars="266"/>
        <w:rPr>
          <w:rFonts w:hint="eastAsia" w:ascii="宋体" w:hAnsi="宋体" w:cs="宋体"/>
          <w:color w:val="auto"/>
          <w:sz w:val="24"/>
          <w:highlight w:val="none"/>
        </w:rPr>
      </w:pPr>
      <w:r>
        <w:rPr>
          <w:rFonts w:hint="eastAsia" w:ascii="宋体" w:hAnsi="宋体" w:cs="宋体"/>
          <w:color w:val="auto"/>
          <w:sz w:val="24"/>
          <w:highlight w:val="none"/>
        </w:rPr>
        <w:t>3.我单位具有符合采购文件资格要求的依法缴纳税收和社会保障记录的良好记录。</w:t>
      </w:r>
    </w:p>
    <w:p>
      <w:pPr>
        <w:spacing w:line="540" w:lineRule="exact"/>
        <w:ind w:left="0" w:leftChars="0" w:firstLine="638" w:firstLineChars="266"/>
        <w:rPr>
          <w:rFonts w:hint="eastAsia" w:ascii="宋体" w:hAnsi="宋体" w:cs="宋体"/>
          <w:color w:val="auto"/>
          <w:sz w:val="24"/>
          <w:highlight w:val="none"/>
        </w:rPr>
      </w:pPr>
      <w:r>
        <w:rPr>
          <w:rFonts w:hint="eastAsia" w:ascii="宋体" w:hAnsi="宋体" w:cs="宋体"/>
          <w:color w:val="auto"/>
          <w:sz w:val="24"/>
          <w:highlight w:val="none"/>
        </w:rPr>
        <w:t>4.我单位具有符合采购文件资格要求履行合同所必需的设备和专业技术能力。</w:t>
      </w:r>
    </w:p>
    <w:p>
      <w:pPr>
        <w:spacing w:line="540" w:lineRule="exact"/>
        <w:ind w:left="0" w:leftChars="0" w:firstLine="638" w:firstLineChars="266"/>
        <w:outlineLvl w:val="2"/>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pPr>
        <w:spacing w:line="540" w:lineRule="exact"/>
        <w:ind w:left="0" w:leftChars="0" w:firstLine="638" w:firstLineChars="266"/>
        <w:rPr>
          <w:rFonts w:hint="eastAsia" w:ascii="宋体" w:hAnsi="宋体" w:cs="宋体"/>
          <w:color w:val="auto"/>
          <w:sz w:val="24"/>
          <w:highlight w:val="none"/>
        </w:rPr>
      </w:pPr>
      <w:r>
        <w:rPr>
          <w:rFonts w:hint="eastAsia" w:ascii="宋体" w:hAnsi="宋体" w:cs="宋体"/>
          <w:color w:val="auto"/>
          <w:sz w:val="24"/>
          <w:highlight w:val="none"/>
        </w:rPr>
        <w:t>若我单位承诺不实，自愿承担提供虚假材料谋取中标、成交的法律责任。</w:t>
      </w:r>
    </w:p>
    <w:p>
      <w:pPr>
        <w:spacing w:line="540" w:lineRule="exact"/>
        <w:rPr>
          <w:rFonts w:hint="eastAsia" w:ascii="宋体" w:hAnsi="宋体" w:cs="宋体"/>
          <w:color w:val="auto"/>
          <w:sz w:val="24"/>
          <w:highlight w:val="none"/>
        </w:rPr>
      </w:pPr>
    </w:p>
    <w:p>
      <w:pPr>
        <w:spacing w:line="540" w:lineRule="exact"/>
        <w:ind w:firstLine="480" w:firstLineChars="200"/>
        <w:rPr>
          <w:rFonts w:hint="eastAsia" w:ascii="宋体" w:hAnsi="宋体" w:cs="宋体"/>
          <w:color w:val="auto"/>
          <w:sz w:val="24"/>
          <w:highlight w:val="none"/>
        </w:rPr>
      </w:pPr>
    </w:p>
    <w:p>
      <w:pPr>
        <w:spacing w:line="540" w:lineRule="exact"/>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承诺供应商（电子签章）：</w:t>
      </w:r>
    </w:p>
    <w:p>
      <w:pPr>
        <w:spacing w:line="540" w:lineRule="exact"/>
        <w:ind w:firstLine="480" w:firstLineChars="200"/>
        <w:jc w:val="right"/>
        <w:rPr>
          <w:rFonts w:hint="eastAsia" w:ascii="宋体" w:hAnsi="宋体" w:cs="宋体"/>
          <w:color w:val="auto"/>
          <w:sz w:val="24"/>
          <w:highlight w:val="none"/>
        </w:rPr>
      </w:pPr>
      <w:r>
        <w:rPr>
          <w:rFonts w:hint="eastAsia" w:ascii="宋体" w:hAnsi="宋体" w:cs="宋体"/>
          <w:color w:val="auto"/>
          <w:sz w:val="24"/>
          <w:highlight w:val="none"/>
        </w:rPr>
        <w:t>法定代表人或授权代表(签字或签章)：</w:t>
      </w:r>
    </w:p>
    <w:p>
      <w:pPr>
        <w:spacing w:line="540" w:lineRule="exact"/>
        <w:ind w:firstLine="480" w:firstLineChars="200"/>
        <w:jc w:val="right"/>
        <w:rPr>
          <w:rFonts w:hint="eastAsia" w:ascii="宋体" w:hAnsi="宋体" w:cs="宋体"/>
          <w:color w:val="auto"/>
          <w:kern w:val="0"/>
          <w:sz w:val="24"/>
          <w:highlight w:val="none"/>
        </w:rPr>
      </w:pPr>
      <w:r>
        <w:rPr>
          <w:rFonts w:hint="eastAsia" w:ascii="宋体" w:hAnsi="宋体" w:cs="宋体"/>
          <w:color w:val="auto"/>
          <w:sz w:val="24"/>
          <w:highlight w:val="none"/>
        </w:rPr>
        <w:t>日期： 年   月   日</w:t>
      </w:r>
    </w:p>
    <w:p>
      <w:pPr>
        <w:pStyle w:val="76"/>
        <w:rPr>
          <w:rFonts w:hint="eastAsia" w:ascii="宋体" w:hAnsi="宋体"/>
          <w:color w:val="auto"/>
          <w:sz w:val="24"/>
          <w:highlight w:val="none"/>
        </w:rPr>
      </w:pPr>
    </w:p>
    <w:p>
      <w:pPr>
        <w:ind w:firstLine="480" w:firstLineChars="200"/>
        <w:jc w:val="left"/>
        <w:rPr>
          <w:rFonts w:hint="eastAsia" w:ascii="宋体" w:hAnsi="宋体" w:eastAsia="宋体"/>
          <w:color w:val="auto"/>
          <w:sz w:val="24"/>
          <w:highlight w:val="none"/>
        </w:rPr>
        <w:sectPr>
          <w:footerReference r:id="rId7" w:type="firs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cs="宋体"/>
          <w:color w:val="auto"/>
          <w:kern w:val="0"/>
          <w:sz w:val="24"/>
          <w:highlight w:val="none"/>
        </w:rPr>
        <w:t>注：1.供应商须在</w:t>
      </w:r>
      <w:r>
        <w:rPr>
          <w:rFonts w:hint="eastAsia" w:ascii="宋体" w:hAnsi="宋体" w:cs="宋体"/>
          <w:color w:val="auto"/>
          <w:kern w:val="0"/>
          <w:sz w:val="24"/>
          <w:highlight w:val="none"/>
          <w:lang w:eastAsia="zh-CN"/>
        </w:rPr>
        <w:t>响应性</w:t>
      </w:r>
      <w:r>
        <w:rPr>
          <w:rFonts w:hint="eastAsia" w:ascii="宋体" w:hAnsi="宋体" w:cs="宋体"/>
          <w:color w:val="auto"/>
          <w:kern w:val="0"/>
          <w:sz w:val="24"/>
          <w:highlight w:val="none"/>
        </w:rPr>
        <w:t>文件中按此模板提供承诺函，未提供视为未实质性响应</w:t>
      </w:r>
      <w:r>
        <w:rPr>
          <w:rFonts w:hint="eastAsia" w:ascii="宋体" w:hAnsi="宋体" w:cs="宋体"/>
          <w:color w:val="auto"/>
          <w:kern w:val="0"/>
          <w:sz w:val="24"/>
          <w:highlight w:val="none"/>
          <w:lang w:eastAsia="zh-CN"/>
        </w:rPr>
        <w:t>竞争性磋商文件</w:t>
      </w:r>
      <w:r>
        <w:rPr>
          <w:rFonts w:hint="eastAsia" w:ascii="宋体" w:hAnsi="宋体" w:cs="宋体"/>
          <w:color w:val="auto"/>
          <w:kern w:val="0"/>
          <w:sz w:val="24"/>
          <w:highlight w:val="none"/>
        </w:rPr>
        <w:t>要求，按无效投标处理。</w:t>
      </w:r>
    </w:p>
    <w:p>
      <w:pPr>
        <w:pStyle w:val="3"/>
        <w:numPr>
          <w:ilvl w:val="0"/>
          <w:numId w:val="3"/>
        </w:numPr>
        <w:bidi w:val="0"/>
        <w:ind w:left="0" w:leftChars="0" w:firstLine="482" w:firstLineChars="200"/>
        <w:rPr>
          <w:rFonts w:hint="eastAsia"/>
          <w:b/>
          <w:bCs/>
          <w:color w:val="auto"/>
          <w:sz w:val="24"/>
          <w:szCs w:val="24"/>
          <w:highlight w:val="none"/>
        </w:rPr>
      </w:pPr>
      <w:bookmarkStart w:id="106" w:name="_Toc30288"/>
      <w:bookmarkStart w:id="107" w:name="_Toc4920"/>
      <w:bookmarkStart w:id="108" w:name="_Toc31086"/>
      <w:bookmarkStart w:id="109" w:name="_Toc16829"/>
      <w:r>
        <w:rPr>
          <w:rFonts w:hint="eastAsia"/>
          <w:b/>
          <w:bCs/>
          <w:color w:val="auto"/>
          <w:sz w:val="24"/>
          <w:szCs w:val="24"/>
          <w:highlight w:val="none"/>
        </w:rPr>
        <w:t>反商业贿赂承诺书</w:t>
      </w:r>
      <w:bookmarkEnd w:id="106"/>
      <w:bookmarkEnd w:id="107"/>
      <w:bookmarkEnd w:id="108"/>
      <w:bookmarkEnd w:id="109"/>
    </w:p>
    <w:p>
      <w:pPr>
        <w:numPr>
          <w:ilvl w:val="0"/>
          <w:numId w:val="0"/>
        </w:numPr>
        <w:ind w:leftChars="200"/>
        <w:rPr>
          <w:color w:val="auto"/>
        </w:rPr>
      </w:pPr>
    </w:p>
    <w:p>
      <w:pPr>
        <w:adjustRightInd w:val="0"/>
        <w:snapToGrid w:val="0"/>
        <w:spacing w:line="440" w:lineRule="exact"/>
        <w:ind w:firstLine="480" w:firstLineChars="200"/>
        <w:rPr>
          <w:rFonts w:hint="eastAsia" w:ascii="宋体" w:hAnsi="宋体" w:cs="宋体"/>
          <w:color w:val="auto"/>
          <w:sz w:val="24"/>
          <w:highlight w:val="none"/>
        </w:rPr>
      </w:pP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在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采购活动中，我单位郑重承诺：</w:t>
      </w:r>
    </w:p>
    <w:p>
      <w:pPr>
        <w:adjustRightInd w:val="0"/>
        <w:snapToGrid w:val="0"/>
        <w:spacing w:line="440" w:lineRule="exact"/>
        <w:ind w:firstLine="480" w:firstLineChars="200"/>
        <w:outlineLvl w:val="1"/>
        <w:rPr>
          <w:rFonts w:ascii="宋体" w:hAnsi="宋体" w:cs="宋体"/>
          <w:color w:val="auto"/>
          <w:sz w:val="24"/>
          <w:highlight w:val="none"/>
        </w:rPr>
      </w:pPr>
      <w:r>
        <w:rPr>
          <w:rFonts w:hint="eastAsia" w:ascii="宋体" w:hAnsi="宋体" w:cs="宋体"/>
          <w:color w:val="auto"/>
          <w:sz w:val="24"/>
          <w:highlight w:val="none"/>
        </w:rPr>
        <w:t>一、公平竞争参加本次竞争性磋商活动。</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二、杜绝任何形式的商业贿赂行为。不向国家工作人员、政府采购代理机构工作人员、评审专家及其亲属提供礼品、有价证券、购物券、回扣、佣金、咨询费、劳务费、赞助费、宣传费、宴请；不为其报销各种消费凭证，不支付其旅游、娱乐等费用。</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三、若出现上述行为，我单位及参与</w:t>
      </w:r>
      <w:r>
        <w:rPr>
          <w:rFonts w:hint="eastAsia" w:ascii="宋体" w:hAnsi="宋体" w:cs="宋体"/>
          <w:color w:val="auto"/>
          <w:sz w:val="24"/>
          <w:highlight w:val="none"/>
          <w:lang w:eastAsia="zh-CN"/>
        </w:rPr>
        <w:t>政府采购</w:t>
      </w:r>
      <w:r>
        <w:rPr>
          <w:rFonts w:hint="eastAsia" w:ascii="宋体" w:hAnsi="宋体" w:cs="宋体"/>
          <w:color w:val="auto"/>
          <w:sz w:val="24"/>
          <w:highlight w:val="none"/>
        </w:rPr>
        <w:t>的工作人员愿意接受按照国家法律法规等有关规定给予的处罚。</w:t>
      </w:r>
    </w:p>
    <w:p>
      <w:pPr>
        <w:adjustRightInd w:val="0"/>
        <w:snapToGrid w:val="0"/>
        <w:spacing w:line="440" w:lineRule="exact"/>
        <w:ind w:firstLine="480" w:firstLineChars="200"/>
        <w:rPr>
          <w:rFonts w:ascii="宋体" w:hAnsi="宋体" w:cs="宋体"/>
          <w:color w:val="auto"/>
          <w:sz w:val="24"/>
          <w:highlight w:val="none"/>
        </w:rPr>
      </w:pPr>
    </w:p>
    <w:p>
      <w:pPr>
        <w:adjustRightInd w:val="0"/>
        <w:snapToGrid w:val="0"/>
        <w:spacing w:line="440" w:lineRule="exact"/>
        <w:ind w:firstLine="480" w:firstLineChars="200"/>
        <w:rPr>
          <w:rFonts w:ascii="宋体" w:hAnsi="宋体" w:cs="宋体"/>
          <w:color w:val="auto"/>
          <w:sz w:val="24"/>
          <w:highlight w:val="none"/>
        </w:rPr>
      </w:pPr>
    </w:p>
    <w:p>
      <w:pPr>
        <w:adjustRightInd w:val="0"/>
        <w:snapToGrid w:val="0"/>
        <w:spacing w:line="440" w:lineRule="exact"/>
        <w:rPr>
          <w:rFonts w:ascii="宋体" w:hAnsi="宋体" w:cs="宋体"/>
          <w:color w:val="auto"/>
          <w:sz w:val="24"/>
          <w:highlight w:val="none"/>
        </w:rPr>
      </w:pPr>
    </w:p>
    <w:p>
      <w:pPr>
        <w:adjustRightInd w:val="0"/>
        <w:snapToGrid w:val="0"/>
        <w:spacing w:line="440" w:lineRule="exact"/>
        <w:rPr>
          <w:rFonts w:ascii="宋体" w:hAnsi="宋体" w:cs="宋体"/>
          <w:color w:val="auto"/>
          <w:sz w:val="24"/>
          <w:highlight w:val="none"/>
        </w:rPr>
      </w:pPr>
      <w:r>
        <w:rPr>
          <w:rFonts w:hint="eastAsia" w:ascii="宋体" w:hAnsi="宋体" w:cs="宋体"/>
          <w:color w:val="auto"/>
          <w:sz w:val="24"/>
          <w:highlight w:val="none"/>
        </w:rPr>
        <w:t>承诺人：供应商名称（</w:t>
      </w:r>
      <w:r>
        <w:rPr>
          <w:rFonts w:hint="eastAsia" w:hAnsi="宋体" w:cs="宋体"/>
          <w:color w:val="auto"/>
          <w:sz w:val="24"/>
          <w:szCs w:val="24"/>
          <w:highlight w:val="none"/>
        </w:rPr>
        <w:t>电子签章</w:t>
      </w:r>
      <w:r>
        <w:rPr>
          <w:rFonts w:hint="eastAsia" w:ascii="宋体" w:hAnsi="宋体" w:cs="宋体"/>
          <w:color w:val="auto"/>
          <w:sz w:val="24"/>
          <w:highlight w:val="none"/>
        </w:rPr>
        <w:t>）</w:t>
      </w:r>
    </w:p>
    <w:p>
      <w:pPr>
        <w:adjustRightInd w:val="0"/>
        <w:snapToGrid w:val="0"/>
        <w:spacing w:line="440" w:lineRule="exact"/>
        <w:rPr>
          <w:rFonts w:ascii="宋体" w:hAnsi="宋体" w:cs="宋体"/>
          <w:color w:val="auto"/>
          <w:sz w:val="24"/>
          <w:highlight w:val="none"/>
        </w:rPr>
      </w:pPr>
      <w:r>
        <w:rPr>
          <w:rFonts w:hint="eastAsia" w:ascii="宋体" w:hAnsi="宋体" w:cs="宋体"/>
          <w:color w:val="auto"/>
          <w:sz w:val="24"/>
          <w:highlight w:val="none"/>
        </w:rPr>
        <w:t xml:space="preserve">法定代表人：(电子签章)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w:t>
      </w:r>
    </w:p>
    <w:p>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年   月   日</w:t>
      </w:r>
    </w:p>
    <w:p>
      <w:pPr>
        <w:adjustRightInd w:val="0"/>
        <w:snapToGrid w:val="0"/>
        <w:spacing w:line="440" w:lineRule="exact"/>
        <w:jc w:val="center"/>
        <w:rPr>
          <w:rFonts w:ascii="宋体" w:hAnsi="宋体" w:cs="宋体"/>
          <w:color w:val="auto"/>
          <w:sz w:val="24"/>
          <w:highlight w:val="none"/>
        </w:rPr>
      </w:pPr>
    </w:p>
    <w:p>
      <w:pPr>
        <w:pStyle w:val="24"/>
        <w:adjustRightInd w:val="0"/>
        <w:snapToGrid w:val="0"/>
        <w:spacing w:after="0" w:line="440" w:lineRule="exact"/>
        <w:ind w:firstLine="240"/>
        <w:rPr>
          <w:rFonts w:ascii="宋体" w:hAnsi="宋体" w:cs="宋体"/>
          <w:color w:val="auto"/>
          <w:sz w:val="24"/>
          <w:highlight w:val="none"/>
        </w:rPr>
      </w:pPr>
    </w:p>
    <w:p>
      <w:pPr>
        <w:adjustRightInd w:val="0"/>
        <w:snapToGrid w:val="0"/>
        <w:spacing w:line="440" w:lineRule="exact"/>
        <w:rPr>
          <w:rFonts w:ascii="宋体" w:hAnsi="宋体" w:cs="宋体"/>
          <w:color w:val="auto"/>
          <w:sz w:val="24"/>
          <w:highlight w:val="none"/>
        </w:rPr>
      </w:pPr>
    </w:p>
    <w:p>
      <w:pPr>
        <w:pStyle w:val="70"/>
        <w:ind w:firstLine="496"/>
        <w:rPr>
          <w:rFonts w:ascii="宋体" w:hAnsi="宋体" w:cs="宋体"/>
          <w:color w:val="auto"/>
          <w:szCs w:val="24"/>
          <w:highlight w:val="none"/>
        </w:rPr>
      </w:pPr>
    </w:p>
    <w:p>
      <w:pPr>
        <w:pStyle w:val="70"/>
        <w:ind w:firstLine="496"/>
        <w:rPr>
          <w:rFonts w:ascii="宋体" w:hAnsi="宋体" w:cs="宋体"/>
          <w:color w:val="auto"/>
          <w:szCs w:val="24"/>
          <w:highlight w:val="none"/>
        </w:rPr>
      </w:pPr>
    </w:p>
    <w:p>
      <w:pPr>
        <w:pStyle w:val="70"/>
        <w:ind w:firstLine="496"/>
        <w:rPr>
          <w:rFonts w:ascii="宋体" w:hAnsi="宋体" w:cs="宋体"/>
          <w:color w:val="auto"/>
          <w:szCs w:val="24"/>
          <w:highlight w:val="none"/>
        </w:rPr>
      </w:pPr>
    </w:p>
    <w:p>
      <w:pPr>
        <w:pStyle w:val="70"/>
        <w:ind w:firstLine="496"/>
        <w:rPr>
          <w:rFonts w:ascii="宋体" w:hAnsi="宋体" w:cs="宋体"/>
          <w:color w:val="auto"/>
          <w:szCs w:val="24"/>
          <w:highlight w:val="none"/>
        </w:rPr>
      </w:pPr>
    </w:p>
    <w:p>
      <w:pPr>
        <w:pStyle w:val="70"/>
        <w:ind w:firstLine="496"/>
        <w:rPr>
          <w:rFonts w:ascii="宋体" w:hAnsi="宋体" w:cs="宋体"/>
          <w:color w:val="auto"/>
          <w:szCs w:val="24"/>
          <w:highlight w:val="none"/>
        </w:rPr>
      </w:pPr>
    </w:p>
    <w:p>
      <w:pPr>
        <w:pStyle w:val="70"/>
        <w:ind w:firstLine="496"/>
        <w:rPr>
          <w:rFonts w:ascii="宋体" w:hAnsi="宋体" w:cs="宋体"/>
          <w:color w:val="auto"/>
          <w:szCs w:val="24"/>
          <w:highlight w:val="none"/>
        </w:rPr>
      </w:pPr>
    </w:p>
    <w:p>
      <w:pPr>
        <w:pStyle w:val="70"/>
        <w:ind w:firstLine="496"/>
        <w:rPr>
          <w:rFonts w:ascii="宋体" w:hAnsi="宋体" w:cs="宋体"/>
          <w:color w:val="auto"/>
          <w:szCs w:val="24"/>
          <w:highlight w:val="none"/>
        </w:rPr>
      </w:pPr>
    </w:p>
    <w:p>
      <w:pPr>
        <w:pStyle w:val="70"/>
        <w:ind w:firstLine="496"/>
        <w:rPr>
          <w:rFonts w:ascii="宋体" w:hAnsi="宋体" w:cs="宋体"/>
          <w:color w:val="auto"/>
          <w:szCs w:val="24"/>
          <w:highlight w:val="none"/>
        </w:rPr>
      </w:pPr>
    </w:p>
    <w:p>
      <w:pPr>
        <w:pStyle w:val="70"/>
        <w:ind w:firstLine="496"/>
        <w:rPr>
          <w:rFonts w:ascii="宋体" w:hAnsi="宋体" w:cs="宋体"/>
          <w:color w:val="auto"/>
          <w:szCs w:val="24"/>
          <w:highlight w:val="none"/>
        </w:rPr>
      </w:pPr>
    </w:p>
    <w:p>
      <w:pPr>
        <w:pStyle w:val="70"/>
        <w:ind w:firstLine="496"/>
        <w:rPr>
          <w:rFonts w:ascii="宋体" w:hAnsi="宋体" w:cs="宋体"/>
          <w:color w:val="auto"/>
          <w:szCs w:val="24"/>
          <w:highlight w:val="none"/>
        </w:rPr>
      </w:pPr>
    </w:p>
    <w:p>
      <w:pPr>
        <w:rPr>
          <w:rFonts w:ascii="宋体" w:hAnsi="宋体" w:cs="宋体"/>
          <w:color w:val="auto"/>
          <w:sz w:val="24"/>
          <w:highlight w:val="none"/>
        </w:rPr>
      </w:pPr>
      <w:r>
        <w:rPr>
          <w:rFonts w:hint="eastAsia" w:ascii="宋体" w:hAnsi="宋体" w:cs="宋体"/>
          <w:color w:val="auto"/>
          <w:sz w:val="24"/>
          <w:highlight w:val="none"/>
        </w:rPr>
        <w:br w:type="page"/>
      </w:r>
    </w:p>
    <w:p>
      <w:pPr>
        <w:pStyle w:val="3"/>
        <w:bidi w:val="0"/>
        <w:rPr>
          <w:rFonts w:ascii="宋体" w:hAnsi="宋体"/>
          <w:color w:val="auto"/>
          <w:sz w:val="24"/>
          <w:szCs w:val="24"/>
          <w:highlight w:val="none"/>
        </w:rPr>
      </w:pPr>
      <w:bookmarkStart w:id="110" w:name="_Toc13352"/>
      <w:bookmarkStart w:id="111" w:name="_Toc17019"/>
      <w:bookmarkStart w:id="112" w:name="_Toc25923"/>
      <w:bookmarkStart w:id="113" w:name="_Toc6473"/>
      <w:r>
        <w:rPr>
          <w:rFonts w:hint="eastAsia"/>
          <w:b/>
          <w:bCs/>
          <w:color w:val="auto"/>
          <w:sz w:val="24"/>
          <w:szCs w:val="24"/>
          <w:highlight w:val="none"/>
        </w:rPr>
        <w:t>六、第</w:t>
      </w:r>
      <w:r>
        <w:rPr>
          <w:rFonts w:hint="eastAsia"/>
          <w:b/>
          <w:bCs/>
          <w:color w:val="auto"/>
          <w:sz w:val="24"/>
          <w:szCs w:val="24"/>
          <w:highlight w:val="none"/>
          <w:u w:val="single"/>
        </w:rPr>
        <w:t xml:space="preserve">  </w:t>
      </w:r>
      <w:r>
        <w:rPr>
          <w:rFonts w:hint="eastAsia"/>
          <w:b/>
          <w:bCs/>
          <w:color w:val="auto"/>
          <w:sz w:val="24"/>
          <w:szCs w:val="24"/>
          <w:highlight w:val="none"/>
          <w:u w:val="single"/>
          <w:lang w:val="en-US" w:eastAsia="zh-CN"/>
        </w:rPr>
        <w:t>一</w:t>
      </w:r>
      <w:r>
        <w:rPr>
          <w:rFonts w:hint="eastAsia"/>
          <w:b/>
          <w:bCs/>
          <w:color w:val="auto"/>
          <w:sz w:val="24"/>
          <w:szCs w:val="24"/>
          <w:highlight w:val="none"/>
          <w:u w:val="single"/>
        </w:rPr>
        <w:t xml:space="preserve">  </w:t>
      </w:r>
      <w:r>
        <w:rPr>
          <w:rFonts w:hint="eastAsia"/>
          <w:b/>
          <w:bCs/>
          <w:color w:val="auto"/>
          <w:sz w:val="24"/>
          <w:szCs w:val="24"/>
          <w:highlight w:val="none"/>
        </w:rPr>
        <w:t>轮报价一览表</w:t>
      </w:r>
      <w:bookmarkEnd w:id="110"/>
      <w:bookmarkEnd w:id="111"/>
      <w:bookmarkEnd w:id="112"/>
      <w:bookmarkEnd w:id="113"/>
    </w:p>
    <w:tbl>
      <w:tblPr>
        <w:tblStyle w:val="26"/>
        <w:tblpPr w:leftFromText="180" w:rightFromText="180" w:vertAnchor="text" w:horzAnchor="page" w:tblpX="1486" w:tblpY="506"/>
        <w:tblOverlap w:val="never"/>
        <w:tblW w:w="91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0"/>
        <w:gridCol w:w="7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080" w:type="dxa"/>
            <w:noWrap w:val="0"/>
            <w:vAlign w:val="center"/>
          </w:tcPr>
          <w:p>
            <w:pPr>
              <w:pStyle w:val="77"/>
              <w:ind w:firstLine="0"/>
              <w:jc w:val="center"/>
              <w:rPr>
                <w:rFonts w:hint="eastAsia" w:ascii="宋体" w:hAnsi="宋体" w:eastAsia="宋体"/>
                <w:color w:val="auto"/>
                <w:sz w:val="24"/>
                <w:szCs w:val="24"/>
                <w:highlight w:val="none"/>
              </w:rPr>
            </w:pPr>
            <w:bookmarkStart w:id="114" w:name="OLE_LINK5"/>
            <w:r>
              <w:rPr>
                <w:rFonts w:hint="eastAsia" w:ascii="宋体" w:hAnsi="宋体" w:eastAsia="宋体"/>
                <w:color w:val="auto"/>
                <w:sz w:val="24"/>
                <w:szCs w:val="24"/>
                <w:highlight w:val="none"/>
              </w:rPr>
              <w:t>单位名称</w:t>
            </w:r>
          </w:p>
        </w:tc>
        <w:tc>
          <w:tcPr>
            <w:tcW w:w="7072" w:type="dxa"/>
            <w:noWrap w:val="0"/>
            <w:vAlign w:val="center"/>
          </w:tcPr>
          <w:p>
            <w:pPr>
              <w:pStyle w:val="77"/>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                         （盖章）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2080" w:type="dxa"/>
            <w:noWrap w:val="0"/>
            <w:vAlign w:val="center"/>
          </w:tcPr>
          <w:p>
            <w:pPr>
              <w:pStyle w:val="77"/>
              <w:ind w:firstLine="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项目名称</w:t>
            </w:r>
          </w:p>
        </w:tc>
        <w:tc>
          <w:tcPr>
            <w:tcW w:w="7072" w:type="dxa"/>
            <w:noWrap w:val="0"/>
            <w:vAlign w:val="center"/>
          </w:tcPr>
          <w:p>
            <w:pPr>
              <w:pStyle w:val="77"/>
              <w:ind w:firstLine="0"/>
              <w:jc w:val="center"/>
              <w:rPr>
                <w:rFonts w:hint="eastAsia" w:ascii="宋体" w:hAnsi="宋体" w:eastAsia="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80" w:type="dxa"/>
            <w:noWrap w:val="0"/>
            <w:vAlign w:val="center"/>
          </w:tcPr>
          <w:p>
            <w:pPr>
              <w:pStyle w:val="77"/>
              <w:ind w:firstLine="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磋商总报价</w:t>
            </w:r>
          </w:p>
          <w:p>
            <w:pPr>
              <w:pStyle w:val="77"/>
              <w:ind w:firstLine="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（人民币） </w:t>
            </w:r>
          </w:p>
        </w:tc>
        <w:tc>
          <w:tcPr>
            <w:tcW w:w="7072" w:type="dxa"/>
            <w:noWrap w:val="0"/>
            <w:vAlign w:val="center"/>
          </w:tcPr>
          <w:p>
            <w:pPr>
              <w:pStyle w:val="77"/>
              <w:ind w:firstLine="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大写：</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rPr>
              <w:t xml:space="preserve">（元） </w:t>
            </w:r>
          </w:p>
          <w:p>
            <w:pPr>
              <w:pStyle w:val="77"/>
              <w:ind w:firstLine="0"/>
              <w:rPr>
                <w:rFonts w:hint="eastAsia" w:ascii="宋体" w:hAnsi="宋体" w:eastAsia="宋体"/>
                <w:color w:val="auto"/>
                <w:sz w:val="24"/>
                <w:szCs w:val="24"/>
                <w:highlight w:val="none"/>
                <w:u w:val="single"/>
              </w:rPr>
            </w:pPr>
            <w:r>
              <w:rPr>
                <w:rFonts w:hint="eastAsia" w:ascii="宋体" w:hAnsi="宋体" w:eastAsia="宋体"/>
                <w:color w:val="auto"/>
                <w:sz w:val="24"/>
                <w:szCs w:val="24"/>
                <w:highlight w:val="none"/>
              </w:rPr>
              <w:t>小写：</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80" w:type="dxa"/>
            <w:noWrap w:val="0"/>
            <w:vAlign w:val="center"/>
          </w:tcPr>
          <w:p>
            <w:pPr>
              <w:pStyle w:val="77"/>
              <w:ind w:firstLine="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人工费</w:t>
            </w:r>
          </w:p>
        </w:tc>
        <w:tc>
          <w:tcPr>
            <w:tcW w:w="7072" w:type="dxa"/>
            <w:noWrap w:val="0"/>
            <w:vAlign w:val="center"/>
          </w:tcPr>
          <w:p>
            <w:pPr>
              <w:pStyle w:val="77"/>
              <w:ind w:firstLine="0"/>
              <w:rPr>
                <w:rFonts w:hint="eastAsia" w:ascii="宋体" w:hAnsi="宋体" w:eastAsia="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80" w:type="dxa"/>
            <w:noWrap w:val="0"/>
            <w:vAlign w:val="center"/>
          </w:tcPr>
          <w:p>
            <w:pPr>
              <w:pStyle w:val="77"/>
              <w:ind w:firstLine="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合同履行期限</w:t>
            </w:r>
          </w:p>
        </w:tc>
        <w:tc>
          <w:tcPr>
            <w:tcW w:w="7072" w:type="dxa"/>
            <w:noWrap w:val="0"/>
            <w:vAlign w:val="center"/>
          </w:tcPr>
          <w:p>
            <w:pPr>
              <w:pStyle w:val="77"/>
              <w:ind w:firstLine="0"/>
              <w:rPr>
                <w:rFonts w:hint="eastAsia" w:ascii="宋体" w:hAnsi="宋体" w:eastAsia="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2080" w:type="dxa"/>
            <w:noWrap w:val="0"/>
            <w:vAlign w:val="center"/>
          </w:tcPr>
          <w:p>
            <w:pPr>
              <w:pStyle w:val="77"/>
              <w:ind w:firstLine="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磋商有效期</w:t>
            </w:r>
          </w:p>
        </w:tc>
        <w:tc>
          <w:tcPr>
            <w:tcW w:w="7072" w:type="dxa"/>
            <w:noWrap w:val="0"/>
            <w:vAlign w:val="center"/>
          </w:tcPr>
          <w:p>
            <w:pPr>
              <w:widowControl/>
              <w:jc w:val="left"/>
              <w:rPr>
                <w:rFonts w:ascii="宋体" w:hAnsi="宋体"/>
                <w:color w:val="auto"/>
                <w:kern w:val="0"/>
                <w:sz w:val="24"/>
                <w:highlight w:val="none"/>
              </w:rPr>
            </w:pPr>
          </w:p>
          <w:p>
            <w:pPr>
              <w:pStyle w:val="77"/>
              <w:ind w:firstLine="0"/>
              <w:rPr>
                <w:rFonts w:hint="eastAsia" w:ascii="宋体" w:hAnsi="宋体" w:eastAsia="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2080" w:type="dxa"/>
            <w:noWrap w:val="0"/>
            <w:vAlign w:val="center"/>
          </w:tcPr>
          <w:p>
            <w:pPr>
              <w:pStyle w:val="77"/>
              <w:ind w:firstLine="0"/>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备注</w:t>
            </w:r>
          </w:p>
        </w:tc>
        <w:tc>
          <w:tcPr>
            <w:tcW w:w="7072" w:type="dxa"/>
            <w:noWrap w:val="0"/>
            <w:vAlign w:val="center"/>
          </w:tcPr>
          <w:p>
            <w:pPr>
              <w:widowControl/>
              <w:jc w:val="left"/>
              <w:rPr>
                <w:rFonts w:ascii="宋体" w:hAnsi="宋体"/>
                <w:color w:val="auto"/>
                <w:kern w:val="0"/>
                <w:sz w:val="24"/>
                <w:highlight w:val="none"/>
              </w:rPr>
            </w:pPr>
          </w:p>
        </w:tc>
      </w:tr>
    </w:tbl>
    <w:p>
      <w:pPr>
        <w:widowControl/>
        <w:spacing w:line="560" w:lineRule="atLeast"/>
        <w:rPr>
          <w:rFonts w:hint="eastAsia" w:ascii="宋体" w:hAnsi="宋体"/>
          <w:bCs/>
          <w:color w:val="auto"/>
          <w:sz w:val="24"/>
          <w:highlight w:val="none"/>
        </w:rPr>
      </w:pPr>
      <w:r>
        <w:rPr>
          <w:rFonts w:hint="eastAsia" w:ascii="宋体" w:hAnsi="宋体"/>
          <w:bCs/>
          <w:color w:val="auto"/>
          <w:sz w:val="24"/>
          <w:highlight w:val="none"/>
        </w:rPr>
        <w:t>注：1、</w:t>
      </w:r>
      <w:r>
        <w:rPr>
          <w:rFonts w:hint="eastAsia" w:ascii="宋体" w:hAnsi="宋体"/>
          <w:bCs/>
          <w:color w:val="auto"/>
          <w:sz w:val="24"/>
          <w:highlight w:val="none"/>
          <w:lang w:eastAsia="zh-CN"/>
        </w:rPr>
        <w:t>供应商</w:t>
      </w:r>
      <w:r>
        <w:rPr>
          <w:rFonts w:hint="eastAsia" w:ascii="宋体" w:hAnsi="宋体"/>
          <w:bCs/>
          <w:color w:val="auto"/>
          <w:sz w:val="24"/>
          <w:highlight w:val="none"/>
        </w:rPr>
        <w:t>可根据实际情况自行添加表格内容；</w:t>
      </w:r>
    </w:p>
    <w:p>
      <w:pPr>
        <w:widowControl/>
        <w:spacing w:line="560" w:lineRule="atLeast"/>
        <w:ind w:firstLine="480" w:firstLineChars="200"/>
        <w:rPr>
          <w:rFonts w:hint="eastAsia" w:ascii="宋体" w:hAnsi="宋体"/>
          <w:bCs/>
          <w:color w:val="auto"/>
          <w:sz w:val="24"/>
          <w:highlight w:val="none"/>
        </w:rPr>
      </w:pPr>
      <w:r>
        <w:rPr>
          <w:rFonts w:hint="eastAsia" w:ascii="宋体" w:hAnsi="宋体"/>
          <w:bCs/>
          <w:color w:val="auto"/>
          <w:sz w:val="24"/>
          <w:highlight w:val="none"/>
        </w:rPr>
        <w:t>2、所有价格均应为人民币报价，金额单位为元。</w:t>
      </w:r>
    </w:p>
    <w:p>
      <w:pPr>
        <w:widowControl/>
        <w:spacing w:line="560" w:lineRule="atLeast"/>
        <w:ind w:firstLine="480" w:firstLineChars="200"/>
        <w:rPr>
          <w:rFonts w:hint="eastAsia" w:ascii="宋体" w:hAnsi="宋体"/>
          <w:b/>
          <w:bCs/>
          <w:color w:val="auto"/>
          <w:sz w:val="24"/>
          <w:highlight w:val="none"/>
        </w:rPr>
      </w:pPr>
      <w:r>
        <w:rPr>
          <w:rFonts w:hint="eastAsia" w:ascii="宋体" w:hAnsi="宋体"/>
          <w:b w:val="0"/>
          <w:bCs w:val="0"/>
          <w:color w:val="auto"/>
          <w:sz w:val="24"/>
          <w:highlight w:val="none"/>
          <w:lang w:val="en-US" w:eastAsia="zh-CN"/>
        </w:rPr>
        <w:t>3</w:t>
      </w:r>
      <w:r>
        <w:rPr>
          <w:rFonts w:hint="eastAsia" w:ascii="宋体" w:hAnsi="宋体"/>
          <w:b w:val="0"/>
          <w:bCs w:val="0"/>
          <w:color w:val="auto"/>
          <w:sz w:val="24"/>
          <w:highlight w:val="none"/>
        </w:rPr>
        <w:t>、响应性文件中报价为第一轮次报价，以后轮次报价</w:t>
      </w:r>
      <w:r>
        <w:rPr>
          <w:rFonts w:hint="eastAsia" w:ascii="宋体" w:hAnsi="宋体"/>
          <w:b w:val="0"/>
          <w:bCs w:val="0"/>
          <w:color w:val="auto"/>
          <w:sz w:val="24"/>
          <w:highlight w:val="none"/>
          <w:lang w:eastAsia="zh-CN"/>
        </w:rPr>
        <w:t>没有实质性改变</w:t>
      </w:r>
      <w:r>
        <w:rPr>
          <w:rFonts w:hint="eastAsia" w:ascii="宋体" w:hAnsi="宋体"/>
          <w:b w:val="0"/>
          <w:bCs w:val="0"/>
          <w:color w:val="auto"/>
          <w:sz w:val="24"/>
          <w:highlight w:val="none"/>
        </w:rPr>
        <w:t xml:space="preserve">不得高于上一轮次报价。 </w:t>
      </w:r>
      <w:r>
        <w:rPr>
          <w:rFonts w:hint="eastAsia" w:ascii="宋体" w:hAnsi="宋体"/>
          <w:b/>
          <w:bCs/>
          <w:color w:val="auto"/>
          <w:sz w:val="24"/>
          <w:highlight w:val="none"/>
        </w:rPr>
        <w:t xml:space="preserve">    </w:t>
      </w:r>
    </w:p>
    <w:bookmarkEnd w:id="114"/>
    <w:p>
      <w:pPr>
        <w:adjustRightInd w:val="0"/>
        <w:snapToGrid w:val="0"/>
        <w:spacing w:line="440" w:lineRule="exact"/>
        <w:ind w:firstLine="4320" w:firstLineChars="1800"/>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r>
        <w:rPr>
          <w:rFonts w:hint="eastAsia" w:ascii="宋体" w:hAnsi="宋体" w:cs="宋体"/>
          <w:color w:val="auto"/>
          <w:sz w:val="24"/>
          <w:highlight w:val="none"/>
        </w:rPr>
        <w:t xml:space="preserve"> 法定代表人或授权委托人（</w:t>
      </w:r>
      <w:r>
        <w:rPr>
          <w:rFonts w:hint="eastAsia" w:ascii="宋体" w:hAnsi="宋体" w:cs="宋体"/>
          <w:color w:val="auto"/>
          <w:sz w:val="24"/>
          <w:highlight w:val="none"/>
          <w:lang w:eastAsia="zh-CN"/>
        </w:rPr>
        <w:t>电子签章或签字</w:t>
      </w:r>
      <w:r>
        <w:rPr>
          <w:rFonts w:hint="eastAsia" w:ascii="宋体" w:hAnsi="宋体" w:cs="宋体"/>
          <w:color w:val="auto"/>
          <w:sz w:val="24"/>
          <w:highlight w:val="none"/>
        </w:rPr>
        <w:t xml:space="preserve">）: </w:t>
      </w:r>
    </w:p>
    <w:p>
      <w:pPr>
        <w:adjustRightInd w:val="0"/>
        <w:snapToGrid w:val="0"/>
        <w:spacing w:line="440" w:lineRule="exact"/>
        <w:ind w:firstLine="4320" w:firstLineChars="18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 xml:space="preserve">    </w:t>
      </w:r>
    </w:p>
    <w:p>
      <w:pPr>
        <w:adjustRightInd w:val="0"/>
        <w:snapToGrid w:val="0"/>
        <w:spacing w:line="440" w:lineRule="exact"/>
        <w:rPr>
          <w:rFonts w:ascii="宋体" w:hAnsi="宋体" w:cs="宋体"/>
          <w:color w:val="auto"/>
          <w:sz w:val="24"/>
          <w:highlight w:val="none"/>
        </w:rPr>
      </w:pPr>
      <w:r>
        <w:rPr>
          <w:rFonts w:hint="eastAsia" w:ascii="宋体" w:hAnsi="宋体" w:cs="宋体"/>
          <w:color w:val="auto"/>
          <w:sz w:val="24"/>
          <w:highlight w:val="none"/>
        </w:rPr>
        <w:t xml:space="preserve">年   月  日      </w:t>
      </w:r>
    </w:p>
    <w:p>
      <w:pPr>
        <w:pStyle w:val="3"/>
        <w:bidi w:val="0"/>
        <w:rPr>
          <w:rFonts w:hint="eastAsia"/>
          <w:b/>
          <w:bCs/>
          <w:color w:val="auto"/>
          <w:sz w:val="24"/>
          <w:szCs w:val="24"/>
          <w:highlight w:val="none"/>
        </w:rPr>
      </w:pPr>
      <w:bookmarkStart w:id="115" w:name="_Toc30728"/>
    </w:p>
    <w:p>
      <w:pPr>
        <w:pStyle w:val="3"/>
        <w:bidi w:val="0"/>
        <w:rPr>
          <w:rFonts w:hint="eastAsia"/>
          <w:b/>
          <w:bCs/>
          <w:color w:val="auto"/>
          <w:sz w:val="24"/>
          <w:szCs w:val="24"/>
          <w:highlight w:val="none"/>
        </w:rPr>
      </w:pPr>
    </w:p>
    <w:p>
      <w:pPr>
        <w:pStyle w:val="3"/>
        <w:bidi w:val="0"/>
        <w:rPr>
          <w:rFonts w:hint="eastAsia"/>
          <w:b/>
          <w:bCs/>
          <w:color w:val="auto"/>
          <w:sz w:val="24"/>
          <w:szCs w:val="24"/>
          <w:highlight w:val="none"/>
        </w:rPr>
      </w:pPr>
    </w:p>
    <w:p>
      <w:pPr>
        <w:pStyle w:val="3"/>
        <w:bidi w:val="0"/>
        <w:rPr>
          <w:rFonts w:hint="eastAsia"/>
          <w:b/>
          <w:bCs/>
          <w:color w:val="auto"/>
          <w:sz w:val="24"/>
          <w:szCs w:val="24"/>
          <w:highlight w:val="none"/>
        </w:rPr>
      </w:pPr>
    </w:p>
    <w:p>
      <w:pPr>
        <w:pStyle w:val="3"/>
        <w:bidi w:val="0"/>
        <w:rPr>
          <w:rFonts w:hint="eastAsia"/>
          <w:b/>
          <w:bCs/>
          <w:color w:val="auto"/>
          <w:sz w:val="24"/>
          <w:szCs w:val="24"/>
          <w:highlight w:val="none"/>
        </w:rPr>
      </w:pPr>
    </w:p>
    <w:p>
      <w:pPr>
        <w:pStyle w:val="3"/>
        <w:bidi w:val="0"/>
        <w:rPr>
          <w:rFonts w:hint="eastAsia"/>
          <w:b/>
          <w:bCs/>
          <w:color w:val="auto"/>
          <w:sz w:val="24"/>
          <w:szCs w:val="24"/>
          <w:highlight w:val="none"/>
        </w:rPr>
      </w:pPr>
    </w:p>
    <w:p>
      <w:pPr>
        <w:pStyle w:val="3"/>
        <w:bidi w:val="0"/>
        <w:rPr>
          <w:rFonts w:hint="eastAsia"/>
          <w:b/>
          <w:bCs/>
          <w:color w:val="auto"/>
          <w:sz w:val="24"/>
          <w:szCs w:val="24"/>
          <w:highlight w:val="none"/>
        </w:rPr>
      </w:pPr>
    </w:p>
    <w:p>
      <w:pPr>
        <w:rPr>
          <w:rFonts w:hint="eastAsia"/>
        </w:rPr>
      </w:pPr>
    </w:p>
    <w:p>
      <w:pPr>
        <w:rPr>
          <w:rFonts w:hint="eastAsia"/>
        </w:rPr>
      </w:pPr>
    </w:p>
    <w:p>
      <w:pPr>
        <w:pStyle w:val="3"/>
        <w:bidi w:val="0"/>
        <w:rPr>
          <w:rFonts w:hint="eastAsia" w:eastAsia="宋体"/>
          <w:b/>
          <w:bCs/>
          <w:color w:val="auto"/>
          <w:sz w:val="24"/>
          <w:szCs w:val="24"/>
          <w:highlight w:val="none"/>
          <w:lang w:eastAsia="zh-CN"/>
        </w:rPr>
      </w:pPr>
      <w:r>
        <w:rPr>
          <w:rFonts w:hint="eastAsia"/>
          <w:b/>
          <w:bCs/>
          <w:color w:val="auto"/>
          <w:sz w:val="24"/>
          <w:szCs w:val="24"/>
          <w:highlight w:val="none"/>
          <w:lang w:eastAsia="zh-CN"/>
        </w:rPr>
        <w:t>第</w:t>
      </w:r>
      <w:r>
        <w:rPr>
          <w:rFonts w:hint="eastAsia"/>
          <w:b/>
          <w:bCs/>
          <w:color w:val="auto"/>
          <w:sz w:val="24"/>
          <w:szCs w:val="24"/>
          <w:highlight w:val="none"/>
          <w:u w:val="single"/>
          <w:lang w:val="en-US" w:eastAsia="zh-CN"/>
        </w:rPr>
        <w:t xml:space="preserve">    二   </w:t>
      </w:r>
      <w:r>
        <w:rPr>
          <w:rFonts w:hint="eastAsia"/>
          <w:b/>
          <w:bCs/>
          <w:color w:val="auto"/>
          <w:sz w:val="24"/>
          <w:szCs w:val="24"/>
          <w:highlight w:val="none"/>
          <w:lang w:eastAsia="zh-CN"/>
        </w:rPr>
        <w:t>轮报价</w:t>
      </w:r>
    </w:p>
    <w:p>
      <w:pPr>
        <w:numPr>
          <w:ilvl w:val="0"/>
          <w:numId w:val="0"/>
        </w:numPr>
        <w:spacing w:before="30" w:line="228" w:lineRule="auto"/>
        <w:rPr>
          <w:rFonts w:hint="eastAsia" w:ascii="宋体" w:hAnsi="宋体" w:eastAsia="宋体" w:cs="宋体"/>
          <w:b/>
          <w:bCs/>
          <w:color w:val="auto"/>
          <w:spacing w:val="7"/>
          <w:sz w:val="21"/>
          <w:szCs w:val="21"/>
          <w:highlight w:val="none"/>
          <w:shd w:val="clear" w:color="auto" w:fill="auto"/>
          <w:lang w:val="en-US" w:eastAsia="zh-CN"/>
        </w:rPr>
      </w:pPr>
      <w:r>
        <w:rPr>
          <w:rFonts w:hint="eastAsia" w:ascii="宋体" w:hAnsi="宋体" w:cs="宋体"/>
          <w:b/>
          <w:bCs/>
          <w:color w:val="auto"/>
          <w:spacing w:val="7"/>
          <w:sz w:val="21"/>
          <w:szCs w:val="21"/>
          <w:highlight w:val="none"/>
          <w:shd w:val="clear" w:color="auto" w:fill="auto"/>
          <w:lang w:val="en-US" w:eastAsia="zh-CN"/>
        </w:rPr>
        <w:t>1、</w:t>
      </w:r>
      <w:r>
        <w:rPr>
          <w:rFonts w:hint="eastAsia" w:ascii="宋体" w:hAnsi="宋体" w:eastAsia="宋体" w:cs="宋体"/>
          <w:b/>
          <w:bCs/>
          <w:color w:val="auto"/>
          <w:spacing w:val="7"/>
          <w:sz w:val="21"/>
          <w:szCs w:val="21"/>
          <w:highlight w:val="none"/>
          <w:shd w:val="clear" w:color="auto" w:fill="auto"/>
          <w:lang w:val="en-US" w:eastAsia="zh-CN"/>
        </w:rPr>
        <w:t>磋商小组发起第二轮次报价后，供应商应该在规定时间（30分钟）内通过电子交易系统进行最后报价。</w:t>
      </w:r>
    </w:p>
    <w:p>
      <w:pPr>
        <w:numPr>
          <w:ilvl w:val="0"/>
          <w:numId w:val="0"/>
        </w:numPr>
        <w:spacing w:before="30" w:line="228" w:lineRule="auto"/>
        <w:rPr>
          <w:rFonts w:hint="eastAsia" w:ascii="宋体" w:hAnsi="宋体" w:eastAsia="宋体" w:cs="宋体"/>
          <w:b/>
          <w:bCs/>
          <w:color w:val="auto"/>
          <w:spacing w:val="7"/>
          <w:sz w:val="21"/>
          <w:szCs w:val="21"/>
          <w:highlight w:val="none"/>
          <w:shd w:val="clear" w:color="auto" w:fill="auto"/>
          <w:lang w:val="en-US" w:eastAsia="zh-CN"/>
        </w:rPr>
      </w:pPr>
      <w:r>
        <w:rPr>
          <w:rFonts w:hint="eastAsia" w:ascii="宋体" w:hAnsi="宋体" w:cs="宋体"/>
          <w:b/>
          <w:bCs/>
          <w:color w:val="auto"/>
          <w:spacing w:val="7"/>
          <w:sz w:val="21"/>
          <w:szCs w:val="21"/>
          <w:highlight w:val="none"/>
          <w:shd w:val="clear" w:color="auto" w:fill="auto"/>
          <w:lang w:val="en-US" w:eastAsia="zh-CN"/>
        </w:rPr>
        <w:t>2、</w:t>
      </w:r>
      <w:r>
        <w:rPr>
          <w:rFonts w:hint="eastAsia" w:ascii="宋体" w:hAnsi="宋体" w:eastAsia="宋体" w:cs="宋体"/>
          <w:b/>
          <w:bCs/>
          <w:color w:val="auto"/>
          <w:spacing w:val="7"/>
          <w:sz w:val="21"/>
          <w:szCs w:val="21"/>
          <w:highlight w:val="none"/>
          <w:shd w:val="clear" w:color="auto" w:fill="auto"/>
          <w:lang w:val="en-US" w:eastAsia="zh-CN"/>
        </w:rPr>
        <w:t>第二</w:t>
      </w:r>
      <w:r>
        <w:rPr>
          <w:rFonts w:ascii="宋体" w:hAnsi="宋体" w:eastAsia="宋体" w:cs="宋体"/>
          <w:b/>
          <w:bCs/>
          <w:color w:val="auto"/>
          <w:spacing w:val="7"/>
          <w:sz w:val="21"/>
          <w:szCs w:val="21"/>
          <w:highlight w:val="none"/>
          <w:shd w:val="clear" w:color="auto" w:fill="auto"/>
        </w:rPr>
        <w:t>轮次报价</w:t>
      </w:r>
      <w:r>
        <w:rPr>
          <w:rFonts w:hint="eastAsia" w:ascii="宋体" w:hAnsi="宋体" w:eastAsia="宋体" w:cs="宋体"/>
          <w:b/>
          <w:bCs/>
          <w:color w:val="auto"/>
          <w:spacing w:val="7"/>
          <w:sz w:val="21"/>
          <w:szCs w:val="21"/>
          <w:highlight w:val="none"/>
          <w:shd w:val="clear" w:color="auto" w:fill="auto"/>
          <w:lang w:val="en-US" w:eastAsia="zh-CN"/>
        </w:rPr>
        <w:t>没有实质性改变</w:t>
      </w:r>
      <w:r>
        <w:rPr>
          <w:rFonts w:ascii="宋体" w:hAnsi="宋体" w:eastAsia="宋体" w:cs="宋体"/>
          <w:b/>
          <w:bCs/>
          <w:color w:val="auto"/>
          <w:spacing w:val="7"/>
          <w:sz w:val="21"/>
          <w:szCs w:val="21"/>
          <w:highlight w:val="none"/>
          <w:shd w:val="clear" w:color="auto" w:fill="auto"/>
        </w:rPr>
        <w:t>不得高于</w:t>
      </w:r>
      <w:r>
        <w:rPr>
          <w:rFonts w:hint="eastAsia" w:ascii="宋体" w:hAnsi="宋体" w:eastAsia="宋体" w:cs="宋体"/>
          <w:b/>
          <w:bCs/>
          <w:color w:val="auto"/>
          <w:spacing w:val="7"/>
          <w:sz w:val="21"/>
          <w:szCs w:val="21"/>
          <w:highlight w:val="none"/>
          <w:shd w:val="clear" w:color="auto" w:fill="auto"/>
          <w:lang w:val="en-US" w:eastAsia="zh-CN"/>
        </w:rPr>
        <w:t>第</w:t>
      </w:r>
      <w:r>
        <w:rPr>
          <w:rFonts w:ascii="宋体" w:hAnsi="宋体" w:eastAsia="宋体" w:cs="宋体"/>
          <w:b/>
          <w:bCs/>
          <w:color w:val="auto"/>
          <w:spacing w:val="7"/>
          <w:sz w:val="21"/>
          <w:szCs w:val="21"/>
          <w:highlight w:val="none"/>
          <w:shd w:val="clear" w:color="auto" w:fill="auto"/>
        </w:rPr>
        <w:t>一轮次报价。</w:t>
      </w:r>
    </w:p>
    <w:p>
      <w:pPr>
        <w:spacing w:before="30" w:line="228" w:lineRule="auto"/>
        <w:ind w:left="22"/>
        <w:rPr>
          <w:rFonts w:hint="eastAsia" w:ascii="宋体" w:hAnsi="宋体" w:eastAsia="宋体" w:cs="宋体"/>
          <w:b/>
          <w:bCs/>
          <w:color w:val="auto"/>
          <w:spacing w:val="7"/>
          <w:sz w:val="21"/>
          <w:szCs w:val="21"/>
          <w:highlight w:val="none"/>
          <w:shd w:val="clear" w:color="auto" w:fill="auto"/>
          <w:lang w:val="en-US" w:eastAsia="zh-CN"/>
        </w:rPr>
      </w:pPr>
      <w:r>
        <w:rPr>
          <w:rFonts w:hint="eastAsia" w:ascii="宋体" w:hAnsi="宋体" w:eastAsia="宋体" w:cs="宋体"/>
          <w:b/>
          <w:bCs/>
          <w:color w:val="auto"/>
          <w:spacing w:val="7"/>
          <w:sz w:val="21"/>
          <w:szCs w:val="21"/>
          <w:highlight w:val="none"/>
          <w:shd w:val="clear" w:color="auto" w:fill="auto"/>
          <w:lang w:val="en-US" w:eastAsia="zh-CN"/>
        </w:rPr>
        <w:t>3、第二轮次报价可参照“第一轮次报价表”上传附件，也可在中标后提供符合磋商文件要求的</w:t>
      </w:r>
      <w:r>
        <w:rPr>
          <w:rFonts w:ascii="宋体" w:hAnsi="宋体" w:eastAsia="宋体" w:cs="宋体"/>
          <w:b/>
          <w:bCs/>
          <w:color w:val="auto"/>
          <w:spacing w:val="7"/>
          <w:sz w:val="21"/>
          <w:szCs w:val="21"/>
          <w:highlight w:val="none"/>
          <w:shd w:val="clear" w:color="auto" w:fill="auto"/>
        </w:rPr>
        <w:t>合同履行期限</w:t>
      </w:r>
      <w:r>
        <w:rPr>
          <w:rFonts w:hint="eastAsia" w:ascii="宋体" w:hAnsi="宋体" w:eastAsia="宋体" w:cs="宋体"/>
          <w:b/>
          <w:bCs/>
          <w:color w:val="auto"/>
          <w:spacing w:val="7"/>
          <w:sz w:val="21"/>
          <w:szCs w:val="21"/>
          <w:highlight w:val="none"/>
          <w:shd w:val="clear" w:color="auto" w:fill="auto"/>
          <w:lang w:eastAsia="zh-CN"/>
        </w:rPr>
        <w:t>、</w:t>
      </w:r>
      <w:r>
        <w:rPr>
          <w:rFonts w:ascii="宋体" w:hAnsi="宋体" w:eastAsia="宋体" w:cs="宋体"/>
          <w:b/>
          <w:bCs/>
          <w:color w:val="auto"/>
          <w:spacing w:val="7"/>
          <w:sz w:val="21"/>
          <w:szCs w:val="21"/>
          <w:highlight w:val="none"/>
          <w:shd w:val="clear" w:color="auto" w:fill="auto"/>
        </w:rPr>
        <w:t>磋商有效期</w:t>
      </w:r>
      <w:r>
        <w:rPr>
          <w:rFonts w:hint="eastAsia" w:ascii="宋体" w:hAnsi="宋体" w:eastAsia="宋体" w:cs="宋体"/>
          <w:b/>
          <w:bCs/>
          <w:color w:val="auto"/>
          <w:spacing w:val="7"/>
          <w:sz w:val="21"/>
          <w:szCs w:val="21"/>
          <w:highlight w:val="none"/>
          <w:shd w:val="clear" w:color="auto" w:fill="auto"/>
          <w:lang w:eastAsia="zh-CN"/>
        </w:rPr>
        <w:t>、</w:t>
      </w:r>
      <w:r>
        <w:rPr>
          <w:rFonts w:hint="eastAsia" w:ascii="宋体" w:hAnsi="宋体" w:eastAsia="宋体" w:cs="宋体"/>
          <w:b/>
          <w:bCs/>
          <w:color w:val="auto"/>
          <w:spacing w:val="7"/>
          <w:sz w:val="21"/>
          <w:szCs w:val="21"/>
          <w:highlight w:val="none"/>
          <w:shd w:val="clear" w:color="auto" w:fill="auto"/>
          <w:lang w:val="en-US" w:eastAsia="zh-CN"/>
        </w:rPr>
        <w:t>人工费等。</w:t>
      </w:r>
    </w:p>
    <w:p>
      <w:pPr>
        <w:spacing w:before="30" w:line="228" w:lineRule="auto"/>
        <w:ind w:left="22"/>
        <w:rPr>
          <w:rFonts w:hint="eastAsia" w:ascii="宋体" w:hAnsi="宋体" w:eastAsia="宋体" w:cs="宋体"/>
          <w:b/>
          <w:bCs/>
          <w:color w:val="auto"/>
          <w:spacing w:val="7"/>
          <w:sz w:val="21"/>
          <w:szCs w:val="21"/>
          <w:highlight w:val="none"/>
          <w:shd w:val="clear" w:color="auto" w:fill="auto"/>
          <w:lang w:val="en-US" w:eastAsia="zh-CN"/>
        </w:rPr>
      </w:pPr>
      <w:r>
        <w:rPr>
          <w:rFonts w:hint="eastAsia" w:ascii="宋体" w:hAnsi="宋体" w:eastAsia="宋体" w:cs="宋体"/>
          <w:b/>
          <w:bCs/>
          <w:color w:val="auto"/>
          <w:spacing w:val="7"/>
          <w:sz w:val="21"/>
          <w:szCs w:val="21"/>
          <w:highlight w:val="none"/>
          <w:shd w:val="clear" w:color="auto" w:fill="auto"/>
          <w:lang w:val="en-US" w:eastAsia="zh-CN"/>
        </w:rPr>
        <w:t>4、供应商中标后必须提供与最后报价一致的“报价明细表”。</w:t>
      </w:r>
    </w:p>
    <w:p>
      <w:pPr>
        <w:spacing w:before="30" w:line="228" w:lineRule="auto"/>
        <w:ind w:left="22"/>
        <w:rPr>
          <w:rFonts w:hint="eastAsia" w:ascii="宋体" w:hAnsi="宋体" w:eastAsia="宋体" w:cs="宋体"/>
          <w:b/>
          <w:bCs/>
          <w:color w:val="auto"/>
          <w:spacing w:val="7"/>
          <w:sz w:val="21"/>
          <w:szCs w:val="21"/>
          <w:highlight w:val="none"/>
          <w:shd w:val="clear" w:color="auto" w:fill="auto"/>
          <w:lang w:val="en-US" w:eastAsia="zh-CN"/>
        </w:rPr>
      </w:pPr>
    </w:p>
    <w:p>
      <w:pPr>
        <w:spacing w:before="30" w:line="228" w:lineRule="auto"/>
        <w:ind w:left="22"/>
        <w:rPr>
          <w:rFonts w:hint="eastAsia" w:ascii="宋体" w:hAnsi="宋体" w:eastAsia="宋体" w:cs="宋体"/>
          <w:b/>
          <w:bCs/>
          <w:color w:val="auto"/>
          <w:spacing w:val="7"/>
          <w:sz w:val="21"/>
          <w:szCs w:val="21"/>
          <w:highlight w:val="none"/>
          <w:shd w:val="clear" w:color="auto" w:fill="auto"/>
          <w:lang w:val="en-US" w:eastAsia="zh-CN"/>
        </w:rPr>
      </w:pPr>
    </w:p>
    <w:p>
      <w:pPr>
        <w:spacing w:before="30" w:line="228" w:lineRule="auto"/>
        <w:ind w:left="22"/>
        <w:rPr>
          <w:rFonts w:hint="eastAsia" w:ascii="宋体" w:hAnsi="宋体" w:eastAsia="宋体" w:cs="宋体"/>
          <w:b/>
          <w:bCs/>
          <w:color w:val="auto"/>
          <w:spacing w:val="7"/>
          <w:sz w:val="21"/>
          <w:szCs w:val="21"/>
          <w:highlight w:val="none"/>
          <w:shd w:val="clear" w:color="auto" w:fill="auto"/>
          <w:lang w:val="en-US" w:eastAsia="zh-CN"/>
        </w:rPr>
      </w:pPr>
    </w:p>
    <w:p>
      <w:pPr>
        <w:spacing w:before="30" w:line="228" w:lineRule="auto"/>
        <w:ind w:left="22"/>
        <w:rPr>
          <w:rFonts w:hint="eastAsia" w:ascii="宋体" w:hAnsi="宋体" w:eastAsia="宋体" w:cs="宋体"/>
          <w:b/>
          <w:bCs/>
          <w:color w:val="auto"/>
          <w:spacing w:val="7"/>
          <w:sz w:val="21"/>
          <w:szCs w:val="21"/>
          <w:highlight w:val="none"/>
          <w:shd w:val="clear" w:color="auto" w:fill="auto"/>
          <w:lang w:val="en-US" w:eastAsia="zh-CN"/>
        </w:rPr>
      </w:pPr>
    </w:p>
    <w:p>
      <w:pPr>
        <w:spacing w:before="41" w:line="227" w:lineRule="auto"/>
        <w:ind w:left="3129"/>
        <w:outlineLvl w:val="1"/>
        <w:rPr>
          <w:rFonts w:ascii="宋体" w:hAnsi="宋体" w:eastAsia="宋体" w:cs="宋体"/>
          <w:b/>
          <w:bCs/>
          <w:color w:val="auto"/>
          <w:spacing w:val="5"/>
          <w:sz w:val="22"/>
          <w:szCs w:val="22"/>
          <w:highlight w:val="none"/>
        </w:rPr>
      </w:pPr>
    </w:p>
    <w:p>
      <w:pPr>
        <w:pStyle w:val="3"/>
        <w:bidi w:val="0"/>
        <w:jc w:val="center"/>
        <w:rPr>
          <w:rFonts w:hint="eastAsia"/>
          <w:b/>
          <w:bCs/>
          <w:color w:val="auto"/>
          <w:szCs w:val="32"/>
          <w:highlight w:val="none"/>
        </w:rPr>
      </w:pPr>
      <w:r>
        <w:rPr>
          <w:rFonts w:hint="eastAsia"/>
          <w:b/>
          <w:bCs/>
          <w:color w:val="auto"/>
          <w:sz w:val="24"/>
          <w:szCs w:val="24"/>
          <w:highlight w:val="none"/>
        </w:rPr>
        <w:br w:type="page"/>
      </w:r>
      <w:bookmarkStart w:id="116" w:name="_Toc18102"/>
      <w:r>
        <w:rPr>
          <w:rFonts w:hint="eastAsia"/>
          <w:b/>
          <w:bCs/>
          <w:color w:val="auto"/>
          <w:sz w:val="24"/>
          <w:szCs w:val="24"/>
          <w:highlight w:val="none"/>
        </w:rPr>
        <w:t>七、已标价工程量清单</w:t>
      </w:r>
      <w:bookmarkEnd w:id="116"/>
    </w:p>
    <w:p>
      <w:pPr>
        <w:pStyle w:val="3"/>
        <w:bidi w:val="0"/>
        <w:rPr>
          <w:rFonts w:hint="eastAsia"/>
          <w:b/>
          <w:bCs/>
          <w:color w:val="auto"/>
          <w:szCs w:val="24"/>
          <w:highlight w:val="none"/>
        </w:rPr>
      </w:pPr>
      <w:r>
        <w:rPr>
          <w:rFonts w:hint="eastAsia"/>
          <w:b/>
          <w:bCs/>
          <w:color w:val="auto"/>
          <w:sz w:val="24"/>
          <w:szCs w:val="24"/>
          <w:highlight w:val="none"/>
        </w:rPr>
        <w:br w:type="page"/>
      </w:r>
      <w:bookmarkStart w:id="117" w:name="_Toc12088"/>
      <w:r>
        <w:rPr>
          <w:rFonts w:hint="eastAsia"/>
          <w:b/>
          <w:bCs/>
          <w:color w:val="auto"/>
          <w:sz w:val="24"/>
          <w:szCs w:val="24"/>
          <w:highlight w:val="none"/>
        </w:rPr>
        <w:t>八、服务响应表</w:t>
      </w:r>
      <w:bookmarkEnd w:id="117"/>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项目名称：                                     采购编号：</w:t>
      </w:r>
    </w:p>
    <w:tbl>
      <w:tblPr>
        <w:tblStyle w:val="26"/>
        <w:tblW w:w="8865" w:type="dxa"/>
        <w:tblInd w:w="9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3772"/>
        <w:gridCol w:w="750"/>
        <w:gridCol w:w="3600"/>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850" w:hRule="exact"/>
        </w:trPr>
        <w:tc>
          <w:tcPr>
            <w:tcW w:w="743"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3772"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磋商文件要求</w:t>
            </w:r>
          </w:p>
        </w:tc>
        <w:tc>
          <w:tcPr>
            <w:tcW w:w="750"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是否响应</w:t>
            </w:r>
          </w:p>
        </w:tc>
        <w:tc>
          <w:tcPr>
            <w:tcW w:w="3600" w:type="dxa"/>
            <w:tcBorders>
              <w:top w:val="single" w:color="000000" w:sz="4" w:space="0"/>
              <w:left w:val="single" w:color="000000" w:sz="4" w:space="0"/>
              <w:bottom w:val="single" w:color="auto" w:sz="4" w:space="0"/>
              <w:right w:val="single" w:color="000000" w:sz="4" w:space="0"/>
            </w:tcBorders>
            <w:noWrap w:val="0"/>
            <w:tcMar>
              <w:top w:w="0" w:type="dxa"/>
              <w:left w:w="108" w:type="dxa"/>
              <w:bottom w:w="0" w:type="dxa"/>
              <w:right w:w="108" w:type="dxa"/>
            </w:tcMar>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供应商的承诺或说明</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850" w:hRule="exact"/>
        </w:trPr>
        <w:tc>
          <w:tcPr>
            <w:tcW w:w="74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377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c>
          <w:tcPr>
            <w:tcW w:w="360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850" w:hRule="exact"/>
        </w:trPr>
        <w:tc>
          <w:tcPr>
            <w:tcW w:w="743"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3772"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7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c>
          <w:tcPr>
            <w:tcW w:w="360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850" w:hRule="exact"/>
        </w:trPr>
        <w:tc>
          <w:tcPr>
            <w:tcW w:w="743"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3772"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750"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c>
          <w:tcPr>
            <w:tcW w:w="3600" w:type="dxa"/>
            <w:tcBorders>
              <w:top w:val="single" w:color="auto"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850" w:hRule="exact"/>
        </w:trPr>
        <w:tc>
          <w:tcPr>
            <w:tcW w:w="7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37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7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c>
          <w:tcPr>
            <w:tcW w:w="36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850" w:hRule="exact"/>
        </w:trPr>
        <w:tc>
          <w:tcPr>
            <w:tcW w:w="7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37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7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c>
          <w:tcPr>
            <w:tcW w:w="36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850" w:hRule="exact"/>
        </w:trPr>
        <w:tc>
          <w:tcPr>
            <w:tcW w:w="7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37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7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c>
          <w:tcPr>
            <w:tcW w:w="36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850" w:hRule="exact"/>
        </w:trPr>
        <w:tc>
          <w:tcPr>
            <w:tcW w:w="74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77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napToGrid w:val="0"/>
              <w:spacing w:before="156" w:line="240" w:lineRule="exact"/>
              <w:jc w:val="center"/>
              <w:rPr>
                <w:rFonts w:hint="eastAsia" w:ascii="宋体" w:hAnsi="宋体" w:cs="宋体"/>
                <w:color w:val="auto"/>
                <w:sz w:val="24"/>
                <w:highlight w:val="none"/>
              </w:rPr>
            </w:pPr>
          </w:p>
        </w:tc>
        <w:tc>
          <w:tcPr>
            <w:tcW w:w="75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c>
          <w:tcPr>
            <w:tcW w:w="36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pPr>
              <w:autoSpaceDN w:val="0"/>
              <w:spacing w:line="240" w:lineRule="exact"/>
              <w:jc w:val="center"/>
              <w:textAlignment w:val="top"/>
              <w:rPr>
                <w:rFonts w:hint="eastAsia" w:ascii="宋体" w:hAnsi="宋体" w:cs="宋体"/>
                <w:color w:val="auto"/>
                <w:sz w:val="24"/>
                <w:highlight w:val="none"/>
              </w:rPr>
            </w:pPr>
          </w:p>
        </w:tc>
      </w:tr>
    </w:tbl>
    <w:p>
      <w:pPr>
        <w:rPr>
          <w:rFonts w:hint="eastAsia" w:ascii="宋体" w:hAnsi="宋体" w:cs="宋体"/>
          <w:color w:val="auto"/>
          <w:sz w:val="24"/>
          <w:highlight w:val="none"/>
        </w:rPr>
      </w:pPr>
    </w:p>
    <w:p>
      <w:pPr>
        <w:rPr>
          <w:rFonts w:hint="eastAsia" w:ascii="宋体" w:hAnsi="宋体" w:cs="宋体"/>
          <w:color w:val="auto"/>
          <w:sz w:val="24"/>
          <w:highlight w:val="none"/>
        </w:rPr>
      </w:pPr>
      <w:r>
        <w:rPr>
          <w:rFonts w:hint="eastAsia" w:ascii="宋体" w:hAnsi="宋体" w:cs="宋体"/>
          <w:color w:val="auto"/>
          <w:sz w:val="24"/>
          <w:highlight w:val="none"/>
        </w:rPr>
        <w:t>注：1、</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 xml:space="preserve">可根据实际情况自行添加表格内容。 </w:t>
      </w:r>
    </w:p>
    <w:p>
      <w:pPr>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eastAsia="zh-CN"/>
        </w:rPr>
        <w:t>供应商</w:t>
      </w:r>
      <w:r>
        <w:rPr>
          <w:rFonts w:hint="eastAsia" w:ascii="宋体" w:hAnsi="宋体" w:cs="宋体"/>
          <w:color w:val="auto"/>
          <w:sz w:val="24"/>
          <w:highlight w:val="none"/>
        </w:rPr>
        <w:t>必须完全响应</w:t>
      </w:r>
      <w:r>
        <w:rPr>
          <w:rFonts w:hint="eastAsia" w:ascii="宋体" w:hAnsi="宋体" w:cs="宋体"/>
          <w:color w:val="auto"/>
          <w:sz w:val="24"/>
          <w:highlight w:val="none"/>
          <w:lang w:eastAsia="zh-CN"/>
        </w:rPr>
        <w:t>竞争性磋商</w:t>
      </w:r>
      <w:r>
        <w:rPr>
          <w:rFonts w:hint="eastAsia" w:ascii="宋体" w:hAnsi="宋体" w:cs="宋体"/>
          <w:color w:val="auto"/>
          <w:sz w:val="24"/>
          <w:highlight w:val="none"/>
        </w:rPr>
        <w:t>文件服务要求，否则按无效标处理。</w:t>
      </w:r>
    </w:p>
    <w:p>
      <w:pPr>
        <w:spacing w:line="360" w:lineRule="auto"/>
        <w:rPr>
          <w:rFonts w:hint="eastAsia" w:ascii="宋体" w:hAnsi="宋体"/>
          <w:color w:val="auto"/>
          <w:sz w:val="24"/>
          <w:highlight w:val="none"/>
        </w:rPr>
      </w:pPr>
    </w:p>
    <w:p>
      <w:pPr>
        <w:widowControl/>
        <w:spacing w:line="520" w:lineRule="exact"/>
        <w:ind w:firstLine="360"/>
        <w:jc w:val="right"/>
        <w:rPr>
          <w:rFonts w:hint="eastAsia" w:ascii="宋体" w:hAnsi="宋体" w:cs="宋体"/>
          <w:color w:val="auto"/>
          <w:kern w:val="0"/>
          <w:sz w:val="24"/>
          <w:highlight w:val="none"/>
        </w:rPr>
      </w:pPr>
      <w:r>
        <w:rPr>
          <w:rFonts w:hint="eastAsia" w:ascii="宋体" w:hAnsi="宋体" w:cs="宋体"/>
          <w:color w:val="auto"/>
          <w:sz w:val="24"/>
          <w:highlight w:val="none"/>
          <w:lang w:eastAsia="zh-CN"/>
        </w:rPr>
        <w:t>供应商</w:t>
      </w:r>
      <w:r>
        <w:rPr>
          <w:rFonts w:hint="eastAsia" w:ascii="宋体" w:hAnsi="宋体" w:cs="宋体"/>
          <w:color w:val="auto"/>
          <w:kern w:val="0"/>
          <w:sz w:val="24"/>
          <w:highlight w:val="none"/>
        </w:rPr>
        <w:t xml:space="preserve">名称：（电子签章）    </w:t>
      </w:r>
    </w:p>
    <w:p>
      <w:pPr>
        <w:widowControl/>
        <w:spacing w:line="520" w:lineRule="exact"/>
        <w:ind w:firstLine="36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法定代表人：（电子签章）      </w:t>
      </w:r>
    </w:p>
    <w:p>
      <w:pPr>
        <w:widowControl/>
        <w:spacing w:line="520" w:lineRule="exact"/>
        <w:ind w:firstLine="36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年  月  日</w:t>
      </w:r>
      <w:bookmarkStart w:id="118" w:name="_Toc23552"/>
      <w:bookmarkStart w:id="119" w:name="_Toc10626"/>
    </w:p>
    <w:p>
      <w:pPr>
        <w:pStyle w:val="3"/>
        <w:bidi w:val="0"/>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br w:type="page"/>
      </w:r>
      <w:bookmarkStart w:id="120" w:name="_Toc18396"/>
      <w:r>
        <w:rPr>
          <w:rFonts w:hint="eastAsia"/>
          <w:b/>
          <w:bCs/>
          <w:color w:val="auto"/>
          <w:sz w:val="24"/>
          <w:szCs w:val="24"/>
          <w:highlight w:val="none"/>
          <w:lang w:val="en-US" w:eastAsia="zh-CN"/>
        </w:rPr>
        <w:t>九、</w:t>
      </w:r>
      <w:bookmarkEnd w:id="118"/>
      <w:bookmarkEnd w:id="119"/>
      <w:r>
        <w:rPr>
          <w:rFonts w:hint="eastAsia"/>
          <w:b/>
          <w:bCs/>
          <w:color w:val="auto"/>
          <w:sz w:val="24"/>
          <w:szCs w:val="24"/>
          <w:highlight w:val="none"/>
          <w:lang w:val="en-US" w:eastAsia="zh-CN"/>
        </w:rPr>
        <w:t>供应商资格文件</w:t>
      </w:r>
      <w:bookmarkEnd w:id="120"/>
    </w:p>
    <w:p>
      <w:pPr>
        <w:rPr>
          <w:rFonts w:hint="eastAsia" w:ascii="宋体" w:hAnsi="宋体" w:cs="宋体"/>
          <w:color w:val="auto"/>
          <w:sz w:val="24"/>
          <w:highlight w:val="none"/>
        </w:rPr>
      </w:pPr>
    </w:p>
    <w:p>
      <w:pPr>
        <w:numPr>
          <w:ilvl w:val="0"/>
          <w:numId w:val="0"/>
        </w:numPr>
        <w:spacing w:line="360" w:lineRule="auto"/>
        <w:ind w:left="479" w:leftChars="228" w:firstLine="0" w:firstLineChars="0"/>
        <w:rPr>
          <w:rFonts w:hint="eastAsia" w:ascii="宋体" w:hAnsi="宋体" w:eastAsia="宋体" w:cs="宋体"/>
          <w:sz w:val="24"/>
          <w:szCs w:val="32"/>
        </w:rPr>
      </w:pPr>
      <w:r>
        <w:rPr>
          <w:rFonts w:hint="eastAsia" w:ascii="宋体" w:hAnsi="宋体" w:eastAsia="宋体" w:cs="宋体"/>
          <w:kern w:val="2"/>
          <w:sz w:val="24"/>
          <w:szCs w:val="32"/>
          <w:lang w:val="en-US" w:eastAsia="zh-CN" w:bidi="ar-SA"/>
        </w:rPr>
        <w:t>1、</w:t>
      </w:r>
      <w:r>
        <w:rPr>
          <w:rFonts w:hint="eastAsia" w:ascii="宋体" w:hAnsi="宋体" w:eastAsia="宋体" w:cs="宋体"/>
          <w:sz w:val="24"/>
          <w:szCs w:val="32"/>
        </w:rPr>
        <w:t xml:space="preserve">沁阳市政府采购供应商资格信用承诺函（详见附件）。 </w:t>
      </w:r>
    </w:p>
    <w:p>
      <w:pPr>
        <w:numPr>
          <w:ilvl w:val="0"/>
          <w:numId w:val="0"/>
        </w:numPr>
        <w:spacing w:line="360" w:lineRule="auto"/>
        <w:ind w:left="479" w:leftChars="228" w:firstLine="0" w:firstLineChars="0"/>
        <w:rPr>
          <w:rFonts w:hint="eastAsia" w:ascii="宋体" w:hAnsi="宋体" w:eastAsia="宋体" w:cs="宋体"/>
          <w:sz w:val="24"/>
          <w:szCs w:val="32"/>
        </w:rPr>
      </w:pPr>
      <w:r>
        <w:rPr>
          <w:rFonts w:hint="eastAsia" w:ascii="宋体" w:hAnsi="宋体" w:eastAsia="宋体" w:cs="宋体"/>
          <w:kern w:val="2"/>
          <w:sz w:val="24"/>
          <w:szCs w:val="32"/>
          <w:lang w:val="en-US" w:eastAsia="zh-CN" w:bidi="ar-SA"/>
        </w:rPr>
        <w:t>2、</w:t>
      </w:r>
      <w:r>
        <w:rPr>
          <w:rFonts w:hint="eastAsia" w:ascii="宋体" w:hAnsi="宋体" w:eastAsia="宋体" w:cs="宋体"/>
          <w:sz w:val="24"/>
          <w:szCs w:val="32"/>
        </w:rPr>
        <w:t xml:space="preserve">提供中小企业声明函（详见格式），采购人根据供应商提供的《中小企业声明函》认定该供应商是否属于中小企业，监狱企业和残疾人福利性单位视同小型、微型企业。 </w:t>
      </w:r>
      <w:r>
        <w:rPr>
          <w:rFonts w:hint="eastAsia" w:ascii="宋体" w:hAnsi="宋体" w:eastAsia="宋体" w:cs="宋体"/>
          <w:sz w:val="24"/>
          <w:szCs w:val="32"/>
        </w:rPr>
        <w:br w:type="textWrapping"/>
      </w:r>
      <w:r>
        <w:rPr>
          <w:rFonts w:hint="eastAsia" w:ascii="宋体" w:hAnsi="宋体" w:eastAsia="宋体" w:cs="宋体"/>
          <w:sz w:val="24"/>
          <w:szCs w:val="32"/>
        </w:rPr>
        <w:t xml:space="preserve">3、供应商应具有建设行政主管部门颁发的建筑工程施工总承包三级及以上资质，且具备有效的安全生产许可证，并在人员、设备、资金等方面具备相应的施工能力； </w:t>
      </w:r>
      <w:r>
        <w:rPr>
          <w:rFonts w:hint="eastAsia" w:ascii="宋体" w:hAnsi="宋体" w:eastAsia="宋体" w:cs="宋体"/>
          <w:sz w:val="24"/>
          <w:szCs w:val="32"/>
        </w:rPr>
        <w:br w:type="textWrapping"/>
      </w:r>
      <w:r>
        <w:rPr>
          <w:rFonts w:hint="eastAsia" w:ascii="宋体" w:hAnsi="宋体" w:eastAsia="宋体" w:cs="宋体"/>
          <w:sz w:val="24"/>
          <w:szCs w:val="32"/>
        </w:rPr>
        <w:t xml:space="preserve">4、拟派项目经理要求：具有建筑工程专业二级及以上建造师资格（不含临时）及有效的安全生产考核合格证书（B证）；且未担任其他在建工程项目经理(提供无在建工程承诺函)。 </w:t>
      </w:r>
    </w:p>
    <w:p>
      <w:pPr>
        <w:numPr>
          <w:ilvl w:val="0"/>
          <w:numId w:val="0"/>
        </w:numPr>
        <w:spacing w:line="360" w:lineRule="auto"/>
        <w:ind w:left="479" w:leftChars="228" w:firstLine="0" w:firstLineChars="0"/>
        <w:rPr>
          <w:rFonts w:hint="eastAsia" w:ascii="宋体" w:hAnsi="宋体" w:eastAsia="宋体" w:cs="宋体"/>
          <w:sz w:val="24"/>
          <w:szCs w:val="32"/>
        </w:rPr>
      </w:pPr>
      <w:r>
        <w:rPr>
          <w:rFonts w:hint="eastAsia" w:ascii="宋体" w:hAnsi="宋体" w:eastAsia="宋体" w:cs="宋体"/>
          <w:sz w:val="24"/>
          <w:szCs w:val="32"/>
        </w:rPr>
        <w:t xml:space="preserve">注：本文件所指“在建项目”是指：项目尚未竣工或已中标未开工。如果“在建项目”项目经理有变更情况的，需在响应性文件中附变更证明材料，否则视为项目经理有“在建项目”； </w:t>
      </w:r>
      <w:r>
        <w:rPr>
          <w:rFonts w:hint="eastAsia" w:ascii="宋体" w:hAnsi="宋体" w:eastAsia="宋体" w:cs="宋体"/>
          <w:sz w:val="24"/>
          <w:szCs w:val="32"/>
        </w:rPr>
        <w:br w:type="textWrapping"/>
      </w:r>
      <w:r>
        <w:rPr>
          <w:rFonts w:hint="eastAsia" w:ascii="宋体" w:hAnsi="宋体" w:eastAsia="宋体" w:cs="宋体"/>
          <w:sz w:val="24"/>
          <w:szCs w:val="32"/>
        </w:rPr>
        <w:t xml:space="preserve">5、拟派项目技术负责人具有相关专业中级及以上职称；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6、按照《财政部关于在政府采购活动中查询及使用信用记录有关问题的通知》(财库〔2016〕125号)的要求，对列入失信被执行人、重大税收违法失信主体、政府采购严重违法失信行为记录 名单及其他不符合《中华人民共和国政府采购法》第二十二条规定条件的供应商，拒绝参与政府 采购活动，同时对信用信息查询记录和证据进行打印存档。查询渠道：失信被执行人和重大税收 违法失信主体(查询网址“信用中国”网站</w:t>
      </w: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"https://www.creditchina.gov.cn/" </w:instrText>
      </w:r>
      <w:r>
        <w:rPr>
          <w:rFonts w:hint="eastAsia" w:ascii="宋体" w:hAnsi="宋体" w:eastAsia="宋体" w:cs="宋体"/>
          <w:sz w:val="24"/>
          <w:szCs w:val="32"/>
        </w:rPr>
        <w:fldChar w:fldCharType="separate"/>
      </w:r>
      <w:r>
        <w:rPr>
          <w:rFonts w:hint="eastAsia" w:ascii="宋体" w:hAnsi="宋体" w:eastAsia="宋体" w:cs="宋体"/>
          <w:sz w:val="24"/>
          <w:szCs w:val="32"/>
        </w:rPr>
        <w:t>https://www.creditchina.gov.cn/</w:t>
      </w:r>
      <w:r>
        <w:rPr>
          <w:rFonts w:hint="eastAsia" w:ascii="宋体" w:hAnsi="宋体" w:eastAsia="宋体" w:cs="宋体"/>
          <w:sz w:val="24"/>
          <w:szCs w:val="32"/>
        </w:rPr>
        <w:fldChar w:fldCharType="end"/>
      </w:r>
      <w:r>
        <w:rPr>
          <w:rFonts w:hint="eastAsia" w:ascii="宋体" w:hAnsi="宋体" w:eastAsia="宋体" w:cs="宋体"/>
          <w:sz w:val="24"/>
          <w:szCs w:val="32"/>
        </w:rPr>
        <w:t>、“中国执行信息公 开网”网站</w:t>
      </w: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"http://zxgk.court.gov.cn/" </w:instrText>
      </w:r>
      <w:r>
        <w:rPr>
          <w:rFonts w:hint="eastAsia" w:ascii="宋体" w:hAnsi="宋体" w:eastAsia="宋体" w:cs="宋体"/>
          <w:sz w:val="24"/>
          <w:szCs w:val="32"/>
        </w:rPr>
        <w:fldChar w:fldCharType="separate"/>
      </w:r>
      <w:r>
        <w:rPr>
          <w:rFonts w:hint="eastAsia" w:ascii="宋体" w:hAnsi="宋体" w:eastAsia="宋体" w:cs="宋体"/>
          <w:sz w:val="24"/>
          <w:szCs w:val="32"/>
        </w:rPr>
        <w:t>https://zxgk.court.gov.cn/</w:t>
      </w:r>
      <w:r>
        <w:rPr>
          <w:rFonts w:hint="eastAsia" w:ascii="宋体" w:hAnsi="宋体" w:eastAsia="宋体" w:cs="宋体"/>
          <w:sz w:val="24"/>
          <w:szCs w:val="32"/>
        </w:rPr>
        <w:fldChar w:fldCharType="end"/>
      </w:r>
      <w:r>
        <w:rPr>
          <w:rFonts w:hint="eastAsia" w:ascii="宋体" w:hAnsi="宋体" w:eastAsia="宋体" w:cs="宋体"/>
          <w:sz w:val="24"/>
          <w:szCs w:val="32"/>
        </w:rPr>
        <w:t>)、政府采购严重违法失信行为记录名单(查询网址“中 国政府采购网”</w:t>
      </w:r>
      <w:r>
        <w:rPr>
          <w:rFonts w:hint="eastAsia" w:ascii="宋体" w:hAnsi="宋体" w:eastAsia="宋体" w:cs="宋体"/>
          <w:sz w:val="24"/>
          <w:szCs w:val="32"/>
        </w:rPr>
        <w:fldChar w:fldCharType="begin"/>
      </w:r>
      <w:r>
        <w:rPr>
          <w:rFonts w:hint="eastAsia" w:ascii="宋体" w:hAnsi="宋体" w:eastAsia="宋体" w:cs="宋体"/>
          <w:sz w:val="24"/>
          <w:szCs w:val="32"/>
        </w:rPr>
        <w:instrText xml:space="preserve"> HYPERLINK "https://www.ccgp.gov.cn/" </w:instrText>
      </w:r>
      <w:r>
        <w:rPr>
          <w:rFonts w:hint="eastAsia" w:ascii="宋体" w:hAnsi="宋体" w:eastAsia="宋体" w:cs="宋体"/>
          <w:sz w:val="24"/>
          <w:szCs w:val="32"/>
        </w:rPr>
        <w:fldChar w:fldCharType="separate"/>
      </w:r>
      <w:r>
        <w:rPr>
          <w:rFonts w:hint="eastAsia" w:ascii="宋体" w:hAnsi="宋体" w:eastAsia="宋体" w:cs="宋体"/>
          <w:sz w:val="24"/>
          <w:szCs w:val="32"/>
        </w:rPr>
        <w:t>网站(https://www.ccgp.gov.cn</w:t>
      </w:r>
      <w:r>
        <w:rPr>
          <w:rFonts w:hint="eastAsia" w:ascii="宋体" w:hAnsi="宋体" w:eastAsia="宋体" w:cs="宋体"/>
          <w:sz w:val="24"/>
          <w:szCs w:val="32"/>
        </w:rPr>
        <w:fldChar w:fldCharType="end"/>
      </w:r>
      <w:r>
        <w:rPr>
          <w:rFonts w:hint="eastAsia" w:ascii="宋体" w:hAnsi="宋体" w:eastAsia="宋体" w:cs="宋体"/>
          <w:sz w:val="24"/>
          <w:szCs w:val="32"/>
        </w:rPr>
        <w:t xml:space="preserve">)。（以采购人或采购代理机构提供磋商当日查询结果为准）；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 xml:space="preserve">7、供应商认为需要的其他资料。 </w:t>
      </w:r>
    </w:p>
    <w:p>
      <w:pPr>
        <w:spacing w:line="360" w:lineRule="auto"/>
        <w:ind w:firstLine="482" w:firstLineChars="200"/>
        <w:rPr>
          <w:rFonts w:hint="eastAsia" w:ascii="宋体" w:hAnsi="宋体" w:eastAsia="宋体" w:cs="宋体"/>
          <w:b/>
          <w:bCs/>
          <w:sz w:val="24"/>
          <w:szCs w:val="32"/>
        </w:rPr>
      </w:pPr>
      <w:r>
        <w:rPr>
          <w:rFonts w:hint="eastAsia" w:ascii="宋体" w:hAnsi="宋体" w:eastAsia="宋体" w:cs="宋体"/>
          <w:b/>
          <w:bCs/>
          <w:sz w:val="24"/>
          <w:szCs w:val="32"/>
        </w:rPr>
        <w:t xml:space="preserve">注：以上资料需提供原件扫描件。 </w:t>
      </w:r>
    </w:p>
    <w:p>
      <w:pPr>
        <w:spacing w:line="360" w:lineRule="auto"/>
        <w:ind w:firstLine="482" w:firstLineChars="200"/>
        <w:rPr>
          <w:rFonts w:hint="eastAsia" w:ascii="宋体" w:hAnsi="宋体" w:eastAsia="宋体" w:cs="宋体"/>
          <w:b/>
          <w:bCs/>
          <w:sz w:val="24"/>
          <w:szCs w:val="32"/>
        </w:rPr>
      </w:pPr>
      <w:r>
        <w:rPr>
          <w:rFonts w:hint="eastAsia" w:ascii="宋体" w:hAnsi="宋体" w:eastAsia="宋体" w:cs="宋体"/>
          <w:b/>
          <w:bCs/>
          <w:sz w:val="24"/>
          <w:szCs w:val="32"/>
        </w:rPr>
        <w:t xml:space="preserve">特别提醒：供应商在响应时，按照规定提供相关承诺函，无需再提供营业执照、财务状况报告、依法缴纳税收和社会保障资金、具有履行合同所必需的设备和专业技术能力、参加政府采购活动前三年内在经营活动中没有重大违法记录相关证明材料。 </w:t>
      </w:r>
    </w:p>
    <w:p>
      <w:pPr>
        <w:spacing w:line="360" w:lineRule="auto"/>
        <w:rPr>
          <w:rFonts w:hint="eastAsia" w:ascii="宋体" w:hAnsi="宋体" w:eastAsia="宋体" w:cs="宋体"/>
          <w:sz w:val="24"/>
          <w:szCs w:val="32"/>
        </w:rPr>
      </w:pPr>
    </w:p>
    <w:p>
      <w:pPr>
        <w:spacing w:line="360" w:lineRule="auto"/>
        <w:rPr>
          <w:rFonts w:hint="eastAsia" w:ascii="宋体" w:hAnsi="宋体" w:eastAsia="宋体" w:cs="宋体"/>
          <w:sz w:val="24"/>
          <w:szCs w:val="32"/>
          <w:lang w:val="en-US" w:eastAsia="zh-CN"/>
        </w:rPr>
      </w:pPr>
      <w:bookmarkStart w:id="121" w:name="_Toc12132"/>
    </w:p>
    <w:p>
      <w:pPr>
        <w:pStyle w:val="3"/>
        <w:bidi w:val="0"/>
        <w:jc w:val="center"/>
        <w:rPr>
          <w:rFonts w:hint="eastAsia"/>
          <w:b/>
          <w:bCs/>
          <w:color w:val="auto"/>
          <w:sz w:val="24"/>
          <w:szCs w:val="24"/>
          <w:highlight w:val="none"/>
          <w:lang w:val="en-US" w:eastAsia="zh-CN"/>
        </w:rPr>
      </w:pPr>
      <w:r>
        <w:rPr>
          <w:rFonts w:hint="eastAsia"/>
          <w:b/>
          <w:bCs/>
          <w:color w:val="auto"/>
          <w:sz w:val="24"/>
          <w:szCs w:val="24"/>
          <w:highlight w:val="none"/>
          <w:lang w:val="en-US" w:eastAsia="zh-CN"/>
        </w:rPr>
        <w:t>十、项目经理简介表</w:t>
      </w:r>
      <w:bookmarkEnd w:id="121"/>
    </w:p>
    <w:tbl>
      <w:tblPr>
        <w:tblStyle w:val="26"/>
        <w:tblpPr w:leftFromText="180" w:rightFromText="180" w:vertAnchor="text" w:horzAnchor="page" w:tblpX="1692" w:tblpY="346"/>
        <w:tblOverlap w:val="never"/>
        <w:tblW w:w="84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903"/>
        <w:gridCol w:w="552"/>
        <w:gridCol w:w="1657"/>
        <w:gridCol w:w="1243"/>
        <w:gridCol w:w="138"/>
        <w:gridCol w:w="1380"/>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1321"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姓名</w:t>
            </w:r>
          </w:p>
        </w:tc>
        <w:tc>
          <w:tcPr>
            <w:tcW w:w="1455" w:type="dxa"/>
            <w:gridSpan w:val="2"/>
            <w:noWrap w:val="0"/>
            <w:vAlign w:val="center"/>
          </w:tcPr>
          <w:p>
            <w:pPr>
              <w:jc w:val="center"/>
              <w:rPr>
                <w:rFonts w:hint="eastAsia" w:ascii="宋体" w:hAnsi="宋体" w:cs="宋体"/>
                <w:b/>
                <w:color w:val="auto"/>
                <w:sz w:val="24"/>
                <w:highlight w:val="none"/>
              </w:rPr>
            </w:pPr>
          </w:p>
        </w:tc>
        <w:tc>
          <w:tcPr>
            <w:tcW w:w="1657"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性别</w:t>
            </w:r>
          </w:p>
        </w:tc>
        <w:tc>
          <w:tcPr>
            <w:tcW w:w="1243" w:type="dxa"/>
            <w:noWrap w:val="0"/>
            <w:vAlign w:val="center"/>
          </w:tcPr>
          <w:p>
            <w:pPr>
              <w:jc w:val="center"/>
              <w:rPr>
                <w:rFonts w:hint="eastAsia" w:ascii="宋体" w:hAnsi="宋体" w:cs="宋体"/>
                <w:color w:val="auto"/>
                <w:sz w:val="24"/>
                <w:highlight w:val="none"/>
              </w:rPr>
            </w:pPr>
          </w:p>
        </w:tc>
        <w:tc>
          <w:tcPr>
            <w:tcW w:w="1518" w:type="dxa"/>
            <w:gridSpan w:val="2"/>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年龄</w:t>
            </w:r>
          </w:p>
        </w:tc>
        <w:tc>
          <w:tcPr>
            <w:tcW w:w="1243" w:type="dxa"/>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trPr>
        <w:tc>
          <w:tcPr>
            <w:tcW w:w="1321"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职务</w:t>
            </w:r>
          </w:p>
        </w:tc>
        <w:tc>
          <w:tcPr>
            <w:tcW w:w="1455" w:type="dxa"/>
            <w:gridSpan w:val="2"/>
            <w:noWrap w:val="0"/>
            <w:vAlign w:val="center"/>
          </w:tcPr>
          <w:p>
            <w:pPr>
              <w:jc w:val="center"/>
              <w:rPr>
                <w:rFonts w:hint="eastAsia" w:ascii="宋体" w:hAnsi="宋体" w:cs="宋体"/>
                <w:color w:val="auto"/>
                <w:sz w:val="24"/>
                <w:highlight w:val="none"/>
              </w:rPr>
            </w:pPr>
          </w:p>
        </w:tc>
        <w:tc>
          <w:tcPr>
            <w:tcW w:w="1657"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职称</w:t>
            </w:r>
          </w:p>
        </w:tc>
        <w:tc>
          <w:tcPr>
            <w:tcW w:w="1243" w:type="dxa"/>
            <w:noWrap w:val="0"/>
            <w:vAlign w:val="center"/>
          </w:tcPr>
          <w:p>
            <w:pPr>
              <w:jc w:val="center"/>
              <w:rPr>
                <w:rFonts w:hint="eastAsia" w:ascii="宋体" w:hAnsi="宋体" w:cs="宋体"/>
                <w:color w:val="auto"/>
                <w:sz w:val="24"/>
                <w:highlight w:val="none"/>
              </w:rPr>
            </w:pPr>
          </w:p>
        </w:tc>
        <w:tc>
          <w:tcPr>
            <w:tcW w:w="1518" w:type="dxa"/>
            <w:gridSpan w:val="2"/>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学历</w:t>
            </w:r>
          </w:p>
        </w:tc>
        <w:tc>
          <w:tcPr>
            <w:tcW w:w="1243" w:type="dxa"/>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2776" w:type="dxa"/>
            <w:gridSpan w:val="3"/>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参加工作时间</w:t>
            </w:r>
          </w:p>
        </w:tc>
        <w:tc>
          <w:tcPr>
            <w:tcW w:w="1657" w:type="dxa"/>
            <w:noWrap w:val="0"/>
            <w:vAlign w:val="center"/>
          </w:tcPr>
          <w:p>
            <w:pPr>
              <w:jc w:val="center"/>
              <w:rPr>
                <w:rFonts w:hint="eastAsia" w:ascii="宋体" w:hAnsi="宋体" w:cs="宋体"/>
                <w:color w:val="auto"/>
                <w:sz w:val="24"/>
                <w:highlight w:val="none"/>
              </w:rPr>
            </w:pPr>
          </w:p>
        </w:tc>
        <w:tc>
          <w:tcPr>
            <w:tcW w:w="2761" w:type="dxa"/>
            <w:gridSpan w:val="3"/>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从事本行业工作年限</w:t>
            </w:r>
          </w:p>
        </w:tc>
        <w:tc>
          <w:tcPr>
            <w:tcW w:w="1243" w:type="dxa"/>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trPr>
        <w:tc>
          <w:tcPr>
            <w:tcW w:w="2776" w:type="dxa"/>
            <w:gridSpan w:val="3"/>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拟担任职务或承担工作内容</w:t>
            </w:r>
          </w:p>
        </w:tc>
        <w:tc>
          <w:tcPr>
            <w:tcW w:w="5661" w:type="dxa"/>
            <w:gridSpan w:val="5"/>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2776" w:type="dxa"/>
            <w:gridSpan w:val="3"/>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职称（注册职业资格）</w:t>
            </w:r>
          </w:p>
        </w:tc>
        <w:tc>
          <w:tcPr>
            <w:tcW w:w="2900" w:type="dxa"/>
            <w:gridSpan w:val="2"/>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注册号</w:t>
            </w:r>
          </w:p>
        </w:tc>
        <w:tc>
          <w:tcPr>
            <w:tcW w:w="1518" w:type="dxa"/>
            <w:gridSpan w:val="2"/>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专业</w:t>
            </w:r>
          </w:p>
        </w:tc>
        <w:tc>
          <w:tcPr>
            <w:tcW w:w="1243"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颁发部门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3" w:hRule="atLeast"/>
        </w:trPr>
        <w:tc>
          <w:tcPr>
            <w:tcW w:w="2776" w:type="dxa"/>
            <w:gridSpan w:val="3"/>
            <w:noWrap w:val="0"/>
            <w:vAlign w:val="center"/>
          </w:tcPr>
          <w:p>
            <w:pPr>
              <w:jc w:val="center"/>
              <w:rPr>
                <w:rFonts w:hint="eastAsia" w:ascii="宋体" w:hAnsi="宋体" w:cs="宋体"/>
                <w:color w:val="auto"/>
                <w:sz w:val="24"/>
                <w:highlight w:val="none"/>
              </w:rPr>
            </w:pPr>
          </w:p>
        </w:tc>
        <w:tc>
          <w:tcPr>
            <w:tcW w:w="2900" w:type="dxa"/>
            <w:gridSpan w:val="2"/>
            <w:noWrap w:val="0"/>
            <w:vAlign w:val="center"/>
          </w:tcPr>
          <w:p>
            <w:pPr>
              <w:jc w:val="center"/>
              <w:rPr>
                <w:rFonts w:hint="eastAsia" w:ascii="宋体" w:hAnsi="宋体" w:cs="宋体"/>
                <w:color w:val="auto"/>
                <w:sz w:val="24"/>
                <w:highlight w:val="none"/>
              </w:rPr>
            </w:pPr>
          </w:p>
        </w:tc>
        <w:tc>
          <w:tcPr>
            <w:tcW w:w="1518" w:type="dxa"/>
            <w:gridSpan w:val="2"/>
            <w:noWrap w:val="0"/>
            <w:vAlign w:val="center"/>
          </w:tcPr>
          <w:p>
            <w:pPr>
              <w:jc w:val="center"/>
              <w:rPr>
                <w:rFonts w:hint="eastAsia" w:ascii="宋体" w:hAnsi="宋体" w:cs="宋体"/>
                <w:color w:val="auto"/>
                <w:sz w:val="24"/>
                <w:highlight w:val="none"/>
              </w:rPr>
            </w:pPr>
          </w:p>
        </w:tc>
        <w:tc>
          <w:tcPr>
            <w:tcW w:w="1243" w:type="dxa"/>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6" w:hRule="atLeast"/>
        </w:trPr>
        <w:tc>
          <w:tcPr>
            <w:tcW w:w="2776" w:type="dxa"/>
            <w:gridSpan w:val="3"/>
            <w:noWrap w:val="0"/>
            <w:vAlign w:val="center"/>
          </w:tcPr>
          <w:p>
            <w:pPr>
              <w:jc w:val="center"/>
              <w:rPr>
                <w:rFonts w:hint="eastAsia" w:ascii="宋体" w:hAnsi="宋体" w:cs="宋体"/>
                <w:color w:val="auto"/>
                <w:sz w:val="24"/>
                <w:highlight w:val="none"/>
              </w:rPr>
            </w:pPr>
          </w:p>
        </w:tc>
        <w:tc>
          <w:tcPr>
            <w:tcW w:w="2900" w:type="dxa"/>
            <w:gridSpan w:val="2"/>
            <w:noWrap w:val="0"/>
            <w:vAlign w:val="center"/>
          </w:tcPr>
          <w:p>
            <w:pPr>
              <w:rPr>
                <w:rFonts w:hint="eastAsia" w:ascii="宋体" w:hAnsi="宋体" w:cs="宋体"/>
                <w:color w:val="auto"/>
                <w:sz w:val="24"/>
                <w:highlight w:val="none"/>
              </w:rPr>
            </w:pPr>
          </w:p>
        </w:tc>
        <w:tc>
          <w:tcPr>
            <w:tcW w:w="1518" w:type="dxa"/>
            <w:gridSpan w:val="2"/>
            <w:noWrap w:val="0"/>
            <w:vAlign w:val="center"/>
          </w:tcPr>
          <w:p>
            <w:pPr>
              <w:jc w:val="center"/>
              <w:rPr>
                <w:rFonts w:hint="eastAsia" w:ascii="宋体" w:hAnsi="宋体" w:cs="宋体"/>
                <w:color w:val="auto"/>
                <w:sz w:val="24"/>
                <w:highlight w:val="none"/>
              </w:rPr>
            </w:pPr>
          </w:p>
        </w:tc>
        <w:tc>
          <w:tcPr>
            <w:tcW w:w="1243" w:type="dxa"/>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8437" w:type="dxa"/>
            <w:gridSpan w:val="8"/>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类似项目经验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trPr>
        <w:tc>
          <w:tcPr>
            <w:tcW w:w="2224" w:type="dxa"/>
            <w:gridSpan w:val="2"/>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用户单位</w:t>
            </w:r>
          </w:p>
        </w:tc>
        <w:tc>
          <w:tcPr>
            <w:tcW w:w="2209" w:type="dxa"/>
            <w:gridSpan w:val="2"/>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381" w:type="dxa"/>
            <w:gridSpan w:val="2"/>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项目区域</w:t>
            </w:r>
          </w:p>
        </w:tc>
        <w:tc>
          <w:tcPr>
            <w:tcW w:w="1380"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服务时间</w:t>
            </w:r>
          </w:p>
        </w:tc>
        <w:tc>
          <w:tcPr>
            <w:tcW w:w="1243" w:type="dxa"/>
            <w:noWrap w:val="0"/>
            <w:vAlign w:val="center"/>
          </w:tcPr>
          <w:p>
            <w:pPr>
              <w:jc w:val="center"/>
              <w:rPr>
                <w:rFonts w:hint="eastAsia" w:ascii="宋体" w:hAnsi="宋体" w:cs="宋体"/>
                <w:color w:val="auto"/>
                <w:sz w:val="24"/>
                <w:highlight w:val="none"/>
              </w:rPr>
            </w:pPr>
            <w:r>
              <w:rPr>
                <w:rFonts w:hint="eastAsia" w:ascii="宋体" w:hAnsi="宋体" w:cs="宋体"/>
                <w:color w:val="auto"/>
                <w:sz w:val="24"/>
                <w:highlight w:val="none"/>
              </w:rPr>
              <w:t>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1" w:hRule="atLeast"/>
        </w:trPr>
        <w:tc>
          <w:tcPr>
            <w:tcW w:w="2224" w:type="dxa"/>
            <w:gridSpan w:val="2"/>
            <w:noWrap w:val="0"/>
            <w:vAlign w:val="center"/>
          </w:tcPr>
          <w:p>
            <w:pPr>
              <w:jc w:val="center"/>
              <w:rPr>
                <w:rFonts w:hint="eastAsia" w:ascii="宋体" w:hAnsi="宋体" w:cs="宋体"/>
                <w:color w:val="auto"/>
                <w:sz w:val="24"/>
                <w:highlight w:val="none"/>
              </w:rPr>
            </w:pPr>
          </w:p>
        </w:tc>
        <w:tc>
          <w:tcPr>
            <w:tcW w:w="2209" w:type="dxa"/>
            <w:gridSpan w:val="2"/>
            <w:noWrap w:val="0"/>
            <w:vAlign w:val="center"/>
          </w:tcPr>
          <w:p>
            <w:pPr>
              <w:jc w:val="center"/>
              <w:rPr>
                <w:rFonts w:hint="eastAsia" w:ascii="宋体" w:hAnsi="宋体" w:cs="宋体"/>
                <w:color w:val="auto"/>
                <w:sz w:val="24"/>
                <w:highlight w:val="none"/>
              </w:rPr>
            </w:pPr>
          </w:p>
        </w:tc>
        <w:tc>
          <w:tcPr>
            <w:tcW w:w="1381" w:type="dxa"/>
            <w:gridSpan w:val="2"/>
            <w:noWrap w:val="0"/>
            <w:vAlign w:val="center"/>
          </w:tcPr>
          <w:p>
            <w:pPr>
              <w:jc w:val="center"/>
              <w:rPr>
                <w:rFonts w:hint="eastAsia" w:ascii="宋体" w:hAnsi="宋体" w:cs="宋体"/>
                <w:color w:val="auto"/>
                <w:sz w:val="24"/>
                <w:highlight w:val="none"/>
              </w:rPr>
            </w:pPr>
          </w:p>
        </w:tc>
        <w:tc>
          <w:tcPr>
            <w:tcW w:w="1380" w:type="dxa"/>
            <w:noWrap w:val="0"/>
            <w:vAlign w:val="center"/>
          </w:tcPr>
          <w:p>
            <w:pPr>
              <w:jc w:val="center"/>
              <w:rPr>
                <w:rFonts w:hint="eastAsia" w:ascii="宋体" w:hAnsi="宋体" w:cs="宋体"/>
                <w:color w:val="auto"/>
                <w:sz w:val="24"/>
                <w:highlight w:val="none"/>
              </w:rPr>
            </w:pPr>
          </w:p>
        </w:tc>
        <w:tc>
          <w:tcPr>
            <w:tcW w:w="1243" w:type="dxa"/>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1" w:hRule="atLeast"/>
        </w:trPr>
        <w:tc>
          <w:tcPr>
            <w:tcW w:w="2224" w:type="dxa"/>
            <w:gridSpan w:val="2"/>
            <w:noWrap w:val="0"/>
            <w:vAlign w:val="center"/>
          </w:tcPr>
          <w:p>
            <w:pPr>
              <w:jc w:val="center"/>
              <w:rPr>
                <w:rFonts w:hint="eastAsia" w:ascii="宋体" w:hAnsi="宋体" w:cs="宋体"/>
                <w:color w:val="auto"/>
                <w:sz w:val="24"/>
                <w:highlight w:val="none"/>
              </w:rPr>
            </w:pPr>
          </w:p>
        </w:tc>
        <w:tc>
          <w:tcPr>
            <w:tcW w:w="2209" w:type="dxa"/>
            <w:gridSpan w:val="2"/>
            <w:noWrap w:val="0"/>
            <w:vAlign w:val="center"/>
          </w:tcPr>
          <w:p>
            <w:pPr>
              <w:jc w:val="center"/>
              <w:rPr>
                <w:rFonts w:hint="eastAsia" w:ascii="宋体" w:hAnsi="宋体" w:cs="宋体"/>
                <w:color w:val="auto"/>
                <w:sz w:val="24"/>
                <w:highlight w:val="none"/>
              </w:rPr>
            </w:pPr>
          </w:p>
        </w:tc>
        <w:tc>
          <w:tcPr>
            <w:tcW w:w="1381" w:type="dxa"/>
            <w:gridSpan w:val="2"/>
            <w:noWrap w:val="0"/>
            <w:vAlign w:val="center"/>
          </w:tcPr>
          <w:p>
            <w:pPr>
              <w:jc w:val="center"/>
              <w:rPr>
                <w:rFonts w:hint="eastAsia" w:ascii="宋体" w:hAnsi="宋体" w:cs="宋体"/>
                <w:color w:val="auto"/>
                <w:sz w:val="24"/>
                <w:highlight w:val="none"/>
              </w:rPr>
            </w:pPr>
          </w:p>
        </w:tc>
        <w:tc>
          <w:tcPr>
            <w:tcW w:w="1380" w:type="dxa"/>
            <w:noWrap w:val="0"/>
            <w:vAlign w:val="center"/>
          </w:tcPr>
          <w:p>
            <w:pPr>
              <w:jc w:val="center"/>
              <w:rPr>
                <w:rFonts w:hint="eastAsia" w:ascii="宋体" w:hAnsi="宋体" w:cs="宋体"/>
                <w:color w:val="auto"/>
                <w:sz w:val="24"/>
                <w:highlight w:val="none"/>
              </w:rPr>
            </w:pPr>
          </w:p>
        </w:tc>
        <w:tc>
          <w:tcPr>
            <w:tcW w:w="1243" w:type="dxa"/>
            <w:noWrap w:val="0"/>
            <w:vAlign w:val="center"/>
          </w:tcPr>
          <w:p>
            <w:pPr>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1" w:hRule="atLeast"/>
        </w:trPr>
        <w:tc>
          <w:tcPr>
            <w:tcW w:w="2224" w:type="dxa"/>
            <w:gridSpan w:val="2"/>
            <w:noWrap w:val="0"/>
            <w:vAlign w:val="center"/>
          </w:tcPr>
          <w:p>
            <w:pPr>
              <w:jc w:val="center"/>
              <w:rPr>
                <w:rFonts w:hint="eastAsia" w:ascii="宋体" w:hAnsi="宋体" w:cs="宋体"/>
                <w:color w:val="auto"/>
                <w:sz w:val="24"/>
                <w:highlight w:val="none"/>
              </w:rPr>
            </w:pPr>
          </w:p>
        </w:tc>
        <w:tc>
          <w:tcPr>
            <w:tcW w:w="2209" w:type="dxa"/>
            <w:gridSpan w:val="2"/>
            <w:noWrap w:val="0"/>
            <w:vAlign w:val="center"/>
          </w:tcPr>
          <w:p>
            <w:pPr>
              <w:jc w:val="center"/>
              <w:rPr>
                <w:rFonts w:hint="eastAsia" w:ascii="宋体" w:hAnsi="宋体" w:cs="宋体"/>
                <w:color w:val="auto"/>
                <w:sz w:val="24"/>
                <w:highlight w:val="none"/>
              </w:rPr>
            </w:pPr>
          </w:p>
        </w:tc>
        <w:tc>
          <w:tcPr>
            <w:tcW w:w="1381" w:type="dxa"/>
            <w:gridSpan w:val="2"/>
            <w:noWrap w:val="0"/>
            <w:vAlign w:val="center"/>
          </w:tcPr>
          <w:p>
            <w:pPr>
              <w:jc w:val="center"/>
              <w:rPr>
                <w:rFonts w:hint="eastAsia" w:ascii="宋体" w:hAnsi="宋体" w:cs="宋体"/>
                <w:color w:val="auto"/>
                <w:sz w:val="24"/>
                <w:highlight w:val="none"/>
              </w:rPr>
            </w:pPr>
          </w:p>
        </w:tc>
        <w:tc>
          <w:tcPr>
            <w:tcW w:w="1380" w:type="dxa"/>
            <w:noWrap w:val="0"/>
            <w:vAlign w:val="center"/>
          </w:tcPr>
          <w:p>
            <w:pPr>
              <w:jc w:val="center"/>
              <w:rPr>
                <w:rFonts w:hint="eastAsia" w:ascii="宋体" w:hAnsi="宋体" w:cs="宋体"/>
                <w:color w:val="auto"/>
                <w:sz w:val="24"/>
                <w:highlight w:val="none"/>
              </w:rPr>
            </w:pPr>
          </w:p>
        </w:tc>
        <w:tc>
          <w:tcPr>
            <w:tcW w:w="1243" w:type="dxa"/>
            <w:noWrap w:val="0"/>
            <w:vAlign w:val="center"/>
          </w:tcPr>
          <w:p>
            <w:pPr>
              <w:jc w:val="center"/>
              <w:rPr>
                <w:rFonts w:hint="eastAsia" w:ascii="宋体" w:hAnsi="宋体" w:cs="宋体"/>
                <w:color w:val="auto"/>
                <w:sz w:val="24"/>
                <w:highlight w:val="none"/>
              </w:rPr>
            </w:pPr>
          </w:p>
        </w:tc>
      </w:tr>
    </w:tbl>
    <w:p>
      <w:pPr>
        <w:rPr>
          <w:rFonts w:hint="eastAsia" w:ascii="宋体" w:hAnsi="宋体"/>
          <w:color w:val="auto"/>
          <w:sz w:val="24"/>
          <w:highlight w:val="none"/>
        </w:rPr>
      </w:pPr>
    </w:p>
    <w:p>
      <w:pPr>
        <w:ind w:firstLine="240" w:firstLineChars="100"/>
        <w:rPr>
          <w:rFonts w:hint="eastAsia"/>
          <w:color w:val="auto"/>
          <w:sz w:val="24"/>
          <w:szCs w:val="24"/>
          <w:highlight w:val="none"/>
        </w:rPr>
      </w:pPr>
      <w:r>
        <w:rPr>
          <w:rFonts w:hint="eastAsia"/>
          <w:color w:val="auto"/>
          <w:sz w:val="24"/>
          <w:szCs w:val="24"/>
          <w:highlight w:val="none"/>
        </w:rPr>
        <w:t>附项目经理资格证书。</w:t>
      </w:r>
    </w:p>
    <w:p>
      <w:pPr>
        <w:widowControl/>
        <w:wordWrap w:val="0"/>
        <w:spacing w:line="520" w:lineRule="exact"/>
        <w:ind w:firstLine="36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sz w:val="24"/>
          <w:highlight w:val="none"/>
          <w:lang w:eastAsia="zh-CN"/>
        </w:rPr>
        <w:t>供应商</w:t>
      </w:r>
      <w:r>
        <w:rPr>
          <w:rFonts w:hint="eastAsia" w:ascii="宋体" w:hAnsi="宋体" w:cs="宋体"/>
          <w:color w:val="auto"/>
          <w:kern w:val="0"/>
          <w:sz w:val="24"/>
          <w:highlight w:val="none"/>
        </w:rPr>
        <w:t>名称：（电子签章）</w:t>
      </w:r>
    </w:p>
    <w:p>
      <w:pPr>
        <w:widowControl/>
        <w:spacing w:line="520" w:lineRule="exact"/>
        <w:ind w:firstLine="360"/>
        <w:jc w:val="right"/>
        <w:rPr>
          <w:rFonts w:ascii="宋体" w:hAnsi="宋体" w:cs="宋体"/>
          <w:color w:val="auto"/>
          <w:kern w:val="0"/>
          <w:sz w:val="24"/>
          <w:highlight w:val="none"/>
        </w:rPr>
      </w:pPr>
      <w:r>
        <w:rPr>
          <w:rFonts w:hint="eastAsia" w:ascii="宋体" w:hAnsi="宋体" w:cs="宋体"/>
          <w:color w:val="auto"/>
          <w:kern w:val="0"/>
          <w:sz w:val="24"/>
          <w:highlight w:val="none"/>
        </w:rPr>
        <w:t>法定代表人：（电子签章）</w:t>
      </w:r>
    </w:p>
    <w:p>
      <w:pPr>
        <w:widowControl/>
        <w:spacing w:line="520" w:lineRule="exact"/>
        <w:ind w:firstLine="360"/>
        <w:jc w:val="right"/>
        <w:rPr>
          <w:rFonts w:hint="eastAsia" w:ascii="宋体" w:hAnsi="宋体" w:cs="宋体"/>
          <w:color w:val="auto"/>
          <w:kern w:val="0"/>
          <w:sz w:val="24"/>
          <w:highlight w:val="none"/>
        </w:rPr>
      </w:pPr>
    </w:p>
    <w:p>
      <w:pPr>
        <w:widowControl/>
        <w:spacing w:line="520" w:lineRule="exact"/>
        <w:ind w:firstLine="36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年  月  日</w:t>
      </w:r>
    </w:p>
    <w:p>
      <w:pPr>
        <w:pStyle w:val="3"/>
        <w:bidi w:val="0"/>
        <w:rPr>
          <w:rFonts w:hint="eastAsia"/>
          <w:b/>
          <w:bCs/>
          <w:color w:val="auto"/>
          <w:sz w:val="24"/>
          <w:szCs w:val="24"/>
          <w:highlight w:val="none"/>
        </w:rPr>
      </w:pPr>
      <w:r>
        <w:rPr>
          <w:rFonts w:hint="eastAsia"/>
          <w:b/>
          <w:bCs/>
          <w:color w:val="auto"/>
          <w:sz w:val="24"/>
          <w:szCs w:val="24"/>
          <w:highlight w:val="none"/>
          <w:lang w:val="en-US" w:eastAsia="zh-CN"/>
        </w:rPr>
        <w:br w:type="page"/>
      </w:r>
      <w:bookmarkStart w:id="122" w:name="_Toc11425"/>
      <w:r>
        <w:rPr>
          <w:rFonts w:hint="eastAsia"/>
          <w:b/>
          <w:bCs/>
          <w:color w:val="auto"/>
          <w:sz w:val="24"/>
          <w:szCs w:val="24"/>
          <w:highlight w:val="none"/>
          <w:lang w:val="en-US" w:eastAsia="zh-CN"/>
        </w:rPr>
        <w:t>十一、拟投入本项目人员表</w:t>
      </w:r>
      <w:bookmarkEnd w:id="122"/>
    </w:p>
    <w:tbl>
      <w:tblPr>
        <w:tblStyle w:val="26"/>
        <w:tblpPr w:leftFromText="180" w:rightFromText="180" w:vertAnchor="text" w:horzAnchor="page" w:tblpX="1758" w:tblpY="988"/>
        <w:tblOverlap w:val="never"/>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015"/>
        <w:gridCol w:w="1083"/>
        <w:gridCol w:w="1083"/>
        <w:gridCol w:w="2597"/>
        <w:gridCol w:w="121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exact"/>
        </w:trPr>
        <w:tc>
          <w:tcPr>
            <w:tcW w:w="111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spacing w:line="30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职责分工</w:t>
            </w:r>
          </w:p>
        </w:tc>
        <w:tc>
          <w:tcPr>
            <w:tcW w:w="101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spacing w:line="30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姓名</w:t>
            </w:r>
          </w:p>
        </w:tc>
        <w:tc>
          <w:tcPr>
            <w:tcW w:w="1083" w:type="dxa"/>
            <w:tcBorders>
              <w:top w:val="single" w:color="auto" w:sz="4" w:space="0"/>
              <w:left w:val="single" w:color="auto" w:sz="4" w:space="0"/>
              <w:bottom w:val="single" w:color="auto" w:sz="4" w:space="0"/>
              <w:right w:val="single" w:color="auto" w:sz="4" w:space="0"/>
            </w:tcBorders>
            <w:shd w:val="clear" w:color="auto" w:fill="F3F3F3"/>
            <w:noWrap w:val="0"/>
            <w:vAlign w:val="top"/>
          </w:tcPr>
          <w:p>
            <w:pPr>
              <w:spacing w:line="300" w:lineRule="auto"/>
              <w:ind w:firstLine="240" w:firstLineChars="100"/>
              <w:jc w:val="both"/>
              <w:rPr>
                <w:rFonts w:hint="eastAsia" w:ascii="宋体" w:hAnsi="宋体" w:cs="宋体"/>
                <w:bCs/>
                <w:color w:val="auto"/>
                <w:sz w:val="24"/>
                <w:highlight w:val="none"/>
              </w:rPr>
            </w:pPr>
            <w:r>
              <w:rPr>
                <w:rFonts w:hint="eastAsia" w:ascii="宋体" w:hAnsi="宋体" w:cs="宋体"/>
                <w:bCs/>
                <w:color w:val="auto"/>
                <w:sz w:val="24"/>
                <w:highlight w:val="none"/>
              </w:rPr>
              <w:t>年龄</w:t>
            </w:r>
          </w:p>
        </w:tc>
        <w:tc>
          <w:tcPr>
            <w:tcW w:w="1083" w:type="dxa"/>
            <w:tcBorders>
              <w:top w:val="single" w:color="auto" w:sz="4" w:space="0"/>
              <w:left w:val="single" w:color="auto" w:sz="4" w:space="0"/>
              <w:bottom w:val="single" w:color="auto" w:sz="4" w:space="0"/>
            </w:tcBorders>
            <w:shd w:val="clear" w:color="auto" w:fill="F3F3F3"/>
            <w:noWrap w:val="0"/>
            <w:vAlign w:val="center"/>
          </w:tcPr>
          <w:p>
            <w:pPr>
              <w:spacing w:line="30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现职务</w:t>
            </w:r>
          </w:p>
        </w:tc>
        <w:tc>
          <w:tcPr>
            <w:tcW w:w="2597" w:type="dxa"/>
            <w:tcBorders>
              <w:top w:val="single" w:color="auto" w:sz="4" w:space="0"/>
              <w:bottom w:val="single" w:color="auto" w:sz="4" w:space="0"/>
            </w:tcBorders>
            <w:shd w:val="clear" w:color="auto" w:fill="F3F3F3"/>
            <w:noWrap w:val="0"/>
            <w:vAlign w:val="center"/>
          </w:tcPr>
          <w:p>
            <w:pPr>
              <w:spacing w:line="30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曾主持/参与的</w:t>
            </w:r>
          </w:p>
          <w:p>
            <w:pPr>
              <w:spacing w:line="30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同类项目经历</w:t>
            </w:r>
          </w:p>
        </w:tc>
        <w:tc>
          <w:tcPr>
            <w:tcW w:w="1218" w:type="dxa"/>
            <w:tcBorders>
              <w:top w:val="single" w:color="auto" w:sz="4" w:space="0"/>
              <w:bottom w:val="single" w:color="auto" w:sz="4" w:space="0"/>
            </w:tcBorders>
            <w:shd w:val="clear" w:color="auto" w:fill="F3F3F3"/>
            <w:noWrap w:val="0"/>
            <w:vAlign w:val="center"/>
          </w:tcPr>
          <w:p>
            <w:pPr>
              <w:spacing w:line="300" w:lineRule="auto"/>
              <w:jc w:val="center"/>
              <w:rPr>
                <w:rFonts w:hint="eastAsia" w:ascii="宋体" w:hAnsi="宋体" w:cs="宋体"/>
                <w:bCs/>
                <w:color w:val="auto"/>
                <w:sz w:val="24"/>
                <w:highlight w:val="none"/>
              </w:rPr>
            </w:pPr>
            <w:r>
              <w:rPr>
                <w:rFonts w:hint="eastAsia" w:ascii="宋体" w:hAnsi="宋体" w:cs="宋体"/>
                <w:bCs/>
                <w:color w:val="auto"/>
                <w:sz w:val="24"/>
                <w:highlight w:val="none"/>
              </w:rPr>
              <w:t>职称</w:t>
            </w:r>
          </w:p>
        </w:tc>
        <w:tc>
          <w:tcPr>
            <w:tcW w:w="947" w:type="dxa"/>
            <w:tcBorders>
              <w:top w:val="single" w:color="auto" w:sz="4" w:space="0"/>
              <w:bottom w:val="single" w:color="auto" w:sz="4" w:space="0"/>
              <w:right w:val="single" w:color="auto" w:sz="4" w:space="0"/>
            </w:tcBorders>
            <w:shd w:val="clear" w:color="auto" w:fill="F3F3F3"/>
            <w:noWrap w:val="0"/>
            <w:vAlign w:val="center"/>
          </w:tcPr>
          <w:p>
            <w:pPr>
              <w:spacing w:line="300" w:lineRule="auto"/>
              <w:ind w:firstLine="12"/>
              <w:jc w:val="center"/>
              <w:rPr>
                <w:rFonts w:hint="eastAsia" w:ascii="宋体" w:hAnsi="宋体" w:cs="宋体"/>
                <w:bCs/>
                <w:color w:val="auto"/>
                <w:sz w:val="24"/>
                <w:highlight w:val="none"/>
              </w:rPr>
            </w:pPr>
            <w:r>
              <w:rPr>
                <w:rFonts w:hint="eastAsia" w:ascii="宋体" w:hAnsi="宋体" w:cs="宋体"/>
                <w:bCs/>
                <w:color w:val="auto"/>
                <w:sz w:val="24"/>
                <w:highlight w:val="none"/>
              </w:rPr>
              <w:t>专业</w:t>
            </w:r>
          </w:p>
          <w:p>
            <w:pPr>
              <w:spacing w:line="300" w:lineRule="auto"/>
              <w:ind w:firstLine="12"/>
              <w:jc w:val="center"/>
              <w:rPr>
                <w:rFonts w:hint="eastAsia" w:ascii="宋体" w:hAnsi="宋体" w:cs="宋体"/>
                <w:bCs/>
                <w:color w:val="auto"/>
                <w:sz w:val="24"/>
                <w:highlight w:val="none"/>
              </w:rPr>
            </w:pPr>
            <w:r>
              <w:rPr>
                <w:rFonts w:hint="eastAsia" w:ascii="宋体" w:hAnsi="宋体" w:cs="宋体"/>
                <w:bCs/>
                <w:color w:val="auto"/>
                <w:sz w:val="24"/>
                <w:highlight w:val="none"/>
              </w:rPr>
              <w:t>工龄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exact"/>
        </w:trPr>
        <w:tc>
          <w:tcPr>
            <w:tcW w:w="11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2597"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218"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947" w:type="dxa"/>
            <w:tcBorders>
              <w:top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exact"/>
        </w:trPr>
        <w:tc>
          <w:tcPr>
            <w:tcW w:w="11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2597"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218"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947" w:type="dxa"/>
            <w:tcBorders>
              <w:top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exact"/>
        </w:trPr>
        <w:tc>
          <w:tcPr>
            <w:tcW w:w="11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2597"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218"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947" w:type="dxa"/>
            <w:tcBorders>
              <w:top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exact"/>
        </w:trPr>
        <w:tc>
          <w:tcPr>
            <w:tcW w:w="11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2597"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218"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947" w:type="dxa"/>
            <w:tcBorders>
              <w:top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exact"/>
        </w:trPr>
        <w:tc>
          <w:tcPr>
            <w:tcW w:w="11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2597"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218"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947" w:type="dxa"/>
            <w:tcBorders>
              <w:top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exact"/>
        </w:trPr>
        <w:tc>
          <w:tcPr>
            <w:tcW w:w="11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2597"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218"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947" w:type="dxa"/>
            <w:tcBorders>
              <w:top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1" w:hRule="exact"/>
        </w:trPr>
        <w:tc>
          <w:tcPr>
            <w:tcW w:w="1118"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1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spacing w:line="300" w:lineRule="auto"/>
              <w:jc w:val="center"/>
              <w:rPr>
                <w:rFonts w:hint="eastAsia" w:ascii="宋体" w:hAnsi="宋体" w:cs="宋体"/>
                <w:color w:val="auto"/>
                <w:sz w:val="24"/>
                <w:highlight w:val="none"/>
              </w:rPr>
            </w:pPr>
          </w:p>
        </w:tc>
        <w:tc>
          <w:tcPr>
            <w:tcW w:w="1083" w:type="dxa"/>
            <w:tcBorders>
              <w:top w:val="single" w:color="auto" w:sz="4" w:space="0"/>
              <w:left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2597"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1218" w:type="dxa"/>
            <w:tcBorders>
              <w:top w:val="single" w:color="auto" w:sz="4" w:space="0"/>
              <w:bottom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c>
          <w:tcPr>
            <w:tcW w:w="947" w:type="dxa"/>
            <w:tcBorders>
              <w:top w:val="single" w:color="auto" w:sz="4" w:space="0"/>
              <w:bottom w:val="single" w:color="auto" w:sz="4" w:space="0"/>
              <w:right w:val="single" w:color="auto" w:sz="4" w:space="0"/>
            </w:tcBorders>
            <w:shd w:val="clear" w:color="auto" w:fill="FFFFFF"/>
            <w:noWrap w:val="0"/>
            <w:vAlign w:val="center"/>
          </w:tcPr>
          <w:p>
            <w:pPr>
              <w:spacing w:line="300" w:lineRule="auto"/>
              <w:jc w:val="center"/>
              <w:rPr>
                <w:rFonts w:hint="eastAsia" w:ascii="宋体" w:hAnsi="宋体" w:cs="宋体"/>
                <w:color w:val="auto"/>
                <w:sz w:val="24"/>
                <w:highlight w:val="none"/>
              </w:rPr>
            </w:pPr>
          </w:p>
        </w:tc>
      </w:tr>
    </w:tbl>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注：1、提供拟投入人员的培训资格证书（原件扫描件）等证明材料。</w:t>
      </w:r>
    </w:p>
    <w:p>
      <w:pPr>
        <w:spacing w:line="360" w:lineRule="auto"/>
        <w:ind w:firstLine="480" w:firstLineChars="200"/>
        <w:outlineLvl w:val="2"/>
        <w:rPr>
          <w:rFonts w:ascii="宋体" w:hAnsi="宋体" w:cs="宋体"/>
          <w:color w:val="auto"/>
          <w:sz w:val="24"/>
          <w:highlight w:val="none"/>
        </w:rPr>
      </w:pPr>
      <w:r>
        <w:rPr>
          <w:rFonts w:hint="eastAsia" w:ascii="宋体" w:hAnsi="宋体" w:cs="宋体"/>
          <w:color w:val="auto"/>
          <w:sz w:val="24"/>
          <w:highlight w:val="none"/>
        </w:rPr>
        <w:t>2、所设栏目不够可自行添加。</w:t>
      </w:r>
    </w:p>
    <w:p>
      <w:pPr>
        <w:spacing w:line="360" w:lineRule="auto"/>
        <w:rPr>
          <w:rFonts w:hint="eastAsia" w:ascii="宋体" w:hAnsi="宋体"/>
          <w:color w:val="auto"/>
          <w:sz w:val="24"/>
          <w:highlight w:val="none"/>
        </w:rPr>
      </w:pPr>
    </w:p>
    <w:p>
      <w:pPr>
        <w:widowControl/>
        <w:wordWrap w:val="0"/>
        <w:spacing w:line="520" w:lineRule="exact"/>
        <w:ind w:firstLine="360"/>
        <w:jc w:val="right"/>
        <w:rPr>
          <w:rFonts w:hint="eastAsia" w:ascii="宋体" w:hAnsi="宋体" w:cs="宋体"/>
          <w:color w:val="auto"/>
          <w:kern w:val="0"/>
          <w:sz w:val="24"/>
          <w:highlight w:val="none"/>
        </w:rPr>
      </w:pPr>
      <w:r>
        <w:rPr>
          <w:rFonts w:hint="eastAsia" w:ascii="宋体" w:hAnsi="宋体" w:cs="宋体"/>
          <w:color w:val="auto"/>
          <w:sz w:val="24"/>
          <w:highlight w:val="none"/>
          <w:lang w:eastAsia="zh-CN"/>
        </w:rPr>
        <w:t>供应商</w:t>
      </w:r>
      <w:r>
        <w:rPr>
          <w:rFonts w:hint="eastAsia" w:ascii="宋体" w:hAnsi="宋体" w:cs="宋体"/>
          <w:color w:val="auto"/>
          <w:kern w:val="0"/>
          <w:sz w:val="24"/>
          <w:highlight w:val="none"/>
        </w:rPr>
        <w:t>名称：（电子签章）</w:t>
      </w:r>
    </w:p>
    <w:p>
      <w:pPr>
        <w:widowControl/>
        <w:wordWrap w:val="0"/>
        <w:spacing w:line="520" w:lineRule="exact"/>
        <w:ind w:firstLine="360"/>
        <w:jc w:val="right"/>
        <w:rPr>
          <w:rFonts w:hint="eastAsia" w:ascii="宋体" w:hAnsi="宋体" w:cs="宋体"/>
          <w:color w:val="auto"/>
          <w:kern w:val="0"/>
          <w:sz w:val="24"/>
          <w:highlight w:val="none"/>
        </w:rPr>
      </w:pPr>
      <w:r>
        <w:rPr>
          <w:rFonts w:hint="eastAsia" w:ascii="宋体" w:hAnsi="宋体" w:cs="宋体"/>
          <w:color w:val="auto"/>
          <w:kern w:val="0"/>
          <w:sz w:val="24"/>
          <w:highlight w:val="none"/>
        </w:rPr>
        <w:t>法定代表人：（电子签章）</w:t>
      </w:r>
    </w:p>
    <w:p>
      <w:pPr>
        <w:widowControl/>
        <w:wordWrap w:val="0"/>
        <w:spacing w:line="520" w:lineRule="exact"/>
        <w:ind w:firstLine="360"/>
        <w:jc w:val="right"/>
        <w:rPr>
          <w:rFonts w:hint="eastAsia" w:ascii="宋体" w:hAnsi="宋体" w:cs="宋体"/>
          <w:b/>
          <w:color w:val="auto"/>
          <w:sz w:val="24"/>
          <w:highlight w:val="none"/>
        </w:rPr>
      </w:pPr>
      <w:r>
        <w:rPr>
          <w:rFonts w:hint="eastAsia" w:ascii="宋体" w:hAnsi="宋体" w:cs="宋体"/>
          <w:color w:val="auto"/>
          <w:kern w:val="0"/>
          <w:sz w:val="24"/>
          <w:highlight w:val="none"/>
        </w:rPr>
        <w:t xml:space="preserve"> 年  月  日</w:t>
      </w:r>
      <w:bookmarkStart w:id="123" w:name="_Toc13788"/>
      <w:bookmarkStart w:id="124" w:name="_Toc28011"/>
      <w:bookmarkStart w:id="125" w:name="_Toc29028"/>
    </w:p>
    <w:p>
      <w:pPr>
        <w:pStyle w:val="3"/>
        <w:bidi w:val="0"/>
        <w:rPr>
          <w:rFonts w:hint="eastAsia"/>
          <w:b/>
          <w:bCs/>
          <w:color w:val="auto"/>
          <w:sz w:val="24"/>
          <w:szCs w:val="24"/>
          <w:highlight w:val="none"/>
          <w:lang w:val="en-US" w:eastAsia="zh-CN"/>
        </w:rPr>
      </w:pPr>
      <w:r>
        <w:rPr>
          <w:rFonts w:hint="eastAsia"/>
          <w:b/>
          <w:bCs/>
          <w:color w:val="auto"/>
          <w:sz w:val="24"/>
          <w:szCs w:val="24"/>
          <w:highlight w:val="none"/>
          <w:lang w:val="en-US" w:eastAsia="zh-CN"/>
        </w:rPr>
        <w:br w:type="page"/>
      </w:r>
      <w:bookmarkStart w:id="126" w:name="_Toc224"/>
      <w:r>
        <w:rPr>
          <w:rFonts w:hint="eastAsia"/>
          <w:b/>
          <w:bCs/>
          <w:color w:val="auto"/>
          <w:sz w:val="24"/>
          <w:szCs w:val="24"/>
          <w:highlight w:val="none"/>
          <w:lang w:val="en-US" w:eastAsia="zh-CN"/>
        </w:rPr>
        <w:t>十二、施工</w:t>
      </w:r>
      <w:bookmarkEnd w:id="123"/>
      <w:bookmarkEnd w:id="124"/>
      <w:bookmarkEnd w:id="125"/>
      <w:r>
        <w:rPr>
          <w:rFonts w:hint="eastAsia"/>
          <w:b/>
          <w:bCs/>
          <w:color w:val="auto"/>
          <w:sz w:val="24"/>
          <w:szCs w:val="24"/>
          <w:highlight w:val="none"/>
          <w:lang w:val="en-US" w:eastAsia="zh-CN"/>
        </w:rPr>
        <w:t>组织设计</w:t>
      </w:r>
      <w:bookmarkEnd w:id="126"/>
    </w:p>
    <w:p>
      <w:pPr>
        <w:adjustRightInd w:val="0"/>
        <w:snapToGrid w:val="0"/>
        <w:spacing w:line="440" w:lineRule="exact"/>
        <w:ind w:firstLine="480" w:firstLineChars="200"/>
        <w:rPr>
          <w:rFonts w:hint="eastAsia" w:ascii="宋体" w:hAnsi="宋体" w:eastAsia="宋体" w:cs="宋体"/>
          <w:color w:val="auto"/>
          <w:sz w:val="24"/>
          <w:highlight w:val="none"/>
        </w:rPr>
      </w:pPr>
    </w:p>
    <w:p>
      <w:pPr>
        <w:adjustRightInd w:val="0"/>
        <w:snapToGrid w:val="0"/>
        <w:spacing w:line="44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供应商应在充分理解竞争性磋商文件第三章《采购需求》的基础上，编制本施工组织设计。</w:t>
      </w: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rPr>
          <w:rFonts w:hint="eastAsia" w:ascii="宋体" w:hAnsi="宋体" w:cs="宋体"/>
          <w:color w:val="auto"/>
          <w:sz w:val="24"/>
          <w:highlight w:val="none"/>
        </w:rPr>
      </w:pPr>
    </w:p>
    <w:p>
      <w:pPr>
        <w:adjustRightInd w:val="0"/>
        <w:snapToGrid w:val="0"/>
        <w:spacing w:line="440" w:lineRule="exact"/>
        <w:ind w:firstLine="6000" w:firstLineChars="2500"/>
        <w:rPr>
          <w:rFonts w:ascii="宋体" w:hAnsi="宋体" w:cs="宋体"/>
          <w:color w:val="auto"/>
          <w:sz w:val="24"/>
          <w:highlight w:val="none"/>
        </w:rPr>
      </w:pPr>
      <w:r>
        <w:rPr>
          <w:rFonts w:hint="eastAsia" w:ascii="宋体" w:hAnsi="宋体" w:cs="宋体"/>
          <w:color w:val="auto"/>
          <w:sz w:val="24"/>
          <w:highlight w:val="none"/>
        </w:rPr>
        <w:t>供应商名称：（</w:t>
      </w:r>
      <w:r>
        <w:rPr>
          <w:rFonts w:hint="eastAsia" w:hAnsi="宋体" w:cs="宋体"/>
          <w:color w:val="auto"/>
          <w:sz w:val="24"/>
          <w:szCs w:val="24"/>
          <w:highlight w:val="none"/>
        </w:rPr>
        <w:t>电子签章</w:t>
      </w:r>
      <w:r>
        <w:rPr>
          <w:rFonts w:hint="eastAsia" w:ascii="宋体" w:hAnsi="宋体" w:cs="宋体"/>
          <w:color w:val="auto"/>
          <w:sz w:val="24"/>
          <w:highlight w:val="none"/>
        </w:rPr>
        <w:t xml:space="preserve">）     </w:t>
      </w:r>
    </w:p>
    <w:p>
      <w:pPr>
        <w:adjustRightInd w:val="0"/>
        <w:snapToGrid w:val="0"/>
        <w:spacing w:line="440" w:lineRule="exact"/>
        <w:ind w:firstLine="6000" w:firstLineChars="2500"/>
        <w:rPr>
          <w:rFonts w:ascii="宋体" w:hAnsi="宋体" w:cs="宋体"/>
          <w:color w:val="auto"/>
          <w:sz w:val="24"/>
          <w:highlight w:val="none"/>
        </w:rPr>
      </w:pPr>
      <w:r>
        <w:rPr>
          <w:rFonts w:hint="eastAsia" w:ascii="宋体" w:hAnsi="宋体" w:cs="宋体"/>
          <w:color w:val="auto"/>
          <w:sz w:val="24"/>
          <w:highlight w:val="none"/>
        </w:rPr>
        <w:t xml:space="preserve">法定代表人：（电子签章） </w:t>
      </w:r>
    </w:p>
    <w:p>
      <w:pPr>
        <w:adjustRightInd w:val="0"/>
        <w:snapToGrid w:val="0"/>
        <w:spacing w:line="440" w:lineRule="exact"/>
        <w:ind w:firstLine="480" w:firstLineChars="200"/>
        <w:jc w:val="center"/>
        <w:rPr>
          <w:rFonts w:ascii="宋体" w:hAnsi="宋体" w:cs="仿宋"/>
          <w:color w:val="auto"/>
          <w:sz w:val="24"/>
          <w:highlight w:val="none"/>
        </w:rPr>
      </w:pPr>
      <w:r>
        <w:rPr>
          <w:rFonts w:hint="eastAsia" w:ascii="宋体" w:hAnsi="宋体" w:cs="宋体"/>
          <w:color w:val="auto"/>
          <w:sz w:val="24"/>
          <w:highlight w:val="none"/>
        </w:rPr>
        <w:t xml:space="preserve">                                       年  月  日</w:t>
      </w:r>
    </w:p>
    <w:p>
      <w:pPr>
        <w:pStyle w:val="3"/>
        <w:bidi w:val="0"/>
        <w:rPr>
          <w:rFonts w:hint="eastAsia" w:ascii="宋体" w:hAnsi="宋体" w:cs="宋体"/>
          <w:b/>
          <w:color w:val="auto"/>
          <w:highlight w:val="none"/>
        </w:rPr>
      </w:pPr>
      <w:bookmarkStart w:id="127" w:name="_Toc2811"/>
      <w:bookmarkStart w:id="128" w:name="_Toc1875"/>
      <w:bookmarkStart w:id="129" w:name="_Toc19968"/>
      <w:r>
        <w:rPr>
          <w:rFonts w:hint="eastAsia"/>
          <w:b/>
          <w:bCs/>
          <w:color w:val="auto"/>
          <w:sz w:val="24"/>
          <w:szCs w:val="24"/>
          <w:highlight w:val="none"/>
        </w:rPr>
        <w:br w:type="page"/>
      </w:r>
      <w:bookmarkStart w:id="130" w:name="_Toc10736"/>
      <w:r>
        <w:rPr>
          <w:rFonts w:hint="eastAsia"/>
          <w:b/>
          <w:bCs/>
          <w:color w:val="auto"/>
          <w:sz w:val="24"/>
          <w:szCs w:val="24"/>
          <w:highlight w:val="none"/>
        </w:rPr>
        <w:t>十三、</w:t>
      </w:r>
      <w:bookmarkEnd w:id="127"/>
      <w:bookmarkStart w:id="131" w:name="_Toc18317"/>
      <w:r>
        <w:rPr>
          <w:rFonts w:hint="eastAsia"/>
          <w:b/>
          <w:bCs/>
          <w:color w:val="auto"/>
          <w:sz w:val="24"/>
          <w:szCs w:val="24"/>
          <w:highlight w:val="none"/>
        </w:rPr>
        <w:t>服务及优惠承诺</w:t>
      </w:r>
      <w:bookmarkEnd w:id="128"/>
      <w:bookmarkEnd w:id="129"/>
      <w:bookmarkEnd w:id="130"/>
      <w:bookmarkEnd w:id="131"/>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6240" w:firstLineChars="2600"/>
        <w:rPr>
          <w:rFonts w:hint="eastAsia" w:ascii="宋体" w:hAnsi="宋体" w:cs="宋体"/>
          <w:color w:val="auto"/>
          <w:sz w:val="24"/>
          <w:highlight w:val="none"/>
        </w:rPr>
      </w:pPr>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bookmarkStart w:id="132" w:name="_Toc9745"/>
      <w:bookmarkStart w:id="133" w:name="_Toc2998"/>
      <w:bookmarkStart w:id="134" w:name="_Toc14256"/>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bookmarkStart w:id="168" w:name="_GoBack"/>
      <w:bookmarkEnd w:id="168"/>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p>
    <w:p>
      <w:pPr>
        <w:adjustRightInd w:val="0"/>
        <w:snapToGrid w:val="0"/>
        <w:spacing w:line="440" w:lineRule="exact"/>
        <w:ind w:firstLine="482" w:firstLineChars="200"/>
        <w:jc w:val="center"/>
        <w:rPr>
          <w:rFonts w:hint="eastAsia" w:ascii="Times New Roman" w:hAnsi="Times New Roman" w:eastAsia="宋体" w:cs="Times New Roman"/>
          <w:b/>
          <w:bCs/>
          <w:color w:val="auto"/>
          <w:kern w:val="0"/>
          <w:sz w:val="24"/>
          <w:szCs w:val="24"/>
          <w:highlight w:val="none"/>
          <w:lang w:val="en-US" w:eastAsia="zh-CN" w:bidi="ar-SA"/>
        </w:rPr>
      </w:pPr>
    </w:p>
    <w:p>
      <w:pPr>
        <w:adjustRightInd w:val="0"/>
        <w:snapToGrid w:val="0"/>
        <w:spacing w:line="440" w:lineRule="exact"/>
        <w:ind w:firstLine="482" w:firstLineChars="200"/>
        <w:jc w:val="center"/>
        <w:rPr>
          <w:b/>
          <w:bCs/>
          <w:color w:val="auto"/>
          <w:szCs w:val="32"/>
          <w:highlight w:val="none"/>
        </w:rPr>
      </w:pPr>
      <w:r>
        <w:rPr>
          <w:rFonts w:hint="eastAsia" w:ascii="Times New Roman" w:hAnsi="Times New Roman" w:eastAsia="宋体" w:cs="Times New Roman"/>
          <w:b/>
          <w:bCs/>
          <w:color w:val="auto"/>
          <w:kern w:val="0"/>
          <w:sz w:val="24"/>
          <w:szCs w:val="24"/>
          <w:highlight w:val="none"/>
          <w:lang w:val="en-US" w:eastAsia="zh-CN" w:bidi="ar-SA"/>
        </w:rPr>
        <w:t>十四、其他资料</w:t>
      </w:r>
      <w:bookmarkEnd w:id="132"/>
      <w:bookmarkEnd w:id="133"/>
      <w:bookmarkEnd w:id="134"/>
    </w:p>
    <w:p>
      <w:pPr>
        <w:jc w:val="center"/>
        <w:outlineLvl w:val="2"/>
        <w:rPr>
          <w:rFonts w:hint="eastAsia"/>
          <w:b/>
          <w:bCs/>
          <w:color w:val="auto"/>
          <w:sz w:val="28"/>
          <w:szCs w:val="36"/>
          <w:highlight w:val="none"/>
        </w:rPr>
      </w:pPr>
      <w:r>
        <w:rPr>
          <w:rFonts w:hint="eastAsia"/>
          <w:b/>
          <w:bCs/>
          <w:color w:val="auto"/>
          <w:sz w:val="28"/>
          <w:szCs w:val="36"/>
          <w:highlight w:val="none"/>
          <w:lang w:val="en-US" w:eastAsia="zh-CN"/>
        </w:rPr>
        <w:t>1.</w:t>
      </w:r>
      <w:r>
        <w:rPr>
          <w:rFonts w:hint="eastAsia"/>
          <w:b/>
          <w:bCs/>
          <w:color w:val="auto"/>
          <w:sz w:val="28"/>
          <w:szCs w:val="36"/>
          <w:highlight w:val="none"/>
        </w:rPr>
        <w:t xml:space="preserve">中小企业声明函（工程、服务） </w:t>
      </w:r>
    </w:p>
    <w:p>
      <w:pPr>
        <w:adjustRightInd w:val="0"/>
        <w:spacing w:line="540" w:lineRule="exact"/>
        <w:ind w:firstLine="504" w:firstLineChars="200"/>
        <w:textAlignment w:val="baseline"/>
        <w:rPr>
          <w:rFonts w:hint="eastAsia" w:ascii="宋体" w:hAnsi="宋体" w:cs="宋体"/>
          <w:color w:val="auto"/>
          <w:sz w:val="24"/>
          <w:highlight w:val="none"/>
        </w:rPr>
      </w:pPr>
      <w:r>
        <w:rPr>
          <w:rFonts w:hint="eastAsia" w:ascii="宋体" w:hAnsi="宋体" w:cs="宋体"/>
          <w:color w:val="auto"/>
          <w:spacing w:val="6"/>
          <w:sz w:val="24"/>
          <w:highlight w:val="none"/>
        </w:rPr>
        <w:t>本公司郑重声明，根据《政府采购促进中小企业发展管理办法》（财库﹝2020﹞46号）的规定，本公司参加</w:t>
      </w:r>
      <w:r>
        <w:rPr>
          <w:rFonts w:hint="eastAsia" w:ascii="宋体" w:hAnsi="宋体" w:cs="宋体"/>
          <w:color w:val="auto"/>
          <w:spacing w:val="6"/>
          <w:sz w:val="24"/>
          <w:highlight w:val="none"/>
          <w:u w:val="single"/>
        </w:rPr>
        <w:t>（单位名称）</w:t>
      </w:r>
      <w:r>
        <w:rPr>
          <w:rFonts w:hint="eastAsia" w:ascii="宋体" w:hAnsi="宋体" w:cs="宋体"/>
          <w:color w:val="auto"/>
          <w:spacing w:val="6"/>
          <w:sz w:val="24"/>
          <w:highlight w:val="none"/>
        </w:rPr>
        <w:t>的</w:t>
      </w:r>
      <w:r>
        <w:rPr>
          <w:rFonts w:hint="eastAsia" w:ascii="宋体" w:hAnsi="宋体" w:cs="宋体"/>
          <w:color w:val="auto"/>
          <w:spacing w:val="6"/>
          <w:sz w:val="24"/>
          <w:highlight w:val="none"/>
          <w:u w:val="single"/>
        </w:rPr>
        <w:t>（项目名称）</w:t>
      </w:r>
      <w:r>
        <w:rPr>
          <w:rFonts w:hint="eastAsia" w:ascii="宋体" w:hAnsi="宋体" w:cs="宋体"/>
          <w:color w:val="auto"/>
          <w:spacing w:val="6"/>
          <w:sz w:val="24"/>
          <w:highlight w:val="none"/>
        </w:rPr>
        <w:t>采购活动，工程的施工单位全部为符合政策要求的中小企业。相关企业的具体情况如下：</w:t>
      </w:r>
    </w:p>
    <w:p>
      <w:pPr>
        <w:adjustRightInd w:val="0"/>
        <w:snapToGrid w:val="0"/>
        <w:spacing w:line="540" w:lineRule="exact"/>
        <w:ind w:firstLine="504" w:firstLineChars="200"/>
        <w:jc w:val="left"/>
        <w:textAlignment w:val="baseline"/>
        <w:rPr>
          <w:rFonts w:hint="eastAsia" w:ascii="宋体" w:hAnsi="宋体" w:cs="宋体"/>
          <w:color w:val="auto"/>
          <w:spacing w:val="6"/>
          <w:sz w:val="24"/>
          <w:highlight w:val="none"/>
        </w:rPr>
      </w:pPr>
      <w:r>
        <w:rPr>
          <w:rFonts w:hint="eastAsia" w:ascii="宋体" w:hAnsi="宋体" w:cs="宋体"/>
          <w:color w:val="auto"/>
          <w:spacing w:val="6"/>
          <w:sz w:val="24"/>
          <w:highlight w:val="none"/>
        </w:rPr>
        <w:t>1.</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行业；承建（承接）企业为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rPr>
        <w:tab/>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u w:val="single"/>
        </w:rPr>
        <w:tab/>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万元，属于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pPr>
        <w:adjustRightInd w:val="0"/>
        <w:snapToGrid w:val="0"/>
        <w:spacing w:line="540" w:lineRule="exact"/>
        <w:ind w:firstLine="504" w:firstLineChars="200"/>
        <w:jc w:val="left"/>
        <w:textAlignment w:val="baseline"/>
        <w:rPr>
          <w:rFonts w:hint="eastAsia" w:ascii="宋体" w:hAnsi="宋体" w:cs="宋体"/>
          <w:color w:val="auto"/>
          <w:spacing w:val="6"/>
          <w:sz w:val="24"/>
          <w:highlight w:val="none"/>
        </w:rPr>
      </w:pPr>
      <w:r>
        <w:rPr>
          <w:rFonts w:hint="eastAsia" w:ascii="宋体" w:hAnsi="宋体" w:cs="宋体"/>
          <w:color w:val="auto"/>
          <w:spacing w:val="6"/>
          <w:sz w:val="24"/>
          <w:highlight w:val="none"/>
        </w:rPr>
        <w:t>2.</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 xml:space="preserve"> ，属于</w:t>
      </w:r>
      <w:r>
        <w:rPr>
          <w:rFonts w:hint="eastAsia" w:ascii="宋体" w:hAnsi="宋体" w:cs="宋体"/>
          <w:color w:val="auto"/>
          <w:spacing w:val="6"/>
          <w:sz w:val="24"/>
          <w:highlight w:val="none"/>
          <w:u w:val="single"/>
        </w:rPr>
        <w:t xml:space="preserve">（采购文件中明确的所属行业） </w:t>
      </w:r>
      <w:r>
        <w:rPr>
          <w:rFonts w:hint="eastAsia" w:ascii="宋体" w:hAnsi="宋体" w:cs="宋体"/>
          <w:color w:val="auto"/>
          <w:spacing w:val="6"/>
          <w:sz w:val="24"/>
          <w:highlight w:val="none"/>
        </w:rPr>
        <w:t>行业；承建（承接）企业为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rPr>
        <w:tab/>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rPr>
        <w:tab/>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rPr>
        <w:tab/>
      </w:r>
      <w:r>
        <w:rPr>
          <w:rFonts w:hint="eastAsia" w:ascii="宋体" w:hAnsi="宋体" w:cs="宋体"/>
          <w:color w:val="auto"/>
          <w:spacing w:val="6"/>
          <w:sz w:val="24"/>
          <w:highlight w:val="none"/>
        </w:rPr>
        <w:t>万元，属于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pPr>
        <w:adjustRightInd w:val="0"/>
        <w:snapToGrid w:val="0"/>
        <w:spacing w:line="540" w:lineRule="exact"/>
        <w:ind w:firstLine="504" w:firstLineChars="200"/>
        <w:jc w:val="left"/>
        <w:textAlignment w:val="baseline"/>
        <w:rPr>
          <w:rFonts w:hint="eastAsia" w:ascii="宋体" w:hAnsi="宋体" w:cs="宋体"/>
          <w:color w:val="auto"/>
          <w:spacing w:val="6"/>
          <w:sz w:val="24"/>
          <w:highlight w:val="none"/>
        </w:rPr>
      </w:pPr>
      <w:r>
        <w:rPr>
          <w:rFonts w:hint="eastAsia" w:ascii="宋体" w:hAnsi="宋体" w:cs="宋体"/>
          <w:color w:val="auto"/>
          <w:spacing w:val="6"/>
          <w:sz w:val="24"/>
          <w:highlight w:val="none"/>
        </w:rPr>
        <w:t>……</w:t>
      </w:r>
    </w:p>
    <w:p>
      <w:pPr>
        <w:adjustRightInd w:val="0"/>
        <w:spacing w:line="540" w:lineRule="exact"/>
        <w:ind w:firstLine="504" w:firstLineChars="200"/>
        <w:textAlignment w:val="baseline"/>
        <w:rPr>
          <w:rFonts w:hint="eastAsia" w:ascii="宋体" w:hAnsi="宋体" w:cs="宋体"/>
          <w:color w:val="auto"/>
          <w:spacing w:val="6"/>
          <w:sz w:val="24"/>
          <w:highlight w:val="none"/>
        </w:rPr>
      </w:pPr>
      <w:r>
        <w:rPr>
          <w:rFonts w:hint="eastAsia" w:ascii="宋体" w:hAnsi="宋体" w:cs="宋体"/>
          <w:color w:val="auto"/>
          <w:spacing w:val="6"/>
          <w:sz w:val="24"/>
          <w:highlight w:val="none"/>
        </w:rPr>
        <w:t>以上企业，不属于大企业的分支机构，不存在控股股东为大企业的情形，也不存在与大企业的负责人为同一人的情形。</w:t>
      </w:r>
    </w:p>
    <w:p>
      <w:pPr>
        <w:adjustRightInd w:val="0"/>
        <w:spacing w:line="540" w:lineRule="exact"/>
        <w:ind w:firstLine="504" w:firstLineChars="200"/>
        <w:textAlignment w:val="baseline"/>
        <w:rPr>
          <w:rFonts w:hint="eastAsia" w:ascii="宋体" w:hAnsi="宋体" w:cs="宋体"/>
          <w:color w:val="auto"/>
          <w:spacing w:val="6"/>
          <w:sz w:val="24"/>
          <w:highlight w:val="none"/>
        </w:rPr>
      </w:pPr>
      <w:r>
        <w:rPr>
          <w:rFonts w:hint="eastAsia" w:ascii="宋体" w:hAnsi="宋体" w:cs="宋体"/>
          <w:color w:val="auto"/>
          <w:spacing w:val="6"/>
          <w:sz w:val="24"/>
          <w:highlight w:val="none"/>
        </w:rPr>
        <w:t>本企业对上述声明内容的真实性负责。如有虚假，将依法承担相应责任。</w:t>
      </w:r>
    </w:p>
    <w:p>
      <w:pPr>
        <w:adjustRightInd w:val="0"/>
        <w:spacing w:line="540" w:lineRule="exact"/>
        <w:ind w:firstLine="504" w:firstLineChars="200"/>
        <w:textAlignment w:val="baseline"/>
        <w:rPr>
          <w:rFonts w:hint="eastAsia" w:ascii="宋体" w:hAnsi="宋体" w:cs="宋体"/>
          <w:color w:val="auto"/>
          <w:spacing w:val="6"/>
          <w:sz w:val="24"/>
          <w:highlight w:val="none"/>
        </w:rPr>
      </w:pPr>
      <w:r>
        <w:rPr>
          <w:rFonts w:hint="eastAsia" w:ascii="宋体" w:hAnsi="宋体" w:cs="宋体"/>
          <w:color w:val="auto"/>
          <w:spacing w:val="6"/>
          <w:sz w:val="24"/>
          <w:highlight w:val="none"/>
        </w:rPr>
        <w:t>企业名称（</w:t>
      </w:r>
      <w:r>
        <w:rPr>
          <w:rFonts w:hint="eastAsia" w:ascii="宋体" w:hAnsi="宋体" w:cs="宋体"/>
          <w:color w:val="auto"/>
          <w:sz w:val="24"/>
          <w:highlight w:val="none"/>
        </w:rPr>
        <w:t>电子签章</w:t>
      </w:r>
      <w:r>
        <w:rPr>
          <w:rFonts w:hint="eastAsia" w:ascii="宋体" w:hAnsi="宋体" w:cs="宋体"/>
          <w:color w:val="auto"/>
          <w:spacing w:val="6"/>
          <w:sz w:val="24"/>
          <w:highlight w:val="none"/>
        </w:rPr>
        <w:t>）：</w:t>
      </w:r>
    </w:p>
    <w:p>
      <w:pPr>
        <w:adjustRightInd w:val="0"/>
        <w:spacing w:line="540" w:lineRule="exact"/>
        <w:ind w:firstLine="504" w:firstLineChars="200"/>
        <w:textAlignment w:val="baseline"/>
        <w:rPr>
          <w:rFonts w:hint="eastAsia" w:ascii="宋体" w:hAnsi="宋体" w:cs="宋体"/>
          <w:color w:val="auto"/>
          <w:position w:val="6"/>
          <w:sz w:val="24"/>
          <w:highlight w:val="none"/>
        </w:rPr>
      </w:pPr>
      <w:r>
        <w:rPr>
          <w:rFonts w:hint="eastAsia" w:ascii="宋体" w:hAnsi="宋体" w:cs="宋体"/>
          <w:color w:val="auto"/>
          <w:spacing w:val="6"/>
          <w:sz w:val="24"/>
          <w:highlight w:val="none"/>
        </w:rPr>
        <w:t>日期：</w:t>
      </w:r>
    </w:p>
    <w:p>
      <w:pPr>
        <w:adjustRightInd w:val="0"/>
        <w:ind w:firstLine="480" w:firstLineChars="200"/>
        <w:textAlignment w:val="baseline"/>
        <w:rPr>
          <w:rFonts w:hint="eastAsia" w:ascii="宋体" w:hAnsi="宋体" w:cs="宋体"/>
          <w:color w:val="auto"/>
          <w:sz w:val="24"/>
          <w:highlight w:val="none"/>
        </w:rPr>
      </w:pPr>
    </w:p>
    <w:p>
      <w:pPr>
        <w:adjustRightInd w:val="0"/>
        <w:spacing w:line="540" w:lineRule="exact"/>
        <w:ind w:firstLine="504" w:firstLineChars="200"/>
        <w:textAlignment w:val="baseline"/>
        <w:rPr>
          <w:rFonts w:hint="eastAsia" w:ascii="宋体" w:hAnsi="宋体" w:cs="宋体"/>
          <w:color w:val="auto"/>
          <w:spacing w:val="6"/>
          <w:sz w:val="24"/>
          <w:highlight w:val="none"/>
        </w:rPr>
      </w:pPr>
      <w:r>
        <w:rPr>
          <w:rFonts w:hint="eastAsia" w:ascii="宋体" w:hAnsi="宋体" w:cs="宋体"/>
          <w:color w:val="auto"/>
          <w:spacing w:val="6"/>
          <w:sz w:val="24"/>
          <w:highlight w:val="none"/>
        </w:rPr>
        <w:t>注：1.从业人员、营业收入、资产总额填报上一年度数据，无上一年度数据的新成立企业可不填报。</w:t>
      </w:r>
    </w:p>
    <w:p>
      <w:pPr>
        <w:adjustRightInd w:val="0"/>
        <w:spacing w:line="540" w:lineRule="exact"/>
        <w:ind w:firstLine="504" w:firstLineChars="200"/>
        <w:textAlignment w:val="baseline"/>
        <w:rPr>
          <w:rFonts w:hint="eastAsia" w:ascii="宋体" w:hAnsi="宋体" w:cs="宋体"/>
          <w:color w:val="auto"/>
          <w:spacing w:val="6"/>
          <w:sz w:val="24"/>
          <w:highlight w:val="none"/>
        </w:rPr>
      </w:pPr>
      <w:r>
        <w:rPr>
          <w:rFonts w:hint="eastAsia" w:ascii="宋体" w:hAnsi="宋体" w:cs="宋体"/>
          <w:color w:val="auto"/>
          <w:spacing w:val="6"/>
          <w:sz w:val="24"/>
          <w:highlight w:val="none"/>
        </w:rPr>
        <w:t>2.中小企业划分标准见工业和信息化部国家统计局国家发展改革委财政部 《关于印发中小企业划型标准规定的通知》工信部联企业[2011]300号。</w:t>
      </w:r>
    </w:p>
    <w:p>
      <w:pPr>
        <w:adjustRightInd w:val="0"/>
        <w:spacing w:line="540" w:lineRule="exact"/>
        <w:ind w:firstLine="504" w:firstLineChars="200"/>
        <w:textAlignment w:val="baseline"/>
        <w:rPr>
          <w:rFonts w:hint="eastAsia" w:ascii="宋体" w:hAnsi="宋体" w:cs="宋体"/>
          <w:color w:val="auto"/>
          <w:spacing w:val="6"/>
          <w:sz w:val="24"/>
          <w:highlight w:val="none"/>
        </w:rPr>
      </w:pPr>
      <w:r>
        <w:rPr>
          <w:rFonts w:hint="eastAsia" w:ascii="宋体" w:hAnsi="宋体" w:cs="宋体"/>
          <w:color w:val="auto"/>
          <w:spacing w:val="6"/>
          <w:sz w:val="24"/>
          <w:highlight w:val="none"/>
        </w:rPr>
        <w:t>本项目标的物所属行业：建筑业。</w:t>
      </w:r>
    </w:p>
    <w:p>
      <w:pPr>
        <w:spacing w:line="360" w:lineRule="auto"/>
        <w:rPr>
          <w:rFonts w:hint="eastAsia" w:ascii="宋体" w:hAnsi="宋体" w:cs="宋体"/>
          <w:color w:val="auto"/>
          <w:sz w:val="24"/>
          <w:highlight w:val="none"/>
        </w:rPr>
      </w:pPr>
    </w:p>
    <w:p>
      <w:pPr>
        <w:pStyle w:val="9"/>
        <w:rPr>
          <w:rFonts w:hint="eastAsia" w:ascii="宋体" w:hAnsi="宋体" w:cs="宋体"/>
          <w:color w:val="auto"/>
          <w:sz w:val="24"/>
          <w:highlight w:val="none"/>
        </w:rPr>
      </w:pPr>
    </w:p>
    <w:p>
      <w:pPr>
        <w:pStyle w:val="73"/>
        <w:widowControl/>
        <w:spacing w:line="360" w:lineRule="auto"/>
        <w:textAlignment w:val="baseline"/>
        <w:rPr>
          <w:rStyle w:val="72"/>
          <w:rFonts w:hint="eastAsia" w:ascii="宋体" w:hAnsi="宋体" w:cs="宋体"/>
          <w:b/>
          <w:color w:val="auto"/>
          <w:sz w:val="24"/>
          <w:szCs w:val="24"/>
          <w:highlight w:val="none"/>
        </w:rPr>
      </w:pPr>
    </w:p>
    <w:p>
      <w:pPr>
        <w:pStyle w:val="10"/>
        <w:spacing w:line="500" w:lineRule="exact"/>
        <w:ind w:firstLine="0" w:firstLineChars="0"/>
        <w:jc w:val="center"/>
        <w:outlineLvl w:val="3"/>
        <w:rPr>
          <w:rStyle w:val="72"/>
          <w:rFonts w:hint="eastAsia" w:ascii="宋体" w:hAnsi="宋体" w:eastAsia="宋体" w:cs="宋体"/>
          <w:color w:val="auto"/>
          <w:sz w:val="28"/>
          <w:szCs w:val="28"/>
          <w:highlight w:val="none"/>
        </w:rPr>
      </w:pPr>
      <w:r>
        <w:rPr>
          <w:rStyle w:val="72"/>
          <w:rFonts w:hint="eastAsia" w:ascii="宋体" w:hAnsi="宋体" w:cs="宋体"/>
          <w:color w:val="auto"/>
          <w:sz w:val="24"/>
          <w:szCs w:val="24"/>
          <w:highlight w:val="none"/>
        </w:rPr>
        <w:br w:type="page"/>
      </w:r>
      <w:r>
        <w:rPr>
          <w:rStyle w:val="72"/>
          <w:rFonts w:hint="eastAsia" w:ascii="宋体" w:hAnsi="宋体" w:cs="宋体"/>
          <w:color w:val="auto"/>
          <w:sz w:val="28"/>
          <w:szCs w:val="28"/>
          <w:highlight w:val="none"/>
        </w:rPr>
        <w:t>2、残疾人福</w:t>
      </w:r>
      <w:r>
        <w:rPr>
          <w:rStyle w:val="72"/>
          <w:rFonts w:hint="eastAsia" w:ascii="宋体" w:hAnsi="宋体" w:eastAsia="宋体" w:cs="宋体"/>
          <w:color w:val="auto"/>
          <w:sz w:val="28"/>
          <w:szCs w:val="28"/>
          <w:highlight w:val="none"/>
        </w:rPr>
        <w:t>利性单位声明函</w:t>
      </w:r>
      <w:bookmarkStart w:id="135" w:name="_Toc16462"/>
      <w:bookmarkStart w:id="136" w:name="_Toc196"/>
      <w:bookmarkStart w:id="137" w:name="_Toc2690"/>
      <w:bookmarkStart w:id="138" w:name="_Toc10996"/>
      <w:bookmarkStart w:id="139" w:name="_Toc18366"/>
      <w:bookmarkStart w:id="140" w:name="_Toc32127"/>
      <w:r>
        <w:rPr>
          <w:rStyle w:val="72"/>
          <w:rFonts w:hint="eastAsia" w:ascii="宋体" w:hAnsi="宋体" w:eastAsia="宋体" w:cs="宋体"/>
          <w:color w:val="auto"/>
          <w:sz w:val="28"/>
          <w:szCs w:val="28"/>
          <w:highlight w:val="none"/>
        </w:rPr>
        <w:t>（如有）</w:t>
      </w:r>
      <w:bookmarkEnd w:id="135"/>
      <w:bookmarkEnd w:id="136"/>
      <w:bookmarkEnd w:id="137"/>
      <w:bookmarkEnd w:id="138"/>
      <w:bookmarkEnd w:id="139"/>
      <w:bookmarkEnd w:id="140"/>
    </w:p>
    <w:p>
      <w:pPr>
        <w:pStyle w:val="10"/>
        <w:spacing w:line="500" w:lineRule="exact"/>
        <w:ind w:firstLine="0" w:firstLineChars="0"/>
        <w:jc w:val="center"/>
        <w:outlineLvl w:val="3"/>
        <w:rPr>
          <w:rStyle w:val="72"/>
          <w:rFonts w:hint="eastAsia" w:ascii="宋体" w:hAnsi="宋体" w:eastAsia="宋体" w:cs="宋体"/>
          <w:color w:val="auto"/>
          <w:sz w:val="28"/>
          <w:szCs w:val="28"/>
          <w:highlight w:val="none"/>
        </w:rPr>
      </w:pPr>
    </w:p>
    <w:p>
      <w:pPr>
        <w:spacing w:line="480" w:lineRule="auto"/>
        <w:ind w:firstLine="480" w:firstLineChars="200"/>
        <w:rPr>
          <w:rFonts w:hint="eastAsia" w:ascii="宋体" w:hAnsi="宋体" w:cs="宋体"/>
          <w:color w:val="auto"/>
          <w:sz w:val="24"/>
          <w:highlight w:val="none"/>
        </w:rPr>
      </w:pPr>
    </w:p>
    <w:p>
      <w:pPr>
        <w:spacing w:line="48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（项目名称）采购活动提供本单位制造的货物（由本单位承担工程/提供服务），或者提供其他残疾人福利性单位制造的货物（不包括使用非残疾人福利性单位注册商标的货物）。</w:t>
      </w:r>
    </w:p>
    <w:p>
      <w:pPr>
        <w:spacing w:line="48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pPr>
        <w:spacing w:line="480" w:lineRule="auto"/>
        <w:ind w:firstLine="480" w:firstLineChars="200"/>
        <w:rPr>
          <w:rFonts w:hint="eastAsia" w:ascii="宋体" w:hAnsi="宋体" w:cs="宋体"/>
          <w:color w:val="auto"/>
          <w:sz w:val="24"/>
          <w:highlight w:val="none"/>
        </w:rPr>
      </w:pPr>
    </w:p>
    <w:p>
      <w:pPr>
        <w:spacing w:line="480" w:lineRule="auto"/>
        <w:jc w:val="left"/>
        <w:rPr>
          <w:rFonts w:hint="eastAsia" w:ascii="宋体" w:hAnsi="宋体" w:cs="宋体"/>
          <w:color w:val="auto"/>
          <w:sz w:val="24"/>
          <w:highlight w:val="none"/>
        </w:rPr>
      </w:pPr>
      <w:r>
        <w:rPr>
          <w:rFonts w:hint="eastAsia" w:ascii="宋体" w:hAnsi="宋体" w:cs="宋体"/>
          <w:color w:val="auto"/>
          <w:sz w:val="24"/>
          <w:highlight w:val="none"/>
        </w:rPr>
        <w:t>企业名称（电子签章）：</w:t>
      </w:r>
    </w:p>
    <w:p>
      <w:pPr>
        <w:spacing w:line="480" w:lineRule="auto"/>
        <w:jc w:val="left"/>
        <w:rPr>
          <w:rFonts w:hint="eastAsia" w:ascii="宋体" w:hAnsi="宋体" w:cs="宋体"/>
          <w:color w:val="auto"/>
          <w:sz w:val="24"/>
          <w:highlight w:val="none"/>
        </w:rPr>
      </w:pPr>
      <w:r>
        <w:rPr>
          <w:rFonts w:hint="eastAsia" w:ascii="宋体" w:hAnsi="宋体" w:cs="宋体"/>
          <w:color w:val="auto"/>
          <w:sz w:val="24"/>
          <w:highlight w:val="none"/>
        </w:rPr>
        <w:t>日  期：  年  月  日</w:t>
      </w:r>
    </w:p>
    <w:p>
      <w:pPr>
        <w:pStyle w:val="24"/>
        <w:ind w:firstLine="240"/>
        <w:rPr>
          <w:rFonts w:ascii="宋体" w:hAnsi="宋体"/>
          <w:color w:val="auto"/>
          <w:sz w:val="24"/>
          <w:highlight w:val="none"/>
        </w:rPr>
      </w:pPr>
    </w:p>
    <w:p>
      <w:pPr>
        <w:keepNext w:val="0"/>
        <w:keepLines w:val="0"/>
        <w:pageBreakBefore w:val="0"/>
        <w:kinsoku/>
        <w:wordWrap/>
        <w:overflowPunct/>
        <w:topLinePunct w:val="0"/>
        <w:autoSpaceDE/>
        <w:autoSpaceDN/>
        <w:bidi w:val="0"/>
        <w:adjustRightInd/>
        <w:snapToGrid/>
        <w:spacing w:beforeAutospacing="0" w:afterAutospacing="0" w:line="480" w:lineRule="auto"/>
        <w:jc w:val="center"/>
        <w:textAlignment w:val="auto"/>
        <w:outlineLvl w:val="2"/>
        <w:rPr>
          <w:rFonts w:hint="eastAsia" w:ascii="宋体" w:hAnsi="宋体" w:eastAsia="宋体" w:cs="宋体"/>
          <w:b/>
          <w:color w:val="auto"/>
          <w:sz w:val="28"/>
          <w:szCs w:val="28"/>
          <w:highlight w:val="none"/>
        </w:rPr>
      </w:pPr>
      <w:r>
        <w:rPr>
          <w:rStyle w:val="72"/>
          <w:rFonts w:hint="eastAsia" w:ascii="宋体" w:hAnsi="宋体" w:cs="宋体"/>
          <w:color w:val="auto"/>
          <w:sz w:val="24"/>
          <w:szCs w:val="24"/>
          <w:highlight w:val="none"/>
        </w:rPr>
        <w:br w:type="page"/>
      </w:r>
      <w:r>
        <w:rPr>
          <w:rFonts w:hint="eastAsia" w:ascii="宋体" w:hAnsi="宋体" w:eastAsia="宋体" w:cs="宋体"/>
          <w:b/>
          <w:color w:val="auto"/>
          <w:sz w:val="28"/>
          <w:szCs w:val="28"/>
          <w:highlight w:val="none"/>
        </w:rPr>
        <w:t>3、投标承诺函</w:t>
      </w:r>
    </w:p>
    <w:p>
      <w:pPr>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ascii="宋体" w:hAnsi="宋体" w:eastAsia="宋体" w:cs="宋体"/>
          <w:color w:val="auto"/>
          <w:sz w:val="28"/>
          <w:szCs w:val="28"/>
          <w:highlight w:val="none"/>
          <w:u w:val="single"/>
        </w:rPr>
      </w:pPr>
    </w:p>
    <w:p>
      <w:pPr>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（采购人名称）</w:t>
      </w:r>
      <w:r>
        <w:rPr>
          <w:rFonts w:hint="eastAsia" w:ascii="宋体" w:hAnsi="宋体" w:cs="宋体"/>
          <w:color w:val="auto"/>
          <w:sz w:val="24"/>
          <w:szCs w:val="24"/>
          <w:highlight w:val="none"/>
        </w:rPr>
        <w:t>：</w:t>
      </w:r>
    </w:p>
    <w:p>
      <w:pPr>
        <w:keepNext w:val="0"/>
        <w:keepLines w:val="0"/>
        <w:pageBreakBefore w:val="0"/>
        <w:kinsoku/>
        <w:wordWrap/>
        <w:overflowPunct/>
        <w:topLinePunct w:val="0"/>
        <w:autoSpaceDE/>
        <w:autoSpaceDN/>
        <w:bidi w:val="0"/>
        <w:adjustRightInd/>
        <w:snapToGrid/>
        <w:spacing w:beforeAutospacing="0" w:afterAutospacing="0" w:line="48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我单位于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日参加贵单位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bidi="en-US"/>
        </w:rPr>
        <w:t>（项目名称）</w:t>
      </w:r>
      <w:r>
        <w:rPr>
          <w:rFonts w:hint="eastAsia" w:ascii="宋体" w:hAnsi="宋体" w:cs="宋体"/>
          <w:color w:val="auto"/>
          <w:sz w:val="24"/>
          <w:szCs w:val="24"/>
          <w:highlight w:val="none"/>
        </w:rPr>
        <w:t>采购项目，在采购活动中，我公司作为本次采购项目的供应商，根据</w:t>
      </w:r>
      <w:r>
        <w:rPr>
          <w:rFonts w:hint="eastAsia" w:ascii="宋体" w:hAnsi="宋体" w:cs="宋体"/>
          <w:color w:val="auto"/>
          <w:sz w:val="24"/>
          <w:szCs w:val="24"/>
          <w:highlight w:val="none"/>
          <w:lang w:eastAsia="zh-CN"/>
        </w:rPr>
        <w:t>竞争性磋商</w:t>
      </w:r>
      <w:r>
        <w:rPr>
          <w:rFonts w:hint="eastAsia" w:ascii="宋体" w:hAnsi="宋体" w:cs="宋体"/>
          <w:color w:val="auto"/>
          <w:sz w:val="24"/>
          <w:szCs w:val="24"/>
          <w:highlight w:val="none"/>
        </w:rPr>
        <w:t>文件要求，现郑重承诺如下：</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80"/>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一、具备《中华人民共和国政府采购法》第二十二条和本项目规定的条件：</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80"/>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二、完全接受和满足本项目</w:t>
      </w:r>
      <w:r>
        <w:rPr>
          <w:rFonts w:hint="eastAsia" w:ascii="宋体" w:hAnsi="宋体" w:cs="宋体"/>
          <w:color w:val="auto"/>
          <w:sz w:val="24"/>
          <w:szCs w:val="24"/>
          <w:highlight w:val="none"/>
          <w:lang w:eastAsia="zh-CN"/>
        </w:rPr>
        <w:t>竞争性磋商</w:t>
      </w:r>
      <w:r>
        <w:rPr>
          <w:rFonts w:hint="eastAsia" w:ascii="宋体" w:hAnsi="宋体" w:cs="宋体"/>
          <w:color w:val="auto"/>
          <w:sz w:val="24"/>
          <w:szCs w:val="24"/>
          <w:highlight w:val="none"/>
        </w:rPr>
        <w:t>文件</w:t>
      </w:r>
      <w:r>
        <w:rPr>
          <w:rFonts w:hint="eastAsia" w:cs="宋体"/>
          <w:color w:val="auto"/>
          <w:spacing w:val="8"/>
          <w:sz w:val="24"/>
          <w:szCs w:val="24"/>
          <w:highlight w:val="none"/>
          <w:shd w:val="clear" w:color="auto" w:fill="FFFFFF"/>
        </w:rPr>
        <w:t>中规定的实质性要求，如对</w:t>
      </w:r>
      <w:r>
        <w:rPr>
          <w:rFonts w:hint="eastAsia" w:ascii="宋体" w:hAnsi="宋体" w:cs="宋体"/>
          <w:color w:val="auto"/>
          <w:sz w:val="24"/>
          <w:szCs w:val="24"/>
          <w:highlight w:val="none"/>
          <w:lang w:eastAsia="zh-CN"/>
        </w:rPr>
        <w:t>竞争性磋商</w:t>
      </w:r>
      <w:r>
        <w:rPr>
          <w:rFonts w:hint="eastAsia" w:ascii="宋体" w:hAnsi="宋体" w:cs="宋体"/>
          <w:color w:val="auto"/>
          <w:sz w:val="24"/>
          <w:szCs w:val="24"/>
          <w:highlight w:val="none"/>
        </w:rPr>
        <w:t>文件</w:t>
      </w:r>
      <w:r>
        <w:rPr>
          <w:rFonts w:hint="eastAsia" w:cs="宋体"/>
          <w:color w:val="auto"/>
          <w:spacing w:val="8"/>
          <w:sz w:val="24"/>
          <w:szCs w:val="24"/>
          <w:highlight w:val="none"/>
          <w:shd w:val="clear" w:color="auto" w:fill="FFFFFF"/>
        </w:rPr>
        <w:t>有异议，已经在投标截止时间届满前依法进行维权，不存在对</w:t>
      </w:r>
      <w:r>
        <w:rPr>
          <w:rFonts w:hint="eastAsia" w:ascii="宋体" w:hAnsi="宋体" w:cs="宋体"/>
          <w:color w:val="auto"/>
          <w:sz w:val="24"/>
          <w:szCs w:val="24"/>
          <w:highlight w:val="none"/>
          <w:lang w:eastAsia="zh-CN"/>
        </w:rPr>
        <w:t>竞争性磋商</w:t>
      </w:r>
      <w:r>
        <w:rPr>
          <w:rFonts w:hint="eastAsia" w:ascii="宋体" w:hAnsi="宋体" w:cs="宋体"/>
          <w:color w:val="auto"/>
          <w:sz w:val="24"/>
          <w:szCs w:val="24"/>
          <w:highlight w:val="none"/>
        </w:rPr>
        <w:t>文件</w:t>
      </w:r>
      <w:r>
        <w:rPr>
          <w:rFonts w:hint="eastAsia" w:cs="宋体"/>
          <w:color w:val="auto"/>
          <w:spacing w:val="8"/>
          <w:sz w:val="24"/>
          <w:szCs w:val="24"/>
          <w:highlight w:val="none"/>
          <w:shd w:val="clear" w:color="auto" w:fill="FFFFFF"/>
        </w:rPr>
        <w:t>有异议同时又参加投标以求侥幸中标或者为实现其他非法目的的行为。</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80"/>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三、参加本次</w:t>
      </w:r>
      <w:r>
        <w:rPr>
          <w:rFonts w:hint="eastAsia" w:cs="宋体"/>
          <w:color w:val="auto"/>
          <w:spacing w:val="8"/>
          <w:sz w:val="24"/>
          <w:szCs w:val="24"/>
          <w:highlight w:val="none"/>
          <w:shd w:val="clear" w:color="auto" w:fill="FFFFFF"/>
          <w:lang w:eastAsia="zh-CN"/>
        </w:rPr>
        <w:t>政府</w:t>
      </w:r>
      <w:r>
        <w:rPr>
          <w:rFonts w:hint="eastAsia" w:cs="宋体"/>
          <w:color w:val="auto"/>
          <w:spacing w:val="8"/>
          <w:sz w:val="24"/>
          <w:szCs w:val="24"/>
          <w:highlight w:val="none"/>
          <w:shd w:val="clear" w:color="auto" w:fill="FFFFFF"/>
        </w:rPr>
        <w:t>采购活动，不存在与单位负责人为同一人或者存在直接控股、管理关系的其他供应商参与同一合同项下的政府采购活动的行为。</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80"/>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四、参加本次</w:t>
      </w:r>
      <w:r>
        <w:rPr>
          <w:rFonts w:hint="eastAsia" w:cs="宋体"/>
          <w:color w:val="auto"/>
          <w:spacing w:val="8"/>
          <w:sz w:val="24"/>
          <w:szCs w:val="24"/>
          <w:highlight w:val="none"/>
          <w:shd w:val="clear" w:color="auto" w:fill="FFFFFF"/>
          <w:lang w:eastAsia="zh-CN"/>
        </w:rPr>
        <w:t>政府</w:t>
      </w:r>
      <w:r>
        <w:rPr>
          <w:rFonts w:hint="eastAsia" w:cs="宋体"/>
          <w:color w:val="auto"/>
          <w:spacing w:val="8"/>
          <w:sz w:val="24"/>
          <w:szCs w:val="24"/>
          <w:highlight w:val="none"/>
          <w:shd w:val="clear" w:color="auto" w:fill="FFFFFF"/>
        </w:rPr>
        <w:t>采购活动，不存在为采购项目提供整体设计、规范编制或者项目管理、监理、检测等服务的行为。</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80"/>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五、参加本次</w:t>
      </w:r>
      <w:r>
        <w:rPr>
          <w:rFonts w:hint="eastAsia" w:cs="宋体"/>
          <w:color w:val="auto"/>
          <w:spacing w:val="8"/>
          <w:sz w:val="24"/>
          <w:szCs w:val="24"/>
          <w:highlight w:val="none"/>
          <w:shd w:val="clear" w:color="auto" w:fill="FFFFFF"/>
          <w:lang w:eastAsia="zh-CN"/>
        </w:rPr>
        <w:t>政府</w:t>
      </w:r>
      <w:r>
        <w:rPr>
          <w:rFonts w:hint="eastAsia" w:cs="宋体"/>
          <w:color w:val="auto"/>
          <w:spacing w:val="8"/>
          <w:sz w:val="24"/>
          <w:szCs w:val="24"/>
          <w:highlight w:val="none"/>
          <w:shd w:val="clear" w:color="auto" w:fill="FFFFFF"/>
        </w:rPr>
        <w:t>采购活动，不存在和其他供应商在同一合同项下的采购项目中，同时委托同一个自然人、同一家庭的人员、同一单位的人员作为代理人的行为。</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80"/>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六、供应商参加本次政府采购活动要求在近三年内供应商和其法定代表人没有行贿犯罪行为。</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80"/>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七、</w:t>
      </w:r>
      <w:r>
        <w:rPr>
          <w:rFonts w:hint="eastAsia" w:cs="宋体"/>
          <w:color w:val="auto"/>
          <w:spacing w:val="8"/>
          <w:sz w:val="24"/>
          <w:szCs w:val="24"/>
          <w:highlight w:val="none"/>
          <w:shd w:val="clear" w:color="auto" w:fill="FFFFFF"/>
          <w:lang w:eastAsia="zh-CN"/>
        </w:rPr>
        <w:t>响应性</w:t>
      </w:r>
      <w:r>
        <w:rPr>
          <w:rFonts w:hint="eastAsia" w:cs="宋体"/>
          <w:color w:val="auto"/>
          <w:spacing w:val="8"/>
          <w:sz w:val="24"/>
          <w:szCs w:val="24"/>
          <w:highlight w:val="none"/>
          <w:shd w:val="clear" w:color="auto" w:fill="FFFFFF"/>
        </w:rPr>
        <w:t>文件中提供的能够给予我公司带来优惠、好处的任何材料资料和技术、服务、商务等响应承诺情况都是真实的、有效的、合法的。</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outlineLvl w:val="1"/>
        <w:rPr>
          <w:rFonts w:hint="eastAsia" w:cs="宋体"/>
          <w:color w:val="auto"/>
          <w:sz w:val="24"/>
          <w:szCs w:val="24"/>
          <w:highlight w:val="none"/>
        </w:rPr>
      </w:pPr>
      <w:r>
        <w:rPr>
          <w:rFonts w:hint="eastAsia" w:cs="宋体"/>
          <w:color w:val="auto"/>
          <w:spacing w:val="8"/>
          <w:sz w:val="24"/>
          <w:szCs w:val="24"/>
          <w:highlight w:val="none"/>
          <w:shd w:val="clear" w:color="auto" w:fill="FFFFFF"/>
        </w:rPr>
        <w:t>   八、存在以下行为之一的愿意接受相关部门的处理：</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   （一）投标有效期内撤销</w:t>
      </w:r>
      <w:r>
        <w:rPr>
          <w:rFonts w:hint="eastAsia" w:cs="宋体"/>
          <w:color w:val="auto"/>
          <w:spacing w:val="8"/>
          <w:sz w:val="24"/>
          <w:szCs w:val="24"/>
          <w:highlight w:val="none"/>
          <w:shd w:val="clear" w:color="auto" w:fill="FFFFFF"/>
          <w:lang w:eastAsia="zh-CN"/>
        </w:rPr>
        <w:t>响应性</w:t>
      </w:r>
      <w:r>
        <w:rPr>
          <w:rFonts w:hint="eastAsia" w:cs="宋体"/>
          <w:color w:val="auto"/>
          <w:spacing w:val="8"/>
          <w:sz w:val="24"/>
          <w:szCs w:val="24"/>
          <w:highlight w:val="none"/>
          <w:shd w:val="clear" w:color="auto" w:fill="FFFFFF"/>
        </w:rPr>
        <w:t>文件的；</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   （二）在采购人确定中标人以前放弃中标候选资格的；</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   （三）由于中标人的原因未能按照</w:t>
      </w:r>
      <w:r>
        <w:rPr>
          <w:rFonts w:hint="eastAsia" w:ascii="宋体" w:hAnsi="宋体" w:cs="宋体"/>
          <w:color w:val="auto"/>
          <w:sz w:val="24"/>
          <w:szCs w:val="24"/>
          <w:highlight w:val="none"/>
          <w:lang w:eastAsia="zh-CN"/>
        </w:rPr>
        <w:t>竞争性磋商</w:t>
      </w:r>
      <w:r>
        <w:rPr>
          <w:rFonts w:hint="eastAsia" w:ascii="宋体" w:hAnsi="宋体" w:cs="宋体"/>
          <w:color w:val="auto"/>
          <w:sz w:val="24"/>
          <w:szCs w:val="24"/>
          <w:highlight w:val="none"/>
        </w:rPr>
        <w:t>文件</w:t>
      </w:r>
      <w:r>
        <w:rPr>
          <w:rFonts w:hint="eastAsia" w:cs="宋体"/>
          <w:color w:val="auto"/>
          <w:spacing w:val="8"/>
          <w:sz w:val="24"/>
          <w:szCs w:val="24"/>
          <w:highlight w:val="none"/>
          <w:shd w:val="clear" w:color="auto" w:fill="FFFFFF"/>
        </w:rPr>
        <w:t>的规定与采购人签订合同；</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   （四）由于中标人的原因未能按照</w:t>
      </w:r>
      <w:r>
        <w:rPr>
          <w:rFonts w:hint="eastAsia" w:ascii="宋体" w:hAnsi="宋体" w:cs="宋体"/>
          <w:color w:val="auto"/>
          <w:sz w:val="24"/>
          <w:szCs w:val="24"/>
          <w:highlight w:val="none"/>
          <w:lang w:eastAsia="zh-CN"/>
        </w:rPr>
        <w:t>竞争性磋商</w:t>
      </w:r>
      <w:r>
        <w:rPr>
          <w:rFonts w:hint="eastAsia" w:ascii="宋体" w:hAnsi="宋体" w:cs="宋体"/>
          <w:color w:val="auto"/>
          <w:sz w:val="24"/>
          <w:szCs w:val="24"/>
          <w:highlight w:val="none"/>
        </w:rPr>
        <w:t>文件</w:t>
      </w:r>
      <w:r>
        <w:rPr>
          <w:rFonts w:hint="eastAsia" w:cs="宋体"/>
          <w:color w:val="auto"/>
          <w:spacing w:val="8"/>
          <w:sz w:val="24"/>
          <w:szCs w:val="24"/>
          <w:highlight w:val="none"/>
          <w:shd w:val="clear" w:color="auto" w:fill="FFFFFF"/>
        </w:rPr>
        <w:t>的规定交纳履约保证金；</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   （五）在</w:t>
      </w:r>
      <w:r>
        <w:rPr>
          <w:rFonts w:hint="eastAsia" w:cs="宋体"/>
          <w:color w:val="auto"/>
          <w:spacing w:val="8"/>
          <w:sz w:val="24"/>
          <w:szCs w:val="24"/>
          <w:highlight w:val="none"/>
          <w:shd w:val="clear" w:color="auto" w:fill="FFFFFF"/>
          <w:lang w:eastAsia="zh-CN"/>
        </w:rPr>
        <w:t>响应性</w:t>
      </w:r>
      <w:r>
        <w:rPr>
          <w:rFonts w:hint="eastAsia" w:cs="宋体"/>
          <w:color w:val="auto"/>
          <w:spacing w:val="8"/>
          <w:sz w:val="24"/>
          <w:szCs w:val="24"/>
          <w:highlight w:val="none"/>
          <w:shd w:val="clear" w:color="auto" w:fill="FFFFFF"/>
        </w:rPr>
        <w:t>文件中提供虚假材料谋取中标；</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   （六）与采购人、其他供应商或者采购代理机构恶意串通的；</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   （七）投标有效期内，供应商在政府采购活动中有违法、违规、违纪行为。</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    由此产生的一切法律后果和责任由我公司承担。我公司声明放弃对此提出任何异议和追索的权利。</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690"/>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本公司对上述承诺的内容事项真实性负责。如经查实上述承诺的内容事项存在虚假，我公司愿意接受以提供虚假材料谋取中标追究法律责任。</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       </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65"/>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供应商名称：</w:t>
      </w:r>
      <w:r>
        <w:rPr>
          <w:rFonts w:hint="eastAsia" w:cs="宋体"/>
          <w:color w:val="auto"/>
          <w:spacing w:val="8"/>
          <w:sz w:val="24"/>
          <w:szCs w:val="24"/>
          <w:highlight w:val="none"/>
          <w:u w:val="single"/>
          <w:shd w:val="clear" w:color="auto" w:fill="FFFFFF"/>
        </w:rPr>
        <w:t>                 </w:t>
      </w:r>
      <w:r>
        <w:rPr>
          <w:rFonts w:hint="eastAsia" w:cs="宋体"/>
          <w:color w:val="auto"/>
          <w:spacing w:val="8"/>
          <w:sz w:val="24"/>
          <w:szCs w:val="24"/>
          <w:highlight w:val="none"/>
          <w:shd w:val="clear" w:color="auto" w:fill="FFFFFF"/>
        </w:rPr>
        <w:t>（</w:t>
      </w:r>
      <w:r>
        <w:rPr>
          <w:rFonts w:hint="eastAsia" w:hAnsi="宋体" w:cs="宋体"/>
          <w:color w:val="auto"/>
          <w:sz w:val="24"/>
          <w:szCs w:val="24"/>
          <w:highlight w:val="none"/>
        </w:rPr>
        <w:t>电子签章</w:t>
      </w:r>
      <w:r>
        <w:rPr>
          <w:rFonts w:hint="eastAsia" w:cs="宋体"/>
          <w:color w:val="auto"/>
          <w:spacing w:val="8"/>
          <w:sz w:val="24"/>
          <w:szCs w:val="24"/>
          <w:highlight w:val="none"/>
          <w:shd w:val="clear" w:color="auto" w:fill="FFFFFF"/>
        </w:rPr>
        <w:t>）</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65"/>
        <w:textAlignment w:val="auto"/>
        <w:rPr>
          <w:rFonts w:hint="eastAsia" w:cs="宋体"/>
          <w:color w:val="auto"/>
          <w:sz w:val="24"/>
          <w:szCs w:val="24"/>
          <w:highlight w:val="none"/>
        </w:rPr>
      </w:pPr>
      <w:r>
        <w:rPr>
          <w:rFonts w:hint="eastAsia" w:cs="宋体"/>
          <w:color w:val="auto"/>
          <w:spacing w:val="8"/>
          <w:sz w:val="24"/>
          <w:szCs w:val="24"/>
          <w:highlight w:val="none"/>
          <w:shd w:val="clear" w:color="auto" w:fill="FFFFFF"/>
        </w:rPr>
        <w:t>法定代表人或授权代表：</w:t>
      </w:r>
      <w:r>
        <w:rPr>
          <w:rFonts w:hint="eastAsia" w:cs="宋体"/>
          <w:color w:val="auto"/>
          <w:spacing w:val="8"/>
          <w:sz w:val="24"/>
          <w:szCs w:val="24"/>
          <w:highlight w:val="none"/>
          <w:u w:val="single"/>
          <w:shd w:val="clear" w:color="auto" w:fill="FFFFFF"/>
        </w:rPr>
        <w:t>            </w:t>
      </w:r>
      <w:r>
        <w:rPr>
          <w:rFonts w:hint="eastAsia" w:cs="宋体"/>
          <w:color w:val="auto"/>
          <w:spacing w:val="8"/>
          <w:sz w:val="24"/>
          <w:szCs w:val="24"/>
          <w:highlight w:val="none"/>
          <w:shd w:val="clear" w:color="auto" w:fill="FFFFFF"/>
        </w:rPr>
        <w:t>（</w:t>
      </w:r>
      <w:r>
        <w:rPr>
          <w:rFonts w:hint="eastAsia" w:ascii="宋体" w:hAnsi="宋体" w:cs="宋体"/>
          <w:color w:val="auto"/>
          <w:sz w:val="24"/>
          <w:highlight w:val="none"/>
        </w:rPr>
        <w:t>签字或签章</w:t>
      </w:r>
      <w:r>
        <w:rPr>
          <w:rFonts w:hint="eastAsia" w:cs="宋体"/>
          <w:color w:val="auto"/>
          <w:spacing w:val="8"/>
          <w:sz w:val="24"/>
          <w:szCs w:val="24"/>
          <w:highlight w:val="none"/>
          <w:shd w:val="clear" w:color="auto" w:fill="FFFFFF"/>
        </w:rPr>
        <w:t>）</w:t>
      </w:r>
    </w:p>
    <w:p>
      <w:pPr>
        <w:pStyle w:val="23"/>
        <w:keepNext w:val="0"/>
        <w:keepLines w:val="0"/>
        <w:pageBreakBefore w:val="0"/>
        <w:kinsoku/>
        <w:wordWrap/>
        <w:overflowPunct/>
        <w:topLinePunct w:val="0"/>
        <w:autoSpaceDE/>
        <w:autoSpaceDN/>
        <w:bidi w:val="0"/>
        <w:adjustRightInd/>
        <w:snapToGrid/>
        <w:spacing w:beforeAutospacing="0" w:afterAutospacing="0" w:line="480" w:lineRule="auto"/>
        <w:ind w:firstLine="480"/>
        <w:textAlignment w:val="auto"/>
        <w:rPr>
          <w:rFonts w:hint="eastAsia" w:cs="宋体"/>
          <w:color w:val="auto"/>
          <w:spacing w:val="8"/>
          <w:sz w:val="24"/>
          <w:szCs w:val="24"/>
          <w:highlight w:val="none"/>
          <w:u w:val="single"/>
          <w:shd w:val="clear" w:color="auto" w:fill="FFFFFF"/>
        </w:rPr>
      </w:pPr>
      <w:r>
        <w:rPr>
          <w:rFonts w:hint="eastAsia" w:cs="宋体"/>
          <w:color w:val="auto"/>
          <w:spacing w:val="8"/>
          <w:sz w:val="24"/>
          <w:szCs w:val="24"/>
          <w:highlight w:val="none"/>
          <w:shd w:val="clear" w:color="auto" w:fill="FFFFFF"/>
        </w:rPr>
        <w:t>日期：</w:t>
      </w:r>
      <w:r>
        <w:rPr>
          <w:rFonts w:hint="eastAsia" w:cs="宋体"/>
          <w:color w:val="auto"/>
          <w:spacing w:val="8"/>
          <w:sz w:val="24"/>
          <w:szCs w:val="24"/>
          <w:highlight w:val="none"/>
          <w:u w:val="single"/>
          <w:shd w:val="clear" w:color="auto" w:fill="FFFFFF"/>
        </w:rPr>
        <w:t>              </w:t>
      </w:r>
    </w:p>
    <w:p>
      <w:pPr>
        <w:spacing w:line="360" w:lineRule="auto"/>
        <w:jc w:val="left"/>
        <w:rPr>
          <w:rFonts w:ascii="宋体" w:hAnsi="宋体" w:cs="宋体"/>
          <w:color w:val="auto"/>
          <w:sz w:val="24"/>
          <w:szCs w:val="24"/>
          <w:highlight w:val="none"/>
        </w:rPr>
      </w:pPr>
    </w:p>
    <w:p>
      <w:pPr>
        <w:rPr>
          <w:rFonts w:ascii="宋体" w:hAnsi="宋体" w:cs="宋体"/>
          <w:b/>
          <w:bCs/>
          <w:color w:val="auto"/>
          <w:sz w:val="28"/>
          <w:szCs w:val="28"/>
          <w:highlight w:val="none"/>
        </w:rPr>
      </w:pPr>
    </w:p>
    <w:p>
      <w:pPr>
        <w:jc w:val="center"/>
        <w:outlineLvl w:val="2"/>
        <w:rPr>
          <w:rFonts w:ascii="宋体" w:hAnsi="宋体" w:cs="宋体"/>
          <w:b/>
          <w:bCs/>
          <w:color w:val="auto"/>
          <w:sz w:val="30"/>
          <w:szCs w:val="30"/>
          <w:highlight w:val="none"/>
        </w:rPr>
      </w:pPr>
      <w:r>
        <w:rPr>
          <w:rFonts w:hint="eastAsia" w:ascii="宋体" w:hAnsi="宋体" w:cs="宋体"/>
          <w:b/>
          <w:bCs/>
          <w:color w:val="auto"/>
          <w:sz w:val="28"/>
          <w:szCs w:val="28"/>
          <w:highlight w:val="none"/>
        </w:rPr>
        <w:br w:type="page"/>
      </w:r>
      <w:r>
        <w:rPr>
          <w:rFonts w:hint="eastAsia" w:ascii="宋体" w:hAnsi="宋体" w:cs="宋体"/>
          <w:b/>
          <w:bCs/>
          <w:color w:val="auto"/>
          <w:sz w:val="28"/>
          <w:szCs w:val="28"/>
          <w:highlight w:val="none"/>
        </w:rPr>
        <w:t>4、供应商认为需要提供的其它资料</w:t>
      </w:r>
    </w:p>
    <w:p>
      <w:pPr>
        <w:ind w:left="0" w:leftChars="0" w:firstLine="0" w:firstLineChars="0"/>
        <w:jc w:val="center"/>
        <w:outlineLvl w:val="0"/>
        <w:rPr>
          <w:rFonts w:hint="eastAsia" w:ascii="宋体" w:hAnsi="宋体" w:cs="宋体"/>
          <w:b/>
          <w:bCs/>
          <w:color w:val="auto"/>
          <w:sz w:val="28"/>
          <w:szCs w:val="28"/>
          <w:highlight w:val="none"/>
        </w:rPr>
      </w:pPr>
      <w:bookmarkStart w:id="141" w:name="_Toc102045549"/>
      <w:r>
        <w:rPr>
          <w:rFonts w:hint="eastAsia" w:ascii="宋体" w:hAnsi="宋体" w:cs="宋体"/>
          <w:b/>
          <w:bCs/>
          <w:color w:val="auto"/>
          <w:sz w:val="28"/>
          <w:szCs w:val="28"/>
          <w:highlight w:val="none"/>
        </w:rPr>
        <w:t>（应包含业绩及评分办法所需资料等）</w:t>
      </w:r>
    </w:p>
    <w:p>
      <w:pPr>
        <w:pStyle w:val="2"/>
        <w:bidi w:val="0"/>
        <w:rPr>
          <w:rFonts w:ascii="宋体" w:hAnsi="宋体" w:cs="宋体"/>
          <w:b/>
          <w:bCs/>
          <w:color w:val="auto"/>
          <w:sz w:val="40"/>
          <w:szCs w:val="40"/>
          <w:highlight w:val="none"/>
        </w:rPr>
      </w:pPr>
      <w:r>
        <w:rPr>
          <w:rFonts w:hint="eastAsia" w:ascii="宋体" w:hAnsi="宋体" w:cs="宋体"/>
          <w:b w:val="0"/>
          <w:bCs w:val="0"/>
          <w:color w:val="auto"/>
          <w:sz w:val="28"/>
          <w:szCs w:val="28"/>
          <w:highlight w:val="none"/>
        </w:rPr>
        <w:br w:type="page"/>
      </w:r>
      <w:bookmarkStart w:id="142" w:name="_Toc24951"/>
      <w:bookmarkStart w:id="143" w:name="_Toc391"/>
      <w:bookmarkStart w:id="144" w:name="_Toc24652"/>
      <w:bookmarkStart w:id="145" w:name="_Toc2185"/>
      <w:r>
        <w:rPr>
          <w:rFonts w:hint="eastAsia" w:ascii="宋体" w:hAnsi="宋体" w:cs="宋体"/>
          <w:b/>
          <w:bCs/>
          <w:color w:val="auto"/>
          <w:sz w:val="40"/>
          <w:szCs w:val="40"/>
          <w:highlight w:val="none"/>
        </w:rPr>
        <w:t xml:space="preserve">第五章 </w:t>
      </w:r>
      <w:r>
        <w:rPr>
          <w:rFonts w:hint="eastAsia" w:ascii="宋体" w:hAnsi="宋体" w:cs="宋体"/>
          <w:b/>
          <w:bCs/>
          <w:color w:val="auto"/>
          <w:sz w:val="40"/>
          <w:szCs w:val="40"/>
          <w:highlight w:val="none"/>
          <w:lang w:eastAsia="zh-CN"/>
        </w:rPr>
        <w:t>施工</w:t>
      </w:r>
      <w:r>
        <w:rPr>
          <w:rFonts w:hint="eastAsia" w:ascii="宋体" w:hAnsi="宋体" w:cs="宋体"/>
          <w:b/>
          <w:bCs/>
          <w:color w:val="auto"/>
          <w:sz w:val="40"/>
          <w:szCs w:val="40"/>
          <w:highlight w:val="none"/>
        </w:rPr>
        <w:t>合同</w:t>
      </w:r>
      <w:bookmarkEnd w:id="141"/>
      <w:bookmarkEnd w:id="142"/>
      <w:bookmarkEnd w:id="143"/>
      <w:bookmarkEnd w:id="144"/>
      <w:bookmarkEnd w:id="145"/>
    </w:p>
    <w:p>
      <w:pPr>
        <w:spacing w:line="440" w:lineRule="exact"/>
        <w:rPr>
          <w:rFonts w:ascii="宋体" w:hAnsi="宋体" w:cs="宋体"/>
          <w:color w:val="auto"/>
          <w:szCs w:val="21"/>
          <w:highlight w:val="none"/>
          <w:lang w:val="zh-CN"/>
        </w:rPr>
      </w:pPr>
    </w:p>
    <w:bookmarkEnd w:id="115"/>
    <w:p>
      <w:pPr>
        <w:pStyle w:val="3"/>
        <w:bidi w:val="0"/>
        <w:rPr>
          <w:rFonts w:hint="eastAsia"/>
          <w:b/>
          <w:bCs/>
          <w:color w:val="auto"/>
          <w:sz w:val="32"/>
          <w:szCs w:val="32"/>
          <w:highlight w:val="none"/>
        </w:rPr>
      </w:pPr>
      <w:bookmarkStart w:id="146" w:name="_Toc416524962"/>
      <w:bookmarkStart w:id="147" w:name="_Toc32707"/>
      <w:bookmarkStart w:id="148" w:name="_Toc11679"/>
      <w:bookmarkStart w:id="149" w:name="_Toc29551"/>
      <w:r>
        <w:rPr>
          <w:rFonts w:hint="eastAsia"/>
          <w:b/>
          <w:bCs/>
          <w:color w:val="auto"/>
          <w:sz w:val="32"/>
          <w:szCs w:val="32"/>
          <w:highlight w:val="none"/>
        </w:rPr>
        <w:t>第一部分  合同</w:t>
      </w:r>
      <w:bookmarkEnd w:id="146"/>
      <w:r>
        <w:rPr>
          <w:rFonts w:hint="eastAsia"/>
          <w:b/>
          <w:bCs/>
          <w:color w:val="auto"/>
          <w:sz w:val="32"/>
          <w:szCs w:val="32"/>
          <w:highlight w:val="none"/>
        </w:rPr>
        <w:t>协议书</w:t>
      </w:r>
      <w:bookmarkEnd w:id="147"/>
      <w:bookmarkEnd w:id="148"/>
    </w:p>
    <w:p>
      <w:pPr>
        <w:autoSpaceDE w:val="0"/>
        <w:autoSpaceDN w:val="0"/>
        <w:spacing w:line="440" w:lineRule="exact"/>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rPr>
        <w:t xml:space="preserve">     发包人（全称）：</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cs="宋体"/>
          <w:color w:val="auto"/>
          <w:sz w:val="21"/>
          <w:szCs w:val="21"/>
          <w:highlight w:val="none"/>
          <w:u w:val="single"/>
          <w:lang w:eastAsia="zh-CN"/>
        </w:rPr>
        <w:t>沁阳市常平中心幼儿园</w:t>
      </w:r>
      <w:r>
        <w:rPr>
          <w:rFonts w:hint="eastAsia" w:ascii="宋体" w:hAnsi="宋体" w:eastAsia="宋体" w:cs="宋体"/>
          <w:color w:val="auto"/>
          <w:kern w:val="0"/>
          <w:szCs w:val="21"/>
          <w:highlight w:val="none"/>
          <w:u w:val="single"/>
          <w:lang w:val="en-US" w:eastAsia="zh-CN"/>
        </w:rPr>
        <w:t xml:space="preserve">  </w:t>
      </w:r>
    </w:p>
    <w:p>
      <w:pPr>
        <w:autoSpaceDE w:val="0"/>
        <w:autoSpaceDN w:val="0"/>
        <w:spacing w:line="440" w:lineRule="exact"/>
        <w:ind w:firstLine="560"/>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承包人（全称）：</w:t>
      </w:r>
      <w:r>
        <w:rPr>
          <w:rFonts w:hint="eastAsia" w:ascii="宋体" w:hAnsi="宋体" w:cs="宋体"/>
          <w:color w:val="auto"/>
          <w:kern w:val="0"/>
          <w:szCs w:val="21"/>
          <w:highlight w:val="none"/>
          <w:u w:val="single"/>
        </w:rPr>
        <w:t xml:space="preserve">                       </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根据《中华人民共和国合同法》、《中华人民共和国建筑法》及有关法律规定，遵循平等、自愿、公平和诚实信用的原则，双</w:t>
      </w:r>
      <w:r>
        <w:rPr>
          <w:rFonts w:hint="eastAsia" w:ascii="宋体" w:hAnsi="宋体" w:cs="宋体"/>
          <w:color w:val="auto"/>
          <w:kern w:val="0"/>
          <w:szCs w:val="21"/>
          <w:highlight w:val="none"/>
          <w:lang w:val="en-US" w:eastAsia="zh-CN"/>
        </w:rPr>
        <w:t>方</w:t>
      </w:r>
      <w:r>
        <w:rPr>
          <w:rFonts w:hint="eastAsia" w:ascii="宋体" w:hAnsi="宋体" w:cs="宋体"/>
          <w:color w:val="auto"/>
          <w:kern w:val="0"/>
          <w:szCs w:val="21"/>
          <w:highlight w:val="none"/>
        </w:rPr>
        <w:t>就</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工程施工及有关事项协商一致，共同达成如下协议：</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一、工程概况</w:t>
      </w:r>
    </w:p>
    <w:p>
      <w:pPr>
        <w:autoSpaceDE w:val="0"/>
        <w:autoSpaceDN w:val="0"/>
        <w:spacing w:line="440" w:lineRule="exact"/>
        <w:ind w:firstLine="560"/>
        <w:jc w:val="left"/>
        <w:rPr>
          <w:rFonts w:hint="default" w:ascii="宋体" w:hAnsi="宋体" w:eastAsia="宋体" w:cs="宋体"/>
          <w:color w:val="auto"/>
          <w:kern w:val="0"/>
          <w:szCs w:val="21"/>
          <w:highlight w:val="none"/>
          <w:u w:val="single"/>
          <w:lang w:val="en-US"/>
        </w:rPr>
      </w:pPr>
      <w:r>
        <w:rPr>
          <w:rFonts w:hint="eastAsia" w:ascii="宋体" w:hAnsi="宋体" w:cs="宋体"/>
          <w:color w:val="auto"/>
          <w:kern w:val="0"/>
          <w:szCs w:val="21"/>
          <w:highlight w:val="none"/>
        </w:rPr>
        <w:t>1.工程名称：</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lang w:val="en-US" w:eastAsia="zh-CN"/>
        </w:rPr>
        <w:t>沁阳市常平中心幼儿园校尉营分园配套工程项目</w:t>
      </w:r>
      <w:r>
        <w:rPr>
          <w:rFonts w:hint="eastAsia" w:ascii="宋体" w:hAnsi="宋体" w:eastAsia="宋体" w:cs="宋体"/>
          <w:color w:val="auto"/>
          <w:kern w:val="0"/>
          <w:szCs w:val="21"/>
          <w:highlight w:val="none"/>
          <w:u w:val="single"/>
          <w:lang w:val="en-US" w:eastAsia="zh-CN"/>
        </w:rPr>
        <w:t xml:space="preserve">  </w:t>
      </w:r>
    </w:p>
    <w:p>
      <w:pPr>
        <w:autoSpaceDE w:val="0"/>
        <w:autoSpaceDN w:val="0"/>
        <w:spacing w:line="440" w:lineRule="exact"/>
        <w:ind w:firstLine="560"/>
        <w:jc w:val="left"/>
        <w:rPr>
          <w:rFonts w:hint="default" w:ascii="宋体" w:hAnsi="宋体" w:cs="宋体"/>
          <w:color w:val="auto"/>
          <w:kern w:val="0"/>
          <w:szCs w:val="21"/>
          <w:highlight w:val="none"/>
          <w:u w:val="single"/>
          <w:lang w:val="en-US"/>
        </w:rPr>
      </w:pPr>
      <w:r>
        <w:rPr>
          <w:rFonts w:hint="eastAsia" w:ascii="宋体" w:hAnsi="宋体" w:cs="宋体"/>
          <w:color w:val="auto"/>
          <w:kern w:val="0"/>
          <w:szCs w:val="21"/>
          <w:highlight w:val="none"/>
        </w:rPr>
        <w:t>2.工程地点：</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lang w:val="en-US" w:eastAsia="zh-CN"/>
        </w:rPr>
        <w:t xml:space="preserve">沁阳市常平中心幼儿园                     </w:t>
      </w:r>
      <w:r>
        <w:rPr>
          <w:rFonts w:hint="eastAsia" w:ascii="宋体" w:hAnsi="宋体" w:eastAsia="宋体" w:cs="宋体"/>
          <w:color w:val="auto"/>
          <w:kern w:val="0"/>
          <w:szCs w:val="21"/>
          <w:highlight w:val="none"/>
          <w:u w:val="single"/>
          <w:lang w:val="en-US" w:eastAsia="zh-CN"/>
        </w:rPr>
        <w:t xml:space="preserve">   </w:t>
      </w:r>
    </w:p>
    <w:p>
      <w:pPr>
        <w:autoSpaceDE w:val="0"/>
        <w:autoSpaceDN w:val="0"/>
        <w:spacing w:line="440" w:lineRule="exact"/>
        <w:ind w:firstLine="560"/>
        <w:jc w:val="left"/>
        <w:rPr>
          <w:rFonts w:hint="default" w:ascii="宋体" w:hAnsi="宋体" w:cs="宋体"/>
          <w:color w:val="auto"/>
          <w:kern w:val="0"/>
          <w:szCs w:val="21"/>
          <w:highlight w:val="none"/>
          <w:u w:val="single"/>
          <w:lang w:val="en-US"/>
        </w:rPr>
      </w:pPr>
      <w:r>
        <w:rPr>
          <w:rFonts w:hint="eastAsia" w:ascii="宋体" w:hAnsi="宋体" w:cs="宋体"/>
          <w:color w:val="auto"/>
          <w:kern w:val="0"/>
          <w:szCs w:val="21"/>
          <w:highlight w:val="none"/>
        </w:rPr>
        <w:t>3.工程立项批准文号：</w:t>
      </w:r>
      <w:r>
        <w:rPr>
          <w:rFonts w:hint="eastAsia" w:ascii="宋体" w:hAnsi="宋体" w:cs="宋体"/>
          <w:color w:val="auto"/>
          <w:kern w:val="0"/>
          <w:szCs w:val="21"/>
          <w:highlight w:val="none"/>
          <w:u w:val="single"/>
          <w:lang w:val="en-US" w:eastAsia="zh-CN"/>
        </w:rPr>
        <w:t xml:space="preserve">        /             </w:t>
      </w:r>
    </w:p>
    <w:p>
      <w:pPr>
        <w:autoSpaceDE w:val="0"/>
        <w:autoSpaceDN w:val="0"/>
        <w:spacing w:line="440" w:lineRule="exact"/>
        <w:ind w:firstLine="560"/>
        <w:jc w:val="left"/>
        <w:outlineLvl w:val="3"/>
        <w:rPr>
          <w:rFonts w:hint="default" w:ascii="宋体" w:hAnsi="宋体" w:eastAsia="宋体" w:cs="宋体"/>
          <w:color w:val="auto"/>
          <w:kern w:val="0"/>
          <w:szCs w:val="21"/>
          <w:highlight w:val="none"/>
          <w:u w:val="single"/>
          <w:lang w:val="en-US" w:eastAsia="zh-CN"/>
        </w:rPr>
      </w:pPr>
      <w:r>
        <w:rPr>
          <w:rFonts w:hint="eastAsia" w:ascii="宋体" w:hAnsi="宋体" w:cs="宋体"/>
          <w:color w:val="auto"/>
          <w:kern w:val="0"/>
          <w:szCs w:val="21"/>
          <w:highlight w:val="none"/>
        </w:rPr>
        <w:t>4.资金来源：</w:t>
      </w:r>
      <w:r>
        <w:rPr>
          <w:rFonts w:hint="eastAsia" w:ascii="宋体" w:hAnsi="宋体" w:cs="宋体"/>
          <w:color w:val="auto"/>
          <w:kern w:val="0"/>
          <w:szCs w:val="21"/>
          <w:highlight w:val="none"/>
          <w:u w:val="single"/>
          <w:lang w:val="en-US" w:eastAsia="zh-CN"/>
        </w:rPr>
        <w:t xml:space="preserve">   财政资金         </w:t>
      </w:r>
    </w:p>
    <w:p>
      <w:pPr>
        <w:autoSpaceDE w:val="0"/>
        <w:autoSpaceDN w:val="0"/>
        <w:spacing w:line="440" w:lineRule="exact"/>
        <w:ind w:firstLine="560"/>
        <w:jc w:val="left"/>
        <w:rPr>
          <w:rFonts w:hint="default" w:ascii="宋体" w:hAnsi="宋体" w:cs="宋体"/>
          <w:color w:val="auto"/>
          <w:kern w:val="0"/>
          <w:szCs w:val="21"/>
          <w:highlight w:val="none"/>
          <w:u w:val="single"/>
          <w:lang w:val="en-US"/>
        </w:rPr>
      </w:pPr>
      <w:r>
        <w:rPr>
          <w:rFonts w:hint="eastAsia" w:ascii="宋体" w:hAnsi="宋体" w:cs="宋体"/>
          <w:color w:val="auto"/>
          <w:kern w:val="0"/>
          <w:szCs w:val="21"/>
          <w:highlight w:val="none"/>
        </w:rPr>
        <w:t>5.工程内容：</w:t>
      </w:r>
      <w:r>
        <w:rPr>
          <w:rFonts w:hint="eastAsia" w:ascii="宋体" w:hAnsi="宋体" w:eastAsia="宋体" w:cs="宋体"/>
          <w:color w:val="auto"/>
          <w:kern w:val="0"/>
          <w:szCs w:val="21"/>
          <w:highlight w:val="none"/>
          <w:u w:val="single"/>
          <w:lang w:val="en-US" w:eastAsia="zh-CN"/>
        </w:rPr>
        <w:t xml:space="preserve">  本工程为</w:t>
      </w:r>
      <w:r>
        <w:rPr>
          <w:rFonts w:hint="eastAsia" w:ascii="宋体" w:hAnsi="宋体" w:cs="宋体"/>
          <w:color w:val="auto"/>
          <w:kern w:val="0"/>
          <w:szCs w:val="21"/>
          <w:highlight w:val="none"/>
          <w:u w:val="single"/>
          <w:lang w:val="en-US" w:eastAsia="zh-CN"/>
        </w:rPr>
        <w:t>沁阳市常平中心幼儿园</w:t>
      </w:r>
      <w:r>
        <w:rPr>
          <w:rFonts w:hint="eastAsia" w:ascii="宋体" w:hAnsi="宋体" w:eastAsia="宋体" w:cs="宋体"/>
          <w:color w:val="auto"/>
          <w:kern w:val="0"/>
          <w:szCs w:val="21"/>
          <w:highlight w:val="none"/>
          <w:u w:val="single"/>
          <w:lang w:val="en-US" w:eastAsia="zh-CN"/>
        </w:rPr>
        <w:t xml:space="preserve">教学楼及辅助用房改造，建筑面积900平方米，主要内容包括：教学楼改造、新建厕所一座等。   </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群体工程应附《承包人承揽工程一览表》（附件1）。</w:t>
      </w:r>
    </w:p>
    <w:p>
      <w:pPr>
        <w:autoSpaceDE w:val="0"/>
        <w:autoSpaceDN w:val="0"/>
        <w:spacing w:line="440" w:lineRule="exact"/>
        <w:ind w:firstLine="560"/>
        <w:jc w:val="left"/>
        <w:rPr>
          <w:rFonts w:hint="default" w:ascii="宋体" w:hAnsi="宋体" w:cs="宋体"/>
          <w:color w:val="auto"/>
          <w:kern w:val="0"/>
          <w:szCs w:val="21"/>
          <w:highlight w:val="none"/>
          <w:u w:val="single"/>
          <w:lang w:val="en-US"/>
        </w:rPr>
      </w:pPr>
      <w:r>
        <w:rPr>
          <w:rFonts w:hint="eastAsia" w:ascii="宋体" w:hAnsi="宋体" w:cs="宋体"/>
          <w:color w:val="auto"/>
          <w:kern w:val="0"/>
          <w:szCs w:val="21"/>
          <w:highlight w:val="none"/>
        </w:rPr>
        <w:t>6.工程承包范围：</w:t>
      </w:r>
      <w:r>
        <w:rPr>
          <w:rFonts w:hint="eastAsia" w:ascii="宋体" w:hAnsi="宋体" w:cs="宋体"/>
          <w:color w:val="auto"/>
          <w:kern w:val="0"/>
          <w:szCs w:val="21"/>
          <w:highlight w:val="none"/>
          <w:u w:val="single"/>
          <w:lang w:val="en-US" w:eastAsia="zh-CN"/>
        </w:rPr>
        <w:t xml:space="preserve">                                   </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二、合同工期</w:t>
      </w:r>
    </w:p>
    <w:p>
      <w:pPr>
        <w:autoSpaceDE w:val="0"/>
        <w:autoSpaceDN w:val="0"/>
        <w:spacing w:line="440" w:lineRule="exact"/>
        <w:ind w:firstLine="560"/>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计划开工日期：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w:t>
      </w:r>
    </w:p>
    <w:p>
      <w:pPr>
        <w:autoSpaceDE w:val="0"/>
        <w:autoSpaceDN w:val="0"/>
        <w:spacing w:line="440" w:lineRule="exact"/>
        <w:ind w:firstLine="560"/>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计划竣工日期：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工期总日历天数:</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天。工期总日历天数与根据前期计算的工期天数不一致的，以工期总日历天数为准。</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三、质量标准</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工程质量符合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标准。</w:t>
      </w:r>
    </w:p>
    <w:p>
      <w:pPr>
        <w:autoSpaceDE w:val="0"/>
        <w:autoSpaceDN w:val="0"/>
        <w:spacing w:line="440" w:lineRule="exact"/>
        <w:ind w:firstLine="420" w:firstLineChars="200"/>
        <w:jc w:val="left"/>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四、安全目标：安全生产无事故</w:t>
      </w:r>
    </w:p>
    <w:p>
      <w:pPr>
        <w:autoSpaceDE w:val="0"/>
        <w:autoSpaceDN w:val="0"/>
        <w:spacing w:line="440" w:lineRule="exact"/>
        <w:ind w:firstLine="56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五</w:t>
      </w:r>
      <w:r>
        <w:rPr>
          <w:rFonts w:hint="eastAsia" w:ascii="宋体" w:hAnsi="宋体" w:eastAsia="宋体" w:cs="宋体"/>
          <w:color w:val="auto"/>
          <w:kern w:val="0"/>
          <w:szCs w:val="21"/>
          <w:highlight w:val="none"/>
        </w:rPr>
        <w:t>、签约合同价与合同价格形式</w:t>
      </w:r>
    </w:p>
    <w:p>
      <w:pPr>
        <w:autoSpaceDE w:val="0"/>
        <w:autoSpaceDN w:val="0"/>
        <w:spacing w:line="440" w:lineRule="exact"/>
        <w:ind w:firstLine="560"/>
        <w:jc w:val="left"/>
        <w:outlineLvl w:val="3"/>
        <w:rPr>
          <w:rFonts w:hint="eastAsia" w:ascii="宋体" w:hAnsi="宋体" w:cs="宋体"/>
          <w:color w:val="auto"/>
          <w:kern w:val="0"/>
          <w:szCs w:val="21"/>
          <w:highlight w:val="none"/>
        </w:rPr>
      </w:pPr>
      <w:r>
        <w:rPr>
          <w:rFonts w:hint="eastAsia" w:ascii="宋体" w:hAnsi="宋体" w:cs="宋体"/>
          <w:color w:val="auto"/>
          <w:kern w:val="0"/>
          <w:szCs w:val="21"/>
          <w:highlight w:val="none"/>
        </w:rPr>
        <w:t>1.签约合同价为：</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人民币（大写）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其中：</w:t>
      </w:r>
    </w:p>
    <w:p>
      <w:pPr>
        <w:numPr>
          <w:ilvl w:val="0"/>
          <w:numId w:val="0"/>
        </w:numPr>
        <w:autoSpaceDE w:val="0"/>
        <w:autoSpaceDN w:val="0"/>
        <w:spacing w:line="440" w:lineRule="exact"/>
        <w:ind w:left="560" w:leftChars="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安全文明施工费：</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人民币（大写）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（2）材料和工程设备暂估价金额：</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人民币（大写）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（3）专业工程暂估价金额：</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人民币（大写）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（4）暂列金额：</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人民币（大写）</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元）；</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2.合同价格形式：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六</w:t>
      </w:r>
      <w:r>
        <w:rPr>
          <w:rFonts w:hint="eastAsia" w:ascii="宋体" w:hAnsi="宋体" w:cs="宋体"/>
          <w:color w:val="auto"/>
          <w:kern w:val="0"/>
          <w:szCs w:val="21"/>
          <w:highlight w:val="none"/>
        </w:rPr>
        <w:t>、项目经理</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承包人项目经理</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七</w:t>
      </w:r>
      <w:r>
        <w:rPr>
          <w:rFonts w:hint="eastAsia" w:ascii="宋体" w:hAnsi="宋体" w:cs="宋体"/>
          <w:color w:val="auto"/>
          <w:kern w:val="0"/>
          <w:szCs w:val="21"/>
          <w:highlight w:val="none"/>
        </w:rPr>
        <w:t>、合同文件构成</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本协议书与下列文件一起构成合同文件：</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（1）中标通知书；</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（2）投标函及其附件；</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（3）专用合同条款及其附件；</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（4）通用合同条款；</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（5）技术标准和要求；</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（6）图纸；</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（7）已标价工程量清单或预算书；</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（8）其他合同文件。</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在合同订立及履行过程中形成的与合同有关的文件均构成合同文件组成部分。</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上述各项文件包括合同当事人就该项合同文件所作出的补充和修改，属开同一类内容的文件，应以最新签署的为准。专用合同条款及其附件须经合同当事人签字或盖章。</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八</w:t>
      </w:r>
      <w:r>
        <w:rPr>
          <w:rFonts w:hint="eastAsia" w:ascii="宋体" w:hAnsi="宋体" w:cs="宋体"/>
          <w:color w:val="auto"/>
          <w:kern w:val="0"/>
          <w:szCs w:val="21"/>
          <w:highlight w:val="none"/>
        </w:rPr>
        <w:t>、承诺</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1.发包人承诺按照法律规定履行项目审批手续、筹集工程建设资金并按照合同约定的期限和方式方法支付合同价款。</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2.承包人承诺按照法律规定及合同约定组织完成工程施工，确保工程质量和安全，不进行转包及违法分包，并在缺陷责任期及保修期内承担相应的工程维修责任。</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3.发包人和承包人通过招投标开工签订合同的，双方理解并承诺不再就同一工程另行签订与合同实质性内容相背离的协议。</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九</w:t>
      </w:r>
      <w:r>
        <w:rPr>
          <w:rFonts w:hint="eastAsia" w:ascii="宋体" w:hAnsi="宋体" w:cs="宋体"/>
          <w:color w:val="auto"/>
          <w:kern w:val="0"/>
          <w:szCs w:val="21"/>
          <w:highlight w:val="none"/>
        </w:rPr>
        <w:t>、词语含义</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本协议书中词语含义与第二部分通过合同条款中赋予的含义相同。</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十</w:t>
      </w:r>
      <w:r>
        <w:rPr>
          <w:rFonts w:hint="eastAsia" w:ascii="宋体" w:hAnsi="宋体" w:cs="宋体"/>
          <w:color w:val="auto"/>
          <w:kern w:val="0"/>
          <w:szCs w:val="21"/>
          <w:highlight w:val="none"/>
        </w:rPr>
        <w:t>、签订时间</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本合同于</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日签订。</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十</w:t>
      </w:r>
      <w:r>
        <w:rPr>
          <w:rFonts w:hint="eastAsia" w:ascii="宋体" w:hAnsi="宋体" w:cs="宋体"/>
          <w:color w:val="auto"/>
          <w:kern w:val="0"/>
          <w:szCs w:val="21"/>
          <w:highlight w:val="none"/>
          <w:lang w:eastAsia="zh-CN"/>
        </w:rPr>
        <w:t>一</w:t>
      </w:r>
      <w:r>
        <w:rPr>
          <w:rFonts w:hint="eastAsia" w:ascii="宋体" w:hAnsi="宋体" w:cs="宋体"/>
          <w:color w:val="auto"/>
          <w:kern w:val="0"/>
          <w:szCs w:val="21"/>
          <w:highlight w:val="none"/>
        </w:rPr>
        <w:t>、签订地点</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本合同在</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eastAsia="zh-CN"/>
        </w:rPr>
        <w:t>项目所在地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签订。</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十</w:t>
      </w:r>
      <w:r>
        <w:rPr>
          <w:rFonts w:hint="eastAsia" w:ascii="宋体" w:hAnsi="宋体" w:cs="宋体"/>
          <w:color w:val="auto"/>
          <w:kern w:val="0"/>
          <w:szCs w:val="21"/>
          <w:highlight w:val="none"/>
          <w:lang w:eastAsia="zh-CN"/>
        </w:rPr>
        <w:t>二</w:t>
      </w:r>
      <w:r>
        <w:rPr>
          <w:rFonts w:hint="eastAsia" w:ascii="宋体" w:hAnsi="宋体" w:cs="宋体"/>
          <w:color w:val="auto"/>
          <w:kern w:val="0"/>
          <w:szCs w:val="21"/>
          <w:highlight w:val="none"/>
        </w:rPr>
        <w:t>、补充协议</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合同未尽事宜，合同当事人另行签订补充协议，补充协议是合同的组成部分。</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十</w:t>
      </w:r>
      <w:r>
        <w:rPr>
          <w:rFonts w:hint="eastAsia" w:ascii="宋体" w:hAnsi="宋体" w:cs="宋体"/>
          <w:color w:val="auto"/>
          <w:kern w:val="0"/>
          <w:szCs w:val="21"/>
          <w:highlight w:val="none"/>
          <w:lang w:eastAsia="zh-CN"/>
        </w:rPr>
        <w:t>三</w:t>
      </w:r>
      <w:r>
        <w:rPr>
          <w:rFonts w:hint="eastAsia" w:ascii="宋体" w:hAnsi="宋体" w:cs="宋体"/>
          <w:color w:val="auto"/>
          <w:kern w:val="0"/>
          <w:szCs w:val="21"/>
          <w:highlight w:val="none"/>
        </w:rPr>
        <w:t>、合同生效</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本合同自</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生效。</w:t>
      </w:r>
    </w:p>
    <w:p>
      <w:pPr>
        <w:autoSpaceDE w:val="0"/>
        <w:autoSpaceDN w:val="0"/>
        <w:spacing w:line="440" w:lineRule="exact"/>
        <w:ind w:firstLine="560"/>
        <w:jc w:val="left"/>
        <w:outlineLvl w:val="2"/>
        <w:rPr>
          <w:rFonts w:hint="eastAsia" w:ascii="宋体" w:hAnsi="宋体" w:cs="宋体"/>
          <w:color w:val="auto"/>
          <w:kern w:val="0"/>
          <w:szCs w:val="21"/>
          <w:highlight w:val="none"/>
        </w:rPr>
      </w:pPr>
      <w:r>
        <w:rPr>
          <w:rFonts w:hint="eastAsia" w:ascii="宋体" w:hAnsi="宋体" w:cs="宋体"/>
          <w:color w:val="auto"/>
          <w:kern w:val="0"/>
          <w:szCs w:val="21"/>
          <w:highlight w:val="none"/>
        </w:rPr>
        <w:t>十</w:t>
      </w:r>
      <w:r>
        <w:rPr>
          <w:rFonts w:hint="eastAsia" w:ascii="宋体" w:hAnsi="宋体" w:cs="宋体"/>
          <w:color w:val="auto"/>
          <w:kern w:val="0"/>
          <w:szCs w:val="21"/>
          <w:highlight w:val="none"/>
          <w:lang w:eastAsia="zh-CN"/>
        </w:rPr>
        <w:t>四</w:t>
      </w:r>
      <w:r>
        <w:rPr>
          <w:rFonts w:hint="eastAsia" w:ascii="宋体" w:hAnsi="宋体" w:cs="宋体"/>
          <w:color w:val="auto"/>
          <w:kern w:val="0"/>
          <w:szCs w:val="21"/>
          <w:highlight w:val="none"/>
        </w:rPr>
        <w:t>、合同分数</w:t>
      </w:r>
    </w:p>
    <w:p>
      <w:pPr>
        <w:autoSpaceDE w:val="0"/>
        <w:autoSpaceDN w:val="0"/>
        <w:spacing w:line="440" w:lineRule="exact"/>
        <w:ind w:firstLine="56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本合同一式</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份，均具有同等法律效力，发包人执</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rPr>
        <w:t>份，承包人执</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rPr>
        <w:t>份。</w:t>
      </w:r>
    </w:p>
    <w:p>
      <w:pPr>
        <w:autoSpaceDE w:val="0"/>
        <w:autoSpaceDN w:val="0"/>
        <w:spacing w:line="440" w:lineRule="exact"/>
        <w:jc w:val="left"/>
        <w:rPr>
          <w:rFonts w:hint="eastAsia" w:ascii="宋体" w:hAnsi="宋体" w:cs="宋体"/>
          <w:color w:val="auto"/>
          <w:kern w:val="0"/>
          <w:szCs w:val="21"/>
          <w:highlight w:val="none"/>
        </w:rPr>
      </w:pPr>
    </w:p>
    <w:p>
      <w:pPr>
        <w:pStyle w:val="9"/>
        <w:rPr>
          <w:rFonts w:hint="eastAsia" w:ascii="宋体" w:hAnsi="宋体" w:cs="宋体"/>
          <w:color w:val="auto"/>
          <w:kern w:val="0"/>
          <w:szCs w:val="21"/>
          <w:highlight w:val="none"/>
        </w:rPr>
      </w:pPr>
    </w:p>
    <w:p>
      <w:pPr>
        <w:rPr>
          <w:rFonts w:hint="eastAsia"/>
          <w:color w:val="auto"/>
          <w:highlight w:val="none"/>
        </w:rPr>
      </w:pPr>
    </w:p>
    <w:p>
      <w:pPr>
        <w:autoSpaceDE w:val="0"/>
        <w:autoSpaceDN w:val="0"/>
        <w:spacing w:line="440" w:lineRule="exact"/>
        <w:ind w:firstLine="567" w:firstLineChars="27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发包人：（公章）                        承包人：（公章）</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法定代表人或其委托代理人：（签字）      法定代表人或其委托代理人：（签字）</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组织机构代码：</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组织机构代码：</w:t>
      </w:r>
      <w:r>
        <w:rPr>
          <w:rFonts w:hint="eastAsia" w:ascii="宋体" w:hAnsi="宋体" w:cs="宋体"/>
          <w:color w:val="auto"/>
          <w:kern w:val="0"/>
          <w:szCs w:val="21"/>
          <w:highlight w:val="none"/>
          <w:u w:val="single"/>
        </w:rPr>
        <w:t xml:space="preserve">                </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地 址：</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地 址：</w:t>
      </w:r>
      <w:r>
        <w:rPr>
          <w:rFonts w:hint="eastAsia" w:ascii="宋体" w:hAnsi="宋体" w:cs="宋体"/>
          <w:color w:val="auto"/>
          <w:kern w:val="0"/>
          <w:szCs w:val="21"/>
          <w:highlight w:val="none"/>
          <w:u w:val="single"/>
        </w:rPr>
        <w:t xml:space="preserve">                       </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邮政编码：</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邮政编码：</w:t>
      </w:r>
      <w:r>
        <w:rPr>
          <w:rFonts w:hint="eastAsia" w:ascii="宋体" w:hAnsi="宋体" w:cs="宋体"/>
          <w:color w:val="auto"/>
          <w:kern w:val="0"/>
          <w:szCs w:val="21"/>
          <w:highlight w:val="none"/>
          <w:u w:val="single"/>
        </w:rPr>
        <w:t xml:space="preserve">                    </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法定代表人：</w:t>
      </w:r>
      <w:r>
        <w:rPr>
          <w:rFonts w:hint="eastAsia" w:ascii="宋体" w:hAnsi="宋体" w:cs="宋体"/>
          <w:color w:val="auto"/>
          <w:kern w:val="0"/>
          <w:szCs w:val="21"/>
          <w:highlight w:val="none"/>
          <w:u w:val="single"/>
        </w:rPr>
        <w:t xml:space="preserve">                  </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委托代理人：</w:t>
      </w:r>
      <w:r>
        <w:rPr>
          <w:rFonts w:hint="eastAsia" w:ascii="宋体" w:hAnsi="宋体" w:cs="宋体"/>
          <w:color w:val="auto"/>
          <w:kern w:val="0"/>
          <w:szCs w:val="21"/>
          <w:highlight w:val="none"/>
          <w:u w:val="single"/>
        </w:rPr>
        <w:t xml:space="preserve">                  </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电 话：</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电 话：</w:t>
      </w:r>
      <w:r>
        <w:rPr>
          <w:rFonts w:hint="eastAsia" w:ascii="宋体" w:hAnsi="宋体" w:cs="宋体"/>
          <w:color w:val="auto"/>
          <w:kern w:val="0"/>
          <w:szCs w:val="21"/>
          <w:highlight w:val="none"/>
          <w:u w:val="single"/>
        </w:rPr>
        <w:t xml:space="preserve">                       </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传 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传 真：</w:t>
      </w:r>
      <w:r>
        <w:rPr>
          <w:rFonts w:hint="eastAsia" w:ascii="宋体" w:hAnsi="宋体" w:cs="宋体"/>
          <w:color w:val="auto"/>
          <w:kern w:val="0"/>
          <w:szCs w:val="21"/>
          <w:highlight w:val="none"/>
          <w:u w:val="single"/>
        </w:rPr>
        <w:t xml:space="preserve">                       </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电子信箱：</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电子信箱：</w:t>
      </w:r>
      <w:r>
        <w:rPr>
          <w:rFonts w:hint="eastAsia" w:ascii="宋体" w:hAnsi="宋体" w:cs="宋体"/>
          <w:color w:val="auto"/>
          <w:kern w:val="0"/>
          <w:szCs w:val="21"/>
          <w:highlight w:val="none"/>
          <w:u w:val="single"/>
        </w:rPr>
        <w:t xml:space="preserve">                    </w:t>
      </w:r>
    </w:p>
    <w:p>
      <w:pPr>
        <w:autoSpaceDE w:val="0"/>
        <w:autoSpaceDN w:val="0"/>
        <w:spacing w:line="440" w:lineRule="exact"/>
        <w:ind w:firstLine="567" w:firstLineChars="270"/>
        <w:rPr>
          <w:rFonts w:hint="eastAsia"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开户银行：</w:t>
      </w:r>
      <w:r>
        <w:rPr>
          <w:rFonts w:hint="eastAsia" w:ascii="宋体" w:hAnsi="宋体" w:cs="宋体"/>
          <w:color w:val="auto"/>
          <w:kern w:val="0"/>
          <w:szCs w:val="21"/>
          <w:highlight w:val="none"/>
          <w:u w:val="single"/>
        </w:rPr>
        <w:t xml:space="preserve">                    </w:t>
      </w:r>
    </w:p>
    <w:p>
      <w:pPr>
        <w:autoSpaceDE w:val="0"/>
        <w:autoSpaceDN w:val="0"/>
        <w:spacing w:line="440" w:lineRule="exact"/>
        <w:ind w:firstLine="567" w:firstLineChars="270"/>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账  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开户银行：</w:t>
      </w:r>
      <w:r>
        <w:rPr>
          <w:rFonts w:hint="eastAsia" w:ascii="宋体" w:hAnsi="宋体" w:cs="宋体"/>
          <w:color w:val="auto"/>
          <w:kern w:val="0"/>
          <w:szCs w:val="21"/>
          <w:highlight w:val="none"/>
          <w:u w:val="single"/>
        </w:rPr>
        <w:t xml:space="preserve">                    </w:t>
      </w:r>
    </w:p>
    <w:bookmarkEnd w:id="149"/>
    <w:p>
      <w:pPr>
        <w:pStyle w:val="3"/>
        <w:bidi w:val="0"/>
        <w:rPr>
          <w:rStyle w:val="42"/>
          <w:b/>
          <w:bCs/>
          <w:color w:val="auto"/>
          <w:szCs w:val="32"/>
          <w:highlight w:val="none"/>
        </w:rPr>
      </w:pPr>
      <w:bookmarkStart w:id="150" w:name="_Toc54862176"/>
      <w:bookmarkStart w:id="151" w:name="_Toc246997078"/>
      <w:bookmarkStart w:id="152" w:name="_Toc473"/>
      <w:bookmarkStart w:id="153" w:name="_Toc21531"/>
      <w:bookmarkStart w:id="154" w:name="_Toc247085850"/>
      <w:bookmarkStart w:id="155" w:name="_Toc8767"/>
      <w:bookmarkStart w:id="156" w:name="_Toc16937"/>
      <w:bookmarkStart w:id="157" w:name="_Toc17518"/>
      <w:bookmarkStart w:id="158" w:name="_Toc19296"/>
      <w:bookmarkStart w:id="159" w:name="_Toc246996335"/>
      <w:r>
        <w:rPr>
          <w:rFonts w:hint="eastAsia"/>
          <w:b/>
          <w:bCs/>
          <w:color w:val="auto"/>
          <w:sz w:val="32"/>
          <w:szCs w:val="32"/>
          <w:highlight w:val="none"/>
          <w:lang w:val="en-US" w:eastAsia="zh-CN"/>
        </w:rPr>
        <w:br w:type="page"/>
      </w:r>
      <w:bookmarkStart w:id="160" w:name="_Toc5161"/>
      <w:r>
        <w:rPr>
          <w:rFonts w:hint="eastAsia"/>
          <w:b/>
          <w:bCs/>
          <w:color w:val="auto"/>
          <w:sz w:val="32"/>
          <w:szCs w:val="32"/>
          <w:highlight w:val="none"/>
          <w:lang w:val="en-US" w:eastAsia="zh-CN"/>
        </w:rPr>
        <w:t>第二部分 通用合同条件</w:t>
      </w:r>
      <w:bookmarkEnd w:id="150"/>
      <w:bookmarkEnd w:id="160"/>
    </w:p>
    <w:bookmarkEnd w:id="151"/>
    <w:bookmarkEnd w:id="152"/>
    <w:bookmarkEnd w:id="153"/>
    <w:bookmarkEnd w:id="154"/>
    <w:bookmarkEnd w:id="155"/>
    <w:bookmarkEnd w:id="156"/>
    <w:bookmarkEnd w:id="157"/>
    <w:bookmarkEnd w:id="158"/>
    <w:bookmarkEnd w:id="159"/>
    <w:p>
      <w:pPr>
        <w:autoSpaceDE w:val="0"/>
        <w:autoSpaceDN w:val="0"/>
        <w:spacing w:line="360" w:lineRule="auto"/>
        <w:ind w:firstLine="560"/>
        <w:rPr>
          <w:rFonts w:hint="eastAsia" w:ascii="宋体" w:hAnsi="宋体" w:cs="宋体"/>
          <w:color w:val="auto"/>
          <w:kern w:val="0"/>
          <w:szCs w:val="21"/>
          <w:highlight w:val="none"/>
        </w:rPr>
      </w:pPr>
      <w:bookmarkStart w:id="161" w:name="_Toc152042389"/>
      <w:bookmarkStart w:id="162" w:name="_Toc152045611"/>
      <w:bookmarkStart w:id="163" w:name="_Toc179632629"/>
      <w:bookmarkStart w:id="164" w:name="_Toc144974579"/>
      <w:bookmarkStart w:id="165" w:name="_Toc26733"/>
    </w:p>
    <w:p>
      <w:pPr>
        <w:autoSpaceDE w:val="0"/>
        <w:autoSpaceDN w:val="0"/>
        <w:spacing w:line="360" w:lineRule="auto"/>
        <w:ind w:firstLine="560"/>
        <w:rPr>
          <w:rFonts w:hint="eastAsia" w:ascii="宋体" w:hAnsi="宋体" w:cs="宋体"/>
          <w:color w:val="auto"/>
          <w:kern w:val="0"/>
          <w:szCs w:val="21"/>
          <w:highlight w:val="none"/>
        </w:rPr>
      </w:pPr>
      <w:r>
        <w:rPr>
          <w:rFonts w:hint="eastAsia" w:ascii="宋体" w:hAnsi="宋体" w:cs="宋体"/>
          <w:color w:val="auto"/>
          <w:kern w:val="0"/>
          <w:szCs w:val="21"/>
          <w:highlight w:val="none"/>
        </w:rPr>
        <w:t>通用合同条款内容请见</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住房和城乡建设部、 国家工商行政管理总局制定的（GF—201</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—0201）建设工程施工合同（示范文本）</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bookmarkEnd w:id="161"/>
    <w:bookmarkEnd w:id="162"/>
    <w:bookmarkEnd w:id="163"/>
    <w:bookmarkEnd w:id="164"/>
    <w:bookmarkEnd w:id="165"/>
    <w:p>
      <w:pPr>
        <w:pStyle w:val="3"/>
        <w:bidi w:val="0"/>
        <w:rPr>
          <w:rFonts w:hint="eastAsia" w:ascii="华文中宋" w:hAnsi="华文中宋" w:eastAsia="华文中宋" w:cs="Times New Roman"/>
          <w:b/>
          <w:bCs/>
          <w:color w:val="auto"/>
          <w:kern w:val="44"/>
          <w:szCs w:val="52"/>
          <w:highlight w:val="none"/>
          <w:lang w:val="zh-CN" w:eastAsia="zh-CN" w:bidi="ar-SA"/>
        </w:rPr>
      </w:pPr>
      <w:r>
        <w:rPr>
          <w:rFonts w:hint="eastAsia"/>
          <w:b/>
          <w:bCs/>
          <w:color w:val="auto"/>
          <w:sz w:val="32"/>
          <w:szCs w:val="32"/>
          <w:highlight w:val="none"/>
          <w:lang w:val="zh-CN" w:eastAsia="zh-CN"/>
        </w:rPr>
        <w:br w:type="page"/>
      </w:r>
      <w:bookmarkStart w:id="166" w:name="_Toc3907"/>
      <w:r>
        <w:rPr>
          <w:rFonts w:hint="eastAsia"/>
          <w:b/>
          <w:bCs/>
          <w:color w:val="auto"/>
          <w:sz w:val="32"/>
          <w:szCs w:val="32"/>
          <w:highlight w:val="none"/>
          <w:lang w:val="zh-CN" w:eastAsia="zh-CN"/>
        </w:rPr>
        <w:t>第三部分  专用合同条款</w:t>
      </w:r>
      <w:bookmarkEnd w:id="166"/>
    </w:p>
    <w:p>
      <w:pPr>
        <w:spacing w:line="440" w:lineRule="exact"/>
        <w:ind w:firstLine="420" w:firstLineChars="200"/>
        <w:rPr>
          <w:rFonts w:hint="eastAsia" w:ascii="宋体" w:hAnsi="宋体" w:cs="宋体"/>
          <w:color w:val="auto"/>
          <w:szCs w:val="21"/>
          <w:highlight w:val="none"/>
        </w:rPr>
      </w:pP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1.一般约定</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1.1词语定义</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1.1.2合同当事人和人员</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1.1.2.2发包人：  </w:t>
      </w:r>
      <w:r>
        <w:rPr>
          <w:rFonts w:hint="eastAsia" w:ascii="宋体" w:hAnsi="宋体" w:cs="宋体"/>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发包人驻工地代表：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1.1.2.3承包人：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项目经理： </w:t>
      </w:r>
      <w:r>
        <w:rPr>
          <w:rFonts w:hint="eastAsia" w:ascii="宋体" w:hAnsi="宋体" w:cs="宋体"/>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1.1.2.6监理人：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总监理工程师：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1.1.3工程和设备</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1.1.3.2永久工程： </w:t>
      </w:r>
      <w:r>
        <w:rPr>
          <w:rFonts w:hint="eastAsia" w:ascii="宋体" w:hAnsi="宋体" w:cs="宋体"/>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1.1.3.3临时工程： </w:t>
      </w:r>
      <w:r>
        <w:rPr>
          <w:rFonts w:hint="eastAsia" w:ascii="宋体" w:hAnsi="宋体" w:cs="宋体"/>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1.1.3.4单位工程： </w:t>
      </w:r>
      <w:r>
        <w:rPr>
          <w:rFonts w:hint="eastAsia" w:ascii="宋体" w:hAnsi="宋体" w:cs="宋体"/>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1.1.3.10永久占地：</w:t>
      </w:r>
      <w:r>
        <w:rPr>
          <w:rFonts w:hint="eastAsia" w:ascii="宋体" w:hAnsi="宋体" w:cs="宋体"/>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1.1.3.11临时占地：</w:t>
      </w:r>
      <w:r>
        <w:rPr>
          <w:rFonts w:hint="eastAsia" w:ascii="宋体" w:hAnsi="宋体" w:cs="宋体"/>
          <w:color w:val="auto"/>
          <w:szCs w:val="21"/>
          <w:highlight w:val="none"/>
          <w:u w:val="single"/>
        </w:rPr>
        <w:t xml:space="preserve">                              </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1.1.4日期</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1.1.4.5缺陷责任期：</w:t>
      </w:r>
      <w:r>
        <w:rPr>
          <w:rFonts w:hint="eastAsia" w:ascii="宋体" w:hAnsi="宋体" w:eastAsia="宋体" w:cs="宋体"/>
          <w:b w:val="0"/>
          <w:bCs w:val="0"/>
          <w:color w:val="auto"/>
          <w:spacing w:val="-1"/>
          <w:sz w:val="21"/>
          <w:szCs w:val="21"/>
          <w:highlight w:val="none"/>
          <w:u w:val="single" w:color="auto"/>
        </w:rPr>
        <w:t>自实际交工日期起计算1年</w:t>
      </w:r>
      <w:r>
        <w:rPr>
          <w:rFonts w:hint="eastAsia" w:ascii="宋体" w:hAnsi="宋体" w:cs="宋体"/>
          <w:b w:val="0"/>
          <w:bCs w:val="0"/>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1.4合同文件的优先顺序解释顺序为：</w:t>
      </w:r>
      <w:r>
        <w:rPr>
          <w:rFonts w:hint="eastAsia" w:ascii="宋体" w:hAnsi="宋体" w:cs="宋体"/>
          <w:color w:val="auto"/>
          <w:szCs w:val="21"/>
          <w:highlight w:val="none"/>
          <w:u w:val="single"/>
        </w:rPr>
        <w:t>按照合同协议书标明的顺序解释。</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1.5合同生效的条件：</w:t>
      </w:r>
      <w:r>
        <w:rPr>
          <w:rFonts w:hint="eastAsia" w:ascii="宋体" w:hAnsi="宋体" w:cs="宋体"/>
          <w:color w:val="auto"/>
          <w:szCs w:val="21"/>
          <w:highlight w:val="none"/>
          <w:u w:val="single"/>
        </w:rPr>
        <w:t>经双方签字盖章后生效（或公证后生效</w:t>
      </w:r>
      <w:r>
        <w:rPr>
          <w:rFonts w:hint="eastAsia" w:ascii="宋体" w:hAnsi="宋体" w:cs="宋体"/>
          <w:color w:val="auto"/>
          <w:szCs w:val="21"/>
          <w:highlight w:val="none"/>
        </w:rPr>
        <w:t>）</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1.6图纸和承包人文件</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1.6.1发包人提供图纸的期限、数量：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1.6.2承包人提供的文件范围：</w:t>
      </w:r>
      <w:r>
        <w:rPr>
          <w:rFonts w:hint="eastAsia" w:ascii="宋体" w:hAnsi="宋体" w:cs="宋体"/>
          <w:color w:val="auto"/>
          <w:szCs w:val="21"/>
          <w:highlight w:val="none"/>
          <w:u w:val="single"/>
        </w:rPr>
        <w:t>（根据具体工程情况填写）</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承包人提供文件的期限、数量：</w:t>
      </w:r>
      <w:r>
        <w:rPr>
          <w:rFonts w:hint="eastAsia" w:ascii="宋体" w:hAnsi="宋体" w:cs="宋体"/>
          <w:color w:val="auto"/>
          <w:szCs w:val="21"/>
          <w:highlight w:val="none"/>
          <w:u w:val="single"/>
        </w:rPr>
        <w:t>（按双方协商约定填写）</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监理人批复承包人提供文件的期限：</w:t>
      </w:r>
      <w:r>
        <w:rPr>
          <w:rFonts w:hint="eastAsia" w:ascii="宋体" w:hAnsi="宋体" w:cs="宋体"/>
          <w:color w:val="auto"/>
          <w:szCs w:val="21"/>
          <w:highlight w:val="none"/>
          <w:u w:val="single"/>
        </w:rPr>
        <w:t xml:space="preserve"> 收到承包人提供的文件后14天</w:t>
      </w:r>
      <w:r>
        <w:rPr>
          <w:rFonts w:hint="eastAsia" w:ascii="宋体" w:hAnsi="宋体" w:cs="宋体"/>
          <w:color w:val="auto"/>
          <w:szCs w:val="21"/>
          <w:highlight w:val="none"/>
        </w:rPr>
        <w:t>内</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1.6.3监理人签发图纸修改的期限：</w:t>
      </w:r>
      <w:r>
        <w:rPr>
          <w:rFonts w:hint="eastAsia" w:ascii="宋体" w:hAnsi="宋体" w:cs="宋体"/>
          <w:color w:val="auto"/>
          <w:szCs w:val="21"/>
          <w:highlight w:val="none"/>
          <w:u w:val="single"/>
        </w:rPr>
        <w:t>不少于该项工作施工前14天</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1.7联络</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1.7.2联络送达的期限：两天内送达，送达地点：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办公室（接收人签字）</w:t>
      </w:r>
    </w:p>
    <w:p>
      <w:pPr>
        <w:spacing w:line="440" w:lineRule="exact"/>
        <w:ind w:firstLine="420" w:firstLineChars="200"/>
        <w:outlineLvl w:val="2"/>
        <w:rPr>
          <w:rFonts w:hint="eastAsia" w:ascii="宋体" w:hAnsi="宋体" w:cs="宋体"/>
          <w:color w:val="auto"/>
          <w:szCs w:val="21"/>
          <w:highlight w:val="none"/>
          <w:u w:val="single"/>
        </w:rPr>
      </w:pPr>
      <w:r>
        <w:rPr>
          <w:rFonts w:hint="eastAsia" w:ascii="宋体" w:hAnsi="宋体" w:cs="宋体"/>
          <w:color w:val="auto"/>
          <w:szCs w:val="21"/>
          <w:highlight w:val="none"/>
        </w:rPr>
        <w:t>2.发包人义务</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2.3提供施工场地</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发包人提供施工场地和有关资料的时间：</w:t>
      </w:r>
      <w:r>
        <w:rPr>
          <w:rFonts w:hint="eastAsia" w:ascii="宋体" w:hAnsi="宋体" w:cs="宋体"/>
          <w:color w:val="auto"/>
          <w:szCs w:val="21"/>
          <w:highlight w:val="none"/>
          <w:u w:val="single"/>
        </w:rPr>
        <w:t>开工之日前14天（如工程地质报告、地下管线图等）</w:t>
      </w:r>
    </w:p>
    <w:p>
      <w:pPr>
        <w:autoSpaceDE w:val="0"/>
        <w:autoSpaceDN w:val="0"/>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2.4 施工现场、施工条件和基础资料的提供</w:t>
      </w:r>
    </w:p>
    <w:p>
      <w:pPr>
        <w:autoSpaceDE w:val="0"/>
        <w:autoSpaceDN w:val="0"/>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2.4.1 提供施工现场</w:t>
      </w:r>
    </w:p>
    <w:p>
      <w:pPr>
        <w:autoSpaceDE w:val="0"/>
        <w:autoSpaceDN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关于发包人移交施工现场的期限要求：</w:t>
      </w:r>
      <w:r>
        <w:rPr>
          <w:rFonts w:hint="eastAsia" w:ascii="宋体" w:hAnsi="宋体" w:cs="宋体"/>
          <w:color w:val="auto"/>
          <w:szCs w:val="21"/>
          <w:highlight w:val="none"/>
          <w:u w:val="single"/>
        </w:rPr>
        <w:t xml:space="preserve"> 开工前七天    </w:t>
      </w:r>
      <w:r>
        <w:rPr>
          <w:rFonts w:hint="eastAsia" w:ascii="宋体" w:hAnsi="宋体" w:cs="宋体"/>
          <w:color w:val="auto"/>
          <w:szCs w:val="21"/>
          <w:highlight w:val="none"/>
        </w:rPr>
        <w:t>。</w:t>
      </w:r>
    </w:p>
    <w:p>
      <w:pPr>
        <w:autoSpaceDE w:val="0"/>
        <w:autoSpaceDN w:val="0"/>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2.4.2 提供施工条件</w:t>
      </w:r>
    </w:p>
    <w:p>
      <w:pPr>
        <w:autoSpaceDE w:val="0"/>
        <w:autoSpaceDN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关于发包人应负责提供施工</w:t>
      </w:r>
      <w:r>
        <w:rPr>
          <w:rFonts w:hint="eastAsia" w:ascii="宋体" w:hAnsi="宋体" w:cs="宋体"/>
          <w:color w:val="auto"/>
          <w:szCs w:val="21"/>
          <w:highlight w:val="none"/>
          <w:lang w:eastAsia="zh-CN"/>
        </w:rPr>
        <w:t>场所</w:t>
      </w:r>
      <w:r>
        <w:rPr>
          <w:rFonts w:hint="eastAsia" w:ascii="宋体" w:hAnsi="宋体" w:cs="宋体"/>
          <w:color w:val="auto"/>
          <w:szCs w:val="21"/>
          <w:highlight w:val="none"/>
        </w:rPr>
        <w:t>所需要的条件，包括：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三</w:t>
      </w:r>
      <w:r>
        <w:rPr>
          <w:rFonts w:hint="eastAsia" w:ascii="宋体" w:hAnsi="宋体" w:cs="宋体"/>
          <w:color w:val="auto"/>
          <w:szCs w:val="21"/>
          <w:highlight w:val="none"/>
          <w:u w:val="single"/>
        </w:rPr>
        <w:t xml:space="preserve">通一平 </w:t>
      </w:r>
      <w:r>
        <w:rPr>
          <w:rFonts w:hint="eastAsia" w:ascii="宋体" w:hAnsi="宋体" w:cs="宋体"/>
          <w:color w:val="auto"/>
          <w:szCs w:val="21"/>
          <w:highlight w:val="none"/>
        </w:rPr>
        <w:t>。</w:t>
      </w:r>
    </w:p>
    <w:p>
      <w:pPr>
        <w:autoSpaceDE w:val="0"/>
        <w:autoSpaceDN w:val="0"/>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2.5 资金来源证明及支付担保</w:t>
      </w:r>
    </w:p>
    <w:p>
      <w:pPr>
        <w:autoSpaceDE w:val="0"/>
        <w:autoSpaceDN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发包人提供资金来源证明的期限要求：</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pPr>
        <w:autoSpaceDE w:val="0"/>
        <w:autoSpaceDN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发包人是否提供支付担保：</w:t>
      </w:r>
      <w:r>
        <w:rPr>
          <w:rFonts w:hint="eastAsia" w:ascii="宋体" w:hAnsi="宋体" w:cs="宋体"/>
          <w:color w:val="auto"/>
          <w:szCs w:val="21"/>
          <w:highlight w:val="none"/>
          <w:u w:val="single"/>
        </w:rPr>
        <w:t xml:space="preserve">      无           </w:t>
      </w:r>
      <w:r>
        <w:rPr>
          <w:rFonts w:hint="eastAsia" w:ascii="宋体" w:hAnsi="宋体" w:cs="宋体"/>
          <w:color w:val="auto"/>
          <w:szCs w:val="21"/>
          <w:highlight w:val="none"/>
        </w:rPr>
        <w:t>。</w:t>
      </w:r>
    </w:p>
    <w:p>
      <w:pPr>
        <w:autoSpaceDE w:val="0"/>
        <w:autoSpaceDN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发包人提供支付担保的形式：</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3.监理人</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3.1监理人的职责和权力</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3.1.1须经发包人批准行使的权力：</w:t>
      </w:r>
      <w:r>
        <w:rPr>
          <w:rFonts w:hint="eastAsia" w:ascii="宋体" w:hAnsi="宋体" w:cs="宋体"/>
          <w:color w:val="auto"/>
          <w:szCs w:val="21"/>
          <w:highlight w:val="none"/>
          <w:u w:val="single"/>
        </w:rPr>
        <w:t>如：开工令、工程款支付、工程变更等</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4.承包人</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4.1承包人的一般义务</w:t>
      </w:r>
    </w:p>
    <w:p>
      <w:pPr>
        <w:spacing w:line="44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补充规定：</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 xml:space="preserve"> 4.1.10　其它义务</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承包人承诺负责协调与地方村民和政府的关系，排除一切施工环境干扰，并承担发生的所有费用</w:t>
      </w:r>
      <w:r>
        <w:rPr>
          <w:rFonts w:hint="eastAsia" w:ascii="宋体" w:hAnsi="宋体" w:cs="宋体"/>
          <w:color w:val="auto"/>
          <w:szCs w:val="21"/>
          <w:highlight w:val="none"/>
          <w:u w:val="single"/>
          <w:lang w:eastAsia="zh-CN"/>
        </w:rPr>
        <w:t>以及一切因施工需要与当地村民发生的损坏补偿</w:t>
      </w:r>
      <w:r>
        <w:rPr>
          <w:rFonts w:hint="eastAsia" w:ascii="宋体" w:hAnsi="宋体" w:cs="宋体"/>
          <w:color w:val="auto"/>
          <w:szCs w:val="21"/>
          <w:highlight w:val="none"/>
          <w:u w:val="single"/>
        </w:rPr>
        <w:t>，由此造成的工期延误，工期不予顺延，保证工程按期竣工。</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(2) 要切实保护农民工利益。在完成一个单项工程30天内应支付参建农民工工资，在完成全部合同工程任务30天内必须支付完参建农民工全部工资。否则，一月内由发包方直接从其履约保证金中代为支付；履约保证金退还后由发包方直接从工程款中代为支付，情节严重造成社会影响的，报沁阳市财政局备案，取消其三年内沁阳市工程建设市场参与资格。（要求在农民工工资支付承诺书中做出承诺）</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(3)中标人应在规定的时间内进场施工，否者可取消其中标资格，解除合同。</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（4）在施工现场使用的施工机械设备，其设备的性能和规格不得低于投标承诺书和施工组织设计所采用的施工机械设备。</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（5）用于工程的主要材料、设备，不得低于</w:t>
      </w:r>
      <w:r>
        <w:rPr>
          <w:rFonts w:hint="eastAsia" w:ascii="宋体" w:hAnsi="宋体" w:cs="宋体"/>
          <w:color w:val="auto"/>
          <w:sz w:val="21"/>
          <w:szCs w:val="21"/>
          <w:highlight w:val="none"/>
          <w:lang w:eastAsia="zh-CN"/>
        </w:rPr>
        <w:t>竞争性磋商</w:t>
      </w:r>
      <w:r>
        <w:rPr>
          <w:rFonts w:hint="eastAsia" w:ascii="宋体" w:hAnsi="宋体" w:cs="宋体"/>
          <w:color w:val="auto"/>
          <w:sz w:val="21"/>
          <w:szCs w:val="21"/>
          <w:highlight w:val="none"/>
        </w:rPr>
        <w:t>文件</w:t>
      </w:r>
      <w:r>
        <w:rPr>
          <w:rFonts w:hint="eastAsia" w:ascii="宋体" w:hAnsi="宋体" w:cs="宋体"/>
          <w:color w:val="auto"/>
          <w:szCs w:val="21"/>
          <w:highlight w:val="none"/>
        </w:rPr>
        <w:t>规定和</w:t>
      </w:r>
      <w:r>
        <w:rPr>
          <w:rFonts w:hint="eastAsia" w:ascii="宋体" w:hAnsi="宋体" w:cs="宋体"/>
          <w:color w:val="auto"/>
          <w:szCs w:val="21"/>
          <w:highlight w:val="none"/>
          <w:lang w:eastAsia="zh-CN"/>
        </w:rPr>
        <w:t>响应性</w:t>
      </w:r>
      <w:r>
        <w:rPr>
          <w:rFonts w:hint="eastAsia" w:ascii="宋体" w:hAnsi="宋体" w:cs="宋体"/>
          <w:color w:val="auto"/>
          <w:szCs w:val="21"/>
          <w:highlight w:val="none"/>
        </w:rPr>
        <w:t>文件承诺的合格产品，并在使用前经建设、监理、设计单位共同确认。</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rPr>
        <w:t>（6）审计机关出具</w:t>
      </w:r>
      <w:r>
        <w:rPr>
          <w:rFonts w:hint="eastAsia" w:ascii="宋体" w:hAnsi="宋体" w:eastAsia="宋体" w:cs="宋体"/>
          <w:color w:val="auto"/>
          <w:szCs w:val="21"/>
          <w:highlight w:val="none"/>
        </w:rPr>
        <w:t>的审计结论为最终结算依据。</w:t>
      </w:r>
    </w:p>
    <w:p>
      <w:pPr>
        <w:spacing w:line="44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（7）中标人在施工场所施工期间要做到安全施工，所有在施工期间发生的安全事故及产生的一切费用由中标人承担，与发包人无关。</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4.11不利物质条件</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4.1.1不利物质条件的范围：</w:t>
      </w:r>
      <w:r>
        <w:rPr>
          <w:rFonts w:hint="eastAsia" w:ascii="宋体" w:hAnsi="宋体" w:cs="宋体"/>
          <w:color w:val="auto"/>
          <w:szCs w:val="21"/>
          <w:highlight w:val="none"/>
          <w:u w:val="single"/>
        </w:rPr>
        <w:t xml:space="preserve"> 根据工程特点双方约定</w:t>
      </w:r>
      <w:r>
        <w:rPr>
          <w:rFonts w:hint="eastAsia" w:ascii="宋体" w:hAnsi="宋体" w:cs="宋体"/>
          <w:color w:val="auto"/>
          <w:szCs w:val="21"/>
          <w:highlight w:val="none"/>
        </w:rPr>
        <w:t xml:space="preserve">  </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5.材料和工程设备</w:t>
      </w:r>
    </w:p>
    <w:p>
      <w:pPr>
        <w:spacing w:line="440" w:lineRule="exact"/>
        <w:ind w:firstLine="420" w:firstLineChars="200"/>
        <w:outlineLvl w:val="3"/>
        <w:rPr>
          <w:rFonts w:hint="eastAsia" w:ascii="宋体" w:hAnsi="宋体" w:cs="宋体"/>
          <w:color w:val="auto"/>
          <w:szCs w:val="21"/>
          <w:highlight w:val="none"/>
          <w:u w:val="single"/>
        </w:rPr>
      </w:pPr>
      <w:r>
        <w:rPr>
          <w:rFonts w:hint="eastAsia" w:ascii="宋体" w:hAnsi="宋体" w:cs="宋体"/>
          <w:color w:val="auto"/>
          <w:szCs w:val="21"/>
          <w:highlight w:val="none"/>
        </w:rPr>
        <w:t>5.1承包人提供的材料和工程设备：</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 xml:space="preserve"> 5.1.1承包人负责采购、运输和保管的材料、工程设备：</w:t>
      </w:r>
      <w:r>
        <w:rPr>
          <w:rFonts w:hint="eastAsia" w:ascii="宋体" w:hAnsi="宋体" w:cs="宋体"/>
          <w:color w:val="auto"/>
          <w:szCs w:val="21"/>
          <w:highlight w:val="none"/>
          <w:u w:val="single"/>
        </w:rPr>
        <w:t xml:space="preserve"> 除发包人提供的材料和工程设备外，本工程所用的材料、工程设备由承包人采购</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5.1.2承包人报送监理人审批的时间：</w:t>
      </w:r>
      <w:r>
        <w:rPr>
          <w:rFonts w:hint="eastAsia" w:ascii="宋体" w:hAnsi="宋体" w:cs="宋体"/>
          <w:color w:val="auto"/>
          <w:szCs w:val="21"/>
          <w:highlight w:val="none"/>
          <w:u w:val="single"/>
        </w:rPr>
        <w:t xml:space="preserve"> 供货前14天内</w:t>
      </w:r>
      <w:r>
        <w:rPr>
          <w:rFonts w:hint="eastAsia" w:ascii="宋体" w:hAnsi="宋体" w:cs="宋体"/>
          <w:color w:val="auto"/>
          <w:szCs w:val="21"/>
          <w:highlight w:val="none"/>
        </w:rPr>
        <w:t xml:space="preserve">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5.2发包人提供的材料和工程设备</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5.2.1材料的名称、规格、数量和价格：</w:t>
      </w:r>
      <w:r>
        <w:rPr>
          <w:rFonts w:hint="eastAsia" w:ascii="宋体" w:hAnsi="宋体" w:cs="宋体"/>
          <w:color w:val="auto"/>
          <w:szCs w:val="21"/>
          <w:highlight w:val="none"/>
          <w:u w:val="single"/>
          <w:lang w:val="en-US" w:eastAsia="zh-CN"/>
        </w:rPr>
        <w:t xml:space="preserve">        无        </w:t>
      </w:r>
      <w:r>
        <w:rPr>
          <w:rFonts w:hint="eastAsia" w:ascii="宋体" w:hAnsi="宋体" w:cs="宋体"/>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材料的交货方式、地点和日期：</w:t>
      </w:r>
      <w:r>
        <w:rPr>
          <w:rFonts w:hint="eastAsia" w:ascii="宋体" w:hAnsi="宋体" w:cs="宋体"/>
          <w:color w:val="auto"/>
          <w:szCs w:val="21"/>
          <w:highlight w:val="none"/>
          <w:u w:val="single"/>
          <w:lang w:val="en-US" w:eastAsia="zh-CN"/>
        </w:rPr>
        <w:t xml:space="preserve">               无        </w:t>
      </w:r>
      <w:r>
        <w:rPr>
          <w:rFonts w:hint="eastAsia" w:ascii="宋体" w:hAnsi="宋体" w:cs="宋体"/>
          <w:color w:val="auto"/>
          <w:szCs w:val="21"/>
          <w:highlight w:val="none"/>
          <w:u w:val="single"/>
        </w:rPr>
        <w:t xml:space="preserve">  </w:t>
      </w:r>
    </w:p>
    <w:p>
      <w:pPr>
        <w:spacing w:line="440" w:lineRule="exact"/>
        <w:ind w:firstLine="420" w:firstLineChars="200"/>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工程设备的名称、规格、数量和价格：</w:t>
      </w:r>
      <w:r>
        <w:rPr>
          <w:rFonts w:hint="eastAsia" w:ascii="宋体" w:hAnsi="宋体" w:cs="宋体"/>
          <w:color w:val="auto"/>
          <w:szCs w:val="21"/>
          <w:highlight w:val="none"/>
          <w:u w:val="single"/>
          <w:lang w:val="en-US" w:eastAsia="zh-CN"/>
        </w:rPr>
        <w:t xml:space="preserve">          无         </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工程设备的交贷方式、地点和日期：</w:t>
      </w:r>
      <w:r>
        <w:rPr>
          <w:rFonts w:hint="eastAsia" w:ascii="宋体" w:hAnsi="宋体" w:cs="宋体"/>
          <w:color w:val="auto"/>
          <w:szCs w:val="21"/>
          <w:highlight w:val="none"/>
          <w:u w:val="single"/>
          <w:lang w:val="en-US" w:eastAsia="zh-CN"/>
        </w:rPr>
        <w:t xml:space="preserve">          无         </w:t>
      </w:r>
      <w:r>
        <w:rPr>
          <w:rFonts w:hint="eastAsia" w:ascii="宋体" w:hAnsi="宋体" w:cs="宋体"/>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5.2.3材料和工程设备的接收、运输与保管：</w:t>
      </w:r>
      <w:r>
        <w:rPr>
          <w:rFonts w:hint="eastAsia" w:ascii="宋体" w:hAnsi="宋体" w:cs="宋体"/>
          <w:color w:val="auto"/>
          <w:szCs w:val="21"/>
          <w:highlight w:val="none"/>
          <w:u w:val="single"/>
          <w:lang w:val="en-US" w:eastAsia="zh-CN"/>
        </w:rPr>
        <w:t xml:space="preserve">        无     </w:t>
      </w:r>
      <w:r>
        <w:rPr>
          <w:rFonts w:hint="eastAsia" w:ascii="宋体" w:hAnsi="宋体" w:cs="宋体"/>
          <w:color w:val="auto"/>
          <w:szCs w:val="21"/>
          <w:highlight w:val="none"/>
          <w:u w:val="single"/>
        </w:rPr>
        <w:t xml:space="preserve"> </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6.施工设备和临时设施</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6.1承包人提供的施工设备和临时设施</w:t>
      </w:r>
    </w:p>
    <w:p>
      <w:pPr>
        <w:spacing w:line="440" w:lineRule="exact"/>
        <w:ind w:firstLine="420" w:firstLineChars="200"/>
        <w:outlineLvl w:val="4"/>
        <w:rPr>
          <w:rFonts w:hint="eastAsia" w:ascii="宋体" w:hAnsi="宋体" w:cs="宋体"/>
          <w:color w:val="auto"/>
          <w:szCs w:val="21"/>
          <w:highlight w:val="none"/>
          <w:u w:val="single"/>
        </w:rPr>
      </w:pPr>
      <w:r>
        <w:rPr>
          <w:rFonts w:hint="eastAsia" w:ascii="宋体" w:hAnsi="宋体" w:cs="宋体"/>
          <w:color w:val="auto"/>
          <w:szCs w:val="21"/>
          <w:highlight w:val="none"/>
        </w:rPr>
        <w:t>6.1.2</w:t>
      </w:r>
      <w:r>
        <w:rPr>
          <w:rFonts w:hint="eastAsia" w:ascii="宋体" w:hAnsi="宋体" w:cs="宋体"/>
          <w:color w:val="auto"/>
          <w:szCs w:val="21"/>
          <w:highlight w:val="none"/>
          <w:lang w:eastAsia="zh-CN"/>
        </w:rPr>
        <w:t>承</w:t>
      </w:r>
      <w:r>
        <w:rPr>
          <w:rFonts w:hint="eastAsia" w:ascii="宋体" w:hAnsi="宋体" w:cs="宋体"/>
          <w:color w:val="auto"/>
          <w:szCs w:val="21"/>
          <w:highlight w:val="none"/>
        </w:rPr>
        <w:t>包人承担修建临时设施费用的范围：</w:t>
      </w:r>
      <w:r>
        <w:rPr>
          <w:rFonts w:hint="eastAsia" w:ascii="宋体" w:hAnsi="宋体" w:cs="宋体"/>
          <w:color w:val="auto"/>
          <w:szCs w:val="21"/>
          <w:highlight w:val="none"/>
          <w:u w:val="single"/>
          <w:lang w:eastAsia="zh-CN"/>
        </w:rPr>
        <w:t>所有临时设施</w:t>
      </w:r>
      <w:r>
        <w:rPr>
          <w:rFonts w:hint="eastAsia" w:ascii="宋体" w:hAnsi="宋体" w:cs="宋体"/>
          <w:color w:val="auto"/>
          <w:szCs w:val="21"/>
          <w:highlight w:val="none"/>
          <w:u w:val="singl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临时占地的申请：</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u w:val="single"/>
        </w:rPr>
        <w:t>承包人</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临时占地相关费用：</w:t>
      </w:r>
      <w:r>
        <w:rPr>
          <w:rFonts w:hint="eastAsia" w:ascii="宋体" w:hAnsi="宋体" w:cs="宋体"/>
          <w:color w:val="auto"/>
          <w:szCs w:val="21"/>
          <w:highlight w:val="none"/>
          <w:u w:val="single"/>
          <w:lang w:eastAsia="zh-CN"/>
        </w:rPr>
        <w:t>由承包人承担，并计入投标报价中</w:t>
      </w:r>
      <w:r>
        <w:rPr>
          <w:rFonts w:hint="eastAsia" w:ascii="宋体" w:hAnsi="宋体" w:cs="宋体"/>
          <w:color w:val="auto"/>
          <w:szCs w:val="21"/>
          <w:highlight w:val="none"/>
          <w:u w:val="single"/>
        </w:rPr>
        <w:t xml:space="preserve">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6.2发包人提供的施工设备和临时设施</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发包人提供的施工设备和临时设施：</w:t>
      </w:r>
      <w:r>
        <w:rPr>
          <w:rFonts w:hint="eastAsia" w:ascii="宋体" w:hAnsi="宋体" w:cs="宋体"/>
          <w:color w:val="auto"/>
          <w:szCs w:val="21"/>
          <w:highlight w:val="none"/>
          <w:lang w:eastAsia="zh-CN"/>
        </w:rPr>
        <w:t>无</w:t>
      </w:r>
      <w:r>
        <w:rPr>
          <w:rFonts w:hint="eastAsia" w:ascii="宋体" w:hAnsi="宋体" w:cs="宋体"/>
          <w:color w:val="auto"/>
          <w:szCs w:val="21"/>
          <w:highlight w:val="none"/>
        </w:rPr>
        <w:t xml:space="preserve">  </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7.交通运输</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7.1道路通行权和场外设施</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取得道路通行权、修建场外设施权的办理人：承包人</w:t>
      </w:r>
    </w:p>
    <w:p>
      <w:pPr>
        <w:spacing w:line="440" w:lineRule="exact"/>
        <w:ind w:firstLine="420" w:firstLineChars="200"/>
        <w:rPr>
          <w:rFonts w:hint="eastAsia" w:ascii="宋体" w:hAnsi="宋体" w:cs="宋体"/>
          <w:color w:val="auto"/>
          <w:szCs w:val="21"/>
          <w:highlight w:val="none"/>
          <w:u w:val="none"/>
        </w:rPr>
      </w:pPr>
      <w:r>
        <w:rPr>
          <w:rFonts w:hint="eastAsia" w:ascii="宋体" w:hAnsi="宋体" w:cs="宋体"/>
          <w:color w:val="auto"/>
          <w:szCs w:val="21"/>
          <w:highlight w:val="none"/>
        </w:rPr>
        <w:t>相关费用：</w:t>
      </w:r>
      <w:r>
        <w:rPr>
          <w:rFonts w:hint="eastAsia" w:ascii="宋体" w:hAnsi="宋体" w:cs="宋体"/>
          <w:color w:val="auto"/>
          <w:szCs w:val="21"/>
          <w:highlight w:val="none"/>
          <w:u w:val="none"/>
          <w:lang w:eastAsia="zh-CN"/>
        </w:rPr>
        <w:t>由承包人承担，并计入投标报价中</w:t>
      </w:r>
      <w:r>
        <w:rPr>
          <w:rFonts w:hint="eastAsia" w:ascii="宋体" w:hAnsi="宋体" w:cs="宋体"/>
          <w:color w:val="auto"/>
          <w:szCs w:val="21"/>
          <w:highlight w:val="none"/>
          <w:u w:val="none"/>
        </w:rPr>
        <w:t xml:space="preserve">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7.2场内施工道路</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7.2.1临时道路和交通设施的修建、维护、养护和管理人：承包人</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7.2.2临时道路和交通设施相关费用的承担：</w:t>
      </w:r>
      <w:r>
        <w:rPr>
          <w:rFonts w:hint="eastAsia" w:ascii="宋体" w:hAnsi="宋体" w:cs="宋体"/>
          <w:color w:val="auto"/>
          <w:szCs w:val="21"/>
          <w:highlight w:val="none"/>
          <w:u w:val="none"/>
          <w:lang w:eastAsia="zh-CN"/>
        </w:rPr>
        <w:t>由承包人承担，并计入投标报价中</w:t>
      </w:r>
      <w:r>
        <w:rPr>
          <w:rFonts w:hint="eastAsia" w:ascii="宋体" w:hAnsi="宋体" w:cs="宋体"/>
          <w:color w:val="auto"/>
          <w:szCs w:val="21"/>
          <w:highlight w:val="none"/>
          <w:u w:val="none"/>
        </w:rPr>
        <w:t xml:space="preserve">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7.4超大件和超重件的运输</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道路和桥梁临时加固改造费用和其他有关费用的承担：</w:t>
      </w:r>
      <w:r>
        <w:rPr>
          <w:rFonts w:hint="eastAsia" w:ascii="宋体" w:hAnsi="宋体" w:cs="宋体"/>
          <w:color w:val="auto"/>
          <w:szCs w:val="21"/>
          <w:highlight w:val="none"/>
          <w:u w:val="none"/>
          <w:lang w:eastAsia="zh-CN"/>
        </w:rPr>
        <w:t>由承包人承担，并计入投标报价中</w:t>
      </w:r>
      <w:r>
        <w:rPr>
          <w:rFonts w:hint="eastAsia" w:ascii="宋体" w:hAnsi="宋体" w:cs="宋体"/>
          <w:color w:val="auto"/>
          <w:szCs w:val="21"/>
          <w:highlight w:val="none"/>
          <w:u w:val="none"/>
        </w:rPr>
        <w:t xml:space="preserve">  </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8.测量放线</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8.1施工控制网</w:t>
      </w:r>
    </w:p>
    <w:p>
      <w:pPr>
        <w:spacing w:line="360" w:lineRule="auto"/>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8.1.1发包人提供测量基准点、基准线和水准点的期限：开工前7天</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施工控制网的测设：承包人</w:t>
      </w:r>
    </w:p>
    <w:p>
      <w:pPr>
        <w:spacing w:line="360" w:lineRule="auto"/>
        <w:ind w:firstLine="420" w:firstLineChars="200"/>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报监理人审批施工控制网资料的期限：</w:t>
      </w:r>
      <w:r>
        <w:rPr>
          <w:rFonts w:hint="eastAsia" w:ascii="宋体" w:hAnsi="宋体" w:cs="宋体"/>
          <w:color w:val="auto"/>
          <w:szCs w:val="21"/>
          <w:highlight w:val="none"/>
          <w:u w:val="single"/>
          <w:lang w:val="en-US" w:eastAsia="zh-CN"/>
        </w:rPr>
        <w:t xml:space="preserve">              </w:t>
      </w:r>
    </w:p>
    <w:p>
      <w:pPr>
        <w:numPr>
          <w:ilvl w:val="0"/>
          <w:numId w:val="4"/>
        </w:numPr>
        <w:spacing w:line="360" w:lineRule="auto"/>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施工安全、治安保卫和环境保护</w:t>
      </w:r>
    </w:p>
    <w:p>
      <w:pPr>
        <w:pStyle w:val="49"/>
        <w:numPr>
          <w:ilvl w:val="0"/>
          <w:numId w:val="0"/>
        </w:numPr>
        <w:spacing w:line="360" w:lineRule="auto"/>
        <w:rPr>
          <w:rFonts w:hint="default" w:eastAsia="宋体"/>
          <w:color w:val="auto"/>
          <w:highlight w:val="none"/>
          <w:lang w:val="en-US" w:eastAsia="zh-CN"/>
        </w:rPr>
      </w:pPr>
      <w:r>
        <w:rPr>
          <w:rFonts w:hint="eastAsia"/>
          <w:color w:val="auto"/>
          <w:highlight w:val="none"/>
          <w:lang w:val="en-US" w:eastAsia="zh-CN"/>
        </w:rPr>
        <w:t xml:space="preserve"> </w:t>
      </w:r>
      <w:r>
        <w:rPr>
          <w:rFonts w:hint="eastAsia" w:ascii="宋体" w:hAnsi="宋体" w:eastAsia="宋体" w:cs="宋体"/>
          <w:color w:val="auto"/>
          <w:kern w:val="2"/>
          <w:sz w:val="21"/>
          <w:szCs w:val="21"/>
          <w:highlight w:val="none"/>
          <w:lang w:val="en-US" w:eastAsia="zh-CN" w:bidi="ar-SA"/>
        </w:rPr>
        <w:t xml:space="preserve">   9.1  安全生产目标：安全生产无事故</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9.3治安保卫</w:t>
      </w:r>
    </w:p>
    <w:p>
      <w:pPr>
        <w:spacing w:line="360" w:lineRule="auto"/>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9.3.1现场治安管理机构或联防组织的组建：承包人</w:t>
      </w:r>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9.3.3施工场地治安管理计划和突发治安事件紧急预案的编制：承包人编制</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10.进度计划</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10.1合同进度计划</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承包人编制施工方案的内容：施工组织设计及专项安全施工方案等</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承包人报送施工进度计划和施工方案的期限：开工前七天</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监理人批复施工进度计划和施工方案的期限：收到方案后七天内</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11.开工和竣工</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11.4异常恶劣的气候条件</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异常恶劣的气候条件的范围：根据当地情况填写（20年一遇的最大降水量、降雪量、风力5级以上、持续时间48小时以上、最高温度37度、最低温度零下*度等）</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11.5承包人的工期延误</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逾期竣工违约金的计算方法：每延误一天，支付违约金</w:t>
      </w:r>
      <w:r>
        <w:rPr>
          <w:rFonts w:hint="eastAsia" w:ascii="宋体" w:hAnsi="宋体" w:cs="宋体"/>
          <w:color w:val="auto"/>
          <w:szCs w:val="21"/>
          <w:highlight w:val="none"/>
          <w:u w:val="single"/>
        </w:rPr>
        <w:t xml:space="preserve">1000.00  </w:t>
      </w:r>
      <w:r>
        <w:rPr>
          <w:rFonts w:hint="eastAsia" w:ascii="宋体" w:hAnsi="宋体" w:cs="宋体"/>
          <w:color w:val="auto"/>
          <w:szCs w:val="21"/>
          <w:highlight w:val="none"/>
        </w:rPr>
        <w:t>元</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逾期竣工违约金的限额：累计不超过合同总价3%</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11.6工期提前</w:t>
      </w:r>
    </w:p>
    <w:p>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提前竣工的奖励办法：</w:t>
      </w:r>
      <w:r>
        <w:rPr>
          <w:rFonts w:hint="eastAsia" w:ascii="宋体" w:hAnsi="宋体" w:cs="宋体"/>
          <w:color w:val="auto"/>
          <w:szCs w:val="21"/>
          <w:highlight w:val="none"/>
          <w:lang w:eastAsia="zh-CN"/>
        </w:rPr>
        <w:t>无</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12.暂停施工</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12.1承包人暂停施工的责任</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承包人承担暂停施工责任的其他情形：根据工程情况添加</w:t>
      </w:r>
    </w:p>
    <w:p>
      <w:pPr>
        <w:spacing w:line="440" w:lineRule="exact"/>
        <w:ind w:firstLine="420" w:firstLineChars="200"/>
        <w:outlineLvl w:val="2"/>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工程质量</w:t>
      </w:r>
    </w:p>
    <w:p>
      <w:pPr>
        <w:spacing w:line="44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13.1 工程质量标准：合格</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13.2承包人的质量检查</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承包人提交工程质量保证措施文件的期限：</w:t>
      </w:r>
      <w:r>
        <w:rPr>
          <w:rFonts w:hint="eastAsia" w:ascii="宋体" w:hAnsi="宋体" w:cs="宋体"/>
          <w:color w:val="auto"/>
          <w:szCs w:val="21"/>
          <w:highlight w:val="none"/>
          <w:u w:val="single"/>
        </w:rPr>
        <w:t>开工前七天</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15.变更</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15.1变更的范围和内容</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变更的范围与内容：除通用条款所列情形外，在此增加其他情形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15.3变更程序</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15.3.2变更估价</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承包人提交变更报价书的期限：</w:t>
      </w:r>
      <w:r>
        <w:rPr>
          <w:rFonts w:hint="eastAsia" w:ascii="宋体" w:hAnsi="宋体" w:cs="宋体"/>
          <w:color w:val="auto"/>
          <w:szCs w:val="21"/>
          <w:highlight w:val="none"/>
          <w:u w:val="single"/>
        </w:rPr>
        <w:t>承包人应在收到变更指示或变更意向书后的14天内，向监理人提交变更报价书。</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监理人商定或确定变更价格的期限：</w:t>
      </w:r>
      <w:r>
        <w:rPr>
          <w:rFonts w:hint="eastAsia" w:ascii="宋体" w:hAnsi="宋体" w:cs="宋体"/>
          <w:color w:val="auto"/>
          <w:szCs w:val="21"/>
          <w:highlight w:val="none"/>
          <w:u w:val="single"/>
        </w:rPr>
        <w:t>监理人应在收到承包人变更报价书后的14天内与承包人商定或确定变更价格。收到变更工程价款报告一方，应在收到之日起14天内予以确认或提出协商意见，自变更工程价款报告送达之日起14天内，对方未确认也未提出协商意见时，视为变更工程价款报告已被确认。</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工程设计变更确定后14天内，如承包人未提出变更工程价款报告，则发包人可根据所掌握的资料决定是否调整合同价款和调整的具体金额。</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15.4变更的估价原则</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变更估价的原则：按通用条款执行，其他经双方协商约定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15.5承包人的合理化建议</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15.5.2对承包人提出合理化建议的奖励方法：发包人应对提出合理化建议的一方根据受益明确奖励办法。</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15.8暂估价</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15.8.1发包人、承包人在采用共同招标方式选择专项供应商或专业分包人时的权利与义务    根据工程实际情况列明</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15.8.3不属于依法必须招标的暂估价工程最终价格的估价人：发包人或按通用条款15.8.3执行  </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16.价格调整</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16.1物价波动引起的价格调整</w:t>
      </w:r>
    </w:p>
    <w:p>
      <w:pPr>
        <w:tabs>
          <w:tab w:val="left" w:pos="0"/>
          <w:tab w:val="left" w:pos="993"/>
          <w:tab w:val="left" w:pos="1134"/>
        </w:tabs>
        <w:adjustRightInd w:val="0"/>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物价波动引起的价格调整方法：本工程采用固定单价合同，主要材料价格不再调整材料价格（报价风险由供应商自行考虑）。</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17.计量与支付</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17.1计量</w:t>
      </w:r>
    </w:p>
    <w:p>
      <w:pPr>
        <w:spacing w:line="44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本工程为固定单价合同；</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17.1.3计量周期</w:t>
      </w:r>
    </w:p>
    <w:p>
      <w:pPr>
        <w:spacing w:line="44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本合同的计量周期：</w:t>
      </w:r>
      <w:r>
        <w:rPr>
          <w:rFonts w:hint="eastAsia" w:ascii="宋体" w:hAnsi="宋体" w:eastAsia="宋体" w:cs="宋体"/>
          <w:color w:val="auto"/>
          <w:szCs w:val="21"/>
          <w:highlight w:val="none"/>
          <w:u w:val="single"/>
          <w:lang w:val="en-US" w:eastAsia="zh-CN"/>
        </w:rPr>
        <w:t>根据工程情况在此约定按月或形象进度计量</w:t>
      </w:r>
      <w:r>
        <w:rPr>
          <w:rFonts w:hint="eastAsia" w:ascii="宋体" w:hAnsi="宋体" w:eastAsia="宋体" w:cs="宋体"/>
          <w:color w:val="auto"/>
          <w:szCs w:val="21"/>
          <w:highlight w:val="none"/>
          <w:lang w:val="en-US" w:eastAsia="zh-CN"/>
        </w:rPr>
        <w:t xml:space="preserve">  </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17.1.5总价子目的计量</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总价子目的计量方法：按通用条款在此约定</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17.2预付款</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17.2.1预付款</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预付款额度和预付方法：</w:t>
      </w:r>
      <w:r>
        <w:rPr>
          <w:rFonts w:hint="eastAsia" w:ascii="宋体" w:hAnsi="宋体" w:cs="宋体"/>
          <w:color w:val="auto"/>
          <w:szCs w:val="21"/>
          <w:highlight w:val="none"/>
          <w:u w:val="single"/>
        </w:rPr>
        <w:t xml:space="preserve">  /  </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17.2.2预付款保函</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预付款保函的提交时间：</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17.2.3预付款的扣回与还清</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预付款的扣回办法：</w:t>
      </w:r>
      <w:r>
        <w:rPr>
          <w:rFonts w:hint="eastAsia" w:ascii="宋体" w:hAnsi="宋体" w:cs="宋体"/>
          <w:color w:val="auto"/>
          <w:szCs w:val="21"/>
          <w:highlight w:val="none"/>
          <w:u w:val="single"/>
        </w:rPr>
        <w:t xml:space="preserve">     /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17.3工程进度付款</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17.3.2进度付款申请单</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进度付款申请单的份数：（具体份数在此约定）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进度付款申请单的内容：在此详细约定具体内容或以附表形式约定具体内容</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17.3.3</w:t>
      </w:r>
      <w:r>
        <w:rPr>
          <w:rFonts w:hint="eastAsia" w:ascii="宋体" w:hAnsi="宋体" w:cs="宋体"/>
          <w:color w:val="auto"/>
          <w:szCs w:val="21"/>
          <w:highlight w:val="none"/>
          <w:lang w:eastAsia="zh-CN"/>
        </w:rPr>
        <w:t>付款方式</w:t>
      </w:r>
    </w:p>
    <w:p>
      <w:pPr>
        <w:spacing w:line="44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按照工程月进度 </w:t>
      </w:r>
      <w:r>
        <w:rPr>
          <w:rFonts w:hint="eastAsia" w:ascii="宋体" w:hAnsi="宋体" w:eastAsia="宋体" w:cs="宋体"/>
          <w:color w:val="auto"/>
          <w:szCs w:val="21"/>
          <w:highlight w:val="none"/>
          <w:lang w:val="en-US" w:eastAsia="zh-CN"/>
        </w:rPr>
        <w:t>80</w:t>
      </w:r>
      <w:r>
        <w:rPr>
          <w:rFonts w:hint="eastAsia" w:ascii="宋体" w:hAnsi="宋体" w:eastAsia="宋体" w:cs="宋体"/>
          <w:color w:val="auto"/>
          <w:szCs w:val="21"/>
          <w:highlight w:val="none"/>
        </w:rPr>
        <w:t>%的比例支付进度款，</w:t>
      </w:r>
      <w:r>
        <w:rPr>
          <w:rFonts w:hint="eastAsia" w:ascii="宋体" w:hAnsi="宋体" w:eastAsia="宋体" w:cs="宋体"/>
          <w:color w:val="auto"/>
          <w:szCs w:val="21"/>
          <w:highlight w:val="none"/>
          <w:lang w:val="en-US" w:eastAsia="zh-CN"/>
        </w:rPr>
        <w:t>工程竣工验收合格，经审计部门审计后，支付审定价的97%，剩余3%作为质保金，一年后无质量问题一次性无息付清。用支票、汇票、本票、保险、保函等形式替代预留保证金的，发包人不得同时预留工程质量保证金。</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17.4质量保证金</w:t>
      </w:r>
    </w:p>
    <w:p>
      <w:pPr>
        <w:spacing w:line="440" w:lineRule="exact"/>
        <w:ind w:firstLine="420" w:firstLineChars="200"/>
        <w:outlineLvl w:val="4"/>
        <w:rPr>
          <w:rFonts w:hint="eastAsia" w:ascii="宋体" w:hAnsi="宋体" w:cs="宋体"/>
          <w:color w:val="auto"/>
          <w:szCs w:val="21"/>
          <w:highlight w:val="none"/>
          <w:u w:val="single"/>
        </w:rPr>
      </w:pPr>
      <w:r>
        <w:rPr>
          <w:rFonts w:hint="eastAsia" w:ascii="宋体" w:hAnsi="宋体" w:cs="宋体"/>
          <w:color w:val="auto"/>
          <w:szCs w:val="21"/>
          <w:highlight w:val="none"/>
        </w:rPr>
        <w:t>17.4.1质量保证金的金额或比例</w:t>
      </w:r>
      <w:r>
        <w:rPr>
          <w:rFonts w:hint="eastAsia" w:ascii="宋体" w:hAnsi="宋体" w:cs="宋体"/>
          <w:color w:val="auto"/>
          <w:szCs w:val="21"/>
          <w:highlight w:val="none"/>
          <w:u w:val="single"/>
        </w:rPr>
        <w:t>：</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u w:val="single"/>
        </w:rPr>
        <w:t>。</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质量保证金的扣留方法：</w:t>
      </w:r>
      <w:r>
        <w:rPr>
          <w:rFonts w:hint="eastAsia" w:ascii="宋体" w:hAnsi="宋体" w:cs="宋体"/>
          <w:color w:val="auto"/>
          <w:szCs w:val="21"/>
          <w:highlight w:val="none"/>
          <w:u w:val="single"/>
        </w:rPr>
        <w:t xml:space="preserve">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17.5竣工结算</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竣工付款申请单的份数和提交期限：</w:t>
      </w:r>
      <w:r>
        <w:rPr>
          <w:rFonts w:hint="eastAsia" w:ascii="宋体" w:hAnsi="宋体" w:cs="宋体"/>
          <w:color w:val="auto"/>
          <w:szCs w:val="21"/>
          <w:highlight w:val="none"/>
          <w:u w:val="single"/>
        </w:rPr>
        <w:t>（具体份数在此约定），竣工后28天内。</w:t>
      </w:r>
      <w:r>
        <w:rPr>
          <w:rFonts w:hint="eastAsia" w:ascii="宋体" w:hAnsi="宋体" w:cs="宋体"/>
          <w:color w:val="auto"/>
          <w:szCs w:val="21"/>
          <w:highlight w:val="non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竣工付款申请单的内容：</w:t>
      </w:r>
      <w:r>
        <w:rPr>
          <w:rFonts w:hint="eastAsia" w:ascii="宋体" w:hAnsi="宋体" w:cs="宋体"/>
          <w:color w:val="auto"/>
          <w:szCs w:val="21"/>
          <w:highlight w:val="none"/>
          <w:u w:val="single"/>
        </w:rPr>
        <w:t>在此详细约定具体内容或以附表形式约定具体内容。</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17.6最终结清</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17.6.1最终结清申请单</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最终结清申请单的份数和提交期限：</w:t>
      </w:r>
      <w:r>
        <w:rPr>
          <w:rFonts w:hint="eastAsia" w:ascii="宋体" w:hAnsi="宋体" w:cs="宋体"/>
          <w:color w:val="auto"/>
          <w:szCs w:val="21"/>
          <w:highlight w:val="none"/>
          <w:u w:val="single"/>
        </w:rPr>
        <w:t>（具体份数在此约定），竣工后14天内</w:t>
      </w:r>
      <w:r>
        <w:rPr>
          <w:rFonts w:hint="eastAsia" w:ascii="宋体" w:hAnsi="宋体" w:cs="宋体"/>
          <w:color w:val="auto"/>
          <w:szCs w:val="21"/>
          <w:highlight w:val="none"/>
        </w:rPr>
        <w:t xml:space="preserve">。 </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18.竣工验收</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18.2竣工验收申请报告</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竣工验收资料内容：</w:t>
      </w:r>
      <w:r>
        <w:rPr>
          <w:rFonts w:hint="eastAsia" w:ascii="宋体" w:hAnsi="宋体" w:cs="宋体"/>
          <w:color w:val="auto"/>
          <w:szCs w:val="21"/>
          <w:highlight w:val="none"/>
          <w:u w:val="single"/>
        </w:rPr>
        <w:t>符合行业主管部门和城建档案馆的对竣工验收资料内容的要求。</w:t>
      </w:r>
      <w:r>
        <w:rPr>
          <w:rFonts w:hint="eastAsia" w:ascii="宋体" w:hAnsi="宋体" w:cs="宋体"/>
          <w:color w:val="auto"/>
          <w:szCs w:val="21"/>
          <w:highlight w:val="none"/>
        </w:rPr>
        <w:t xml:space="preserve">  </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竣工验收资料份数：</w:t>
      </w:r>
      <w:r>
        <w:rPr>
          <w:rFonts w:hint="eastAsia" w:ascii="宋体" w:hAnsi="宋体" w:cs="宋体"/>
          <w:color w:val="auto"/>
          <w:szCs w:val="21"/>
          <w:highlight w:val="none"/>
          <w:u w:val="single"/>
        </w:rPr>
        <w:t>（具体份数在此约定）</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18.3验收</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18.3.5实际竣工日期：</w:t>
      </w:r>
      <w:r>
        <w:rPr>
          <w:rFonts w:hint="eastAsia" w:ascii="宋体" w:hAnsi="宋体" w:cs="宋体"/>
          <w:color w:val="auto"/>
          <w:szCs w:val="21"/>
          <w:highlight w:val="none"/>
          <w:u w:val="single"/>
        </w:rPr>
        <w:t>实际验收合格日期应为实际竣工日期</w:t>
      </w:r>
      <w:r>
        <w:rPr>
          <w:rFonts w:hint="eastAsia" w:ascii="宋体" w:hAnsi="宋体" w:cs="宋体"/>
          <w:color w:val="auto"/>
          <w:szCs w:val="21"/>
          <w:highlight w:val="none"/>
        </w:rPr>
        <w:t xml:space="preserve">。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18.5施工期运行</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18.5.1需要施工期运行单位工程或工程设备：（ 根据工程具体情况在此详细列明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18.6试运行</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 xml:space="preserve">18.6.1试运行的组织及费用承担：发包人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18.7竣工清场</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18.7.1竣工清场：（如有承包人外第三人承担，在此填写第三人名称，费用从承包人竣工结算款中扣除）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18.8施工队伍的撤离</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施工人员、施工设备及其临时工程撤离的要求：（缺陷责任期满后撤离要求在此约定） </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19.缺陷责任与保修责任</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19.7保修责任</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工程质量保修范围、期限和责任：（满足国家相关规定的要求。在此填写相关规定文件名称及条款。） </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20.保险</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20.1工程保险</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投保人：发包人 、承包人、发包人和承包人 </w:t>
      </w:r>
    </w:p>
    <w:p>
      <w:pPr>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投保内容：</w:t>
      </w:r>
      <w:r>
        <w:rPr>
          <w:rFonts w:hint="eastAsia" w:ascii="宋体" w:hAnsi="宋体" w:cs="宋体"/>
          <w:color w:val="auto"/>
          <w:szCs w:val="21"/>
          <w:highlight w:val="none"/>
          <w:u w:val="single"/>
        </w:rPr>
        <w:t>发包人不参加保险，承包人对施工设备的保险采取自愿的原则由承包人自行负责。</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在合同实施期间，除根据国家规定外采取保险自愿的原则，承包人自行决定是否为其雇用的人员投保人身意外伤害险，责任自负</w:t>
      </w:r>
      <w:r>
        <w:rPr>
          <w:rFonts w:hint="eastAsia" w:ascii="宋体" w:hAnsi="宋体" w:cs="宋体"/>
          <w:color w:val="auto"/>
          <w:szCs w:val="21"/>
          <w:highlight w:val="none"/>
        </w:rPr>
        <w:t xml:space="preserve">。  </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保险全额、保险费率和保险期限：根据工程详细在此列明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20.4第三者责任险</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第三者责任险保险费率：根据工程详细在此列明</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第三者责任险保险金额：根据工程详细在此列明</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20.5其他保险</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需要投保其他内容、保险金额、费率及期限等：根据工程详细在此列明   </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20.6对各项保险的一般要求</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20.6.1保险凭证</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保险条件：经双方协商约定</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承包人提交保险凭证的期限：经双方协商约定</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20.6.4对各项保险的一般要求</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保险金不足以补偿损失时，应由承包人和（或）发包人负责补偿的范围与金额：经双方协商约定</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21.不可抗力</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21.1不可抗力的确认</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21.1.1通用合同条款约定以外的不可抗力范围：在此约定除通用条款以外的其它情形</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21.3不可抗力后果及其处理</w:t>
      </w:r>
    </w:p>
    <w:p>
      <w:pPr>
        <w:spacing w:line="440" w:lineRule="exact"/>
        <w:ind w:firstLine="420" w:firstLineChars="200"/>
        <w:outlineLvl w:val="4"/>
        <w:rPr>
          <w:rFonts w:hint="eastAsia" w:ascii="宋体" w:hAnsi="宋体" w:cs="宋体"/>
          <w:color w:val="auto"/>
          <w:szCs w:val="21"/>
          <w:highlight w:val="none"/>
        </w:rPr>
      </w:pPr>
      <w:r>
        <w:rPr>
          <w:rFonts w:hint="eastAsia" w:ascii="宋体" w:hAnsi="宋体" w:cs="宋体"/>
          <w:color w:val="auto"/>
          <w:szCs w:val="21"/>
          <w:highlight w:val="none"/>
        </w:rPr>
        <w:t>21.3.1不可抗力造成损害的责任</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不可抗力导致的人员伤亡、财产损失、费用增加和（或）工期延误有合同双方按以下方法承担：  执行通用条款或双方在此约定其它承担原则</w:t>
      </w:r>
    </w:p>
    <w:p>
      <w:pPr>
        <w:spacing w:line="440" w:lineRule="exact"/>
        <w:ind w:firstLine="420" w:firstLineChars="200"/>
        <w:outlineLvl w:val="2"/>
        <w:rPr>
          <w:rFonts w:hint="eastAsia" w:ascii="宋体" w:hAnsi="宋体" w:cs="宋体"/>
          <w:color w:val="auto"/>
          <w:szCs w:val="21"/>
          <w:highlight w:val="none"/>
        </w:rPr>
      </w:pPr>
      <w:r>
        <w:rPr>
          <w:rFonts w:hint="eastAsia" w:ascii="宋体" w:hAnsi="宋体" w:cs="宋体"/>
          <w:color w:val="auto"/>
          <w:szCs w:val="21"/>
          <w:highlight w:val="none"/>
        </w:rPr>
        <w:t>24.争议的解决</w:t>
      </w:r>
    </w:p>
    <w:p>
      <w:pPr>
        <w:spacing w:line="440" w:lineRule="exact"/>
        <w:ind w:firstLine="420" w:firstLineChars="200"/>
        <w:outlineLvl w:val="3"/>
        <w:rPr>
          <w:rFonts w:hint="eastAsia" w:ascii="宋体" w:hAnsi="宋体" w:cs="宋体"/>
          <w:color w:val="auto"/>
          <w:szCs w:val="21"/>
          <w:highlight w:val="none"/>
        </w:rPr>
      </w:pPr>
      <w:r>
        <w:rPr>
          <w:rFonts w:hint="eastAsia" w:ascii="宋体" w:hAnsi="宋体" w:cs="宋体"/>
          <w:color w:val="auto"/>
          <w:szCs w:val="21"/>
          <w:highlight w:val="none"/>
        </w:rPr>
        <w:t>24.1争议的解决方式：诉讼</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因本合同引起的或与本合同有关的任何争议，合同当事人友好协商不成、不愿提请争议评审或者不愿接受争议评审组意见的，选择下列第（2）种争议解决方式：</w:t>
      </w:r>
    </w:p>
    <w:p>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（1）提请仲裁委员会按照该会仲裁规则进行仲裁，仲裁裁决是终局的，对双方均有约束力。</w:t>
      </w:r>
    </w:p>
    <w:p>
      <w:pPr>
        <w:spacing w:line="44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（2）向</w:t>
      </w:r>
      <w:r>
        <w:rPr>
          <w:rFonts w:hint="eastAsia" w:ascii="宋体" w:hAnsi="宋体" w:cs="宋体"/>
          <w:color w:val="auto"/>
          <w:szCs w:val="21"/>
          <w:highlight w:val="none"/>
          <w:lang w:eastAsia="zh-CN"/>
        </w:rPr>
        <w:t>项目所在地</w:t>
      </w:r>
      <w:r>
        <w:rPr>
          <w:rFonts w:hint="eastAsia" w:ascii="宋体" w:hAnsi="宋体" w:cs="宋体"/>
          <w:color w:val="auto"/>
          <w:szCs w:val="21"/>
          <w:highlight w:val="none"/>
        </w:rPr>
        <w:t>有管辖权的人民法院提起诉讼。</w:t>
      </w:r>
    </w:p>
    <w:p>
      <w:pPr>
        <w:spacing w:line="440" w:lineRule="exact"/>
        <w:ind w:firstLine="420" w:firstLineChars="200"/>
        <w:rPr>
          <w:rFonts w:hint="eastAsia" w:ascii="宋体" w:hAnsi="宋体" w:cs="宋体"/>
          <w:color w:val="auto"/>
          <w:highlight w:val="none"/>
        </w:rPr>
      </w:pPr>
    </w:p>
    <w:p>
      <w:pPr>
        <w:spacing w:line="400" w:lineRule="exact"/>
        <w:outlineLvl w:val="0"/>
        <w:rPr>
          <w:rFonts w:hint="eastAsia" w:ascii="宋体" w:hAnsi="宋体" w:cs="宋体"/>
          <w:b/>
          <w:color w:val="auto"/>
          <w:sz w:val="28"/>
          <w:szCs w:val="28"/>
          <w:highlight w:val="none"/>
        </w:rPr>
      </w:pPr>
      <w:r>
        <w:rPr>
          <w:rFonts w:hint="eastAsia" w:ascii="宋体" w:hAnsi="宋体"/>
          <w:color w:val="auto"/>
          <w:highlight w:val="none"/>
        </w:rPr>
        <w:br w:type="page"/>
      </w:r>
      <w:r>
        <w:rPr>
          <w:rFonts w:hint="eastAsia" w:ascii="宋体" w:hAnsi="宋体" w:cs="宋体"/>
          <w:b/>
          <w:color w:val="auto"/>
          <w:sz w:val="28"/>
          <w:szCs w:val="28"/>
          <w:highlight w:val="none"/>
        </w:rPr>
        <w:t>附件：建设项目廉政责任书</w:t>
      </w:r>
    </w:p>
    <w:p>
      <w:pPr>
        <w:tabs>
          <w:tab w:val="center" w:pos="4320"/>
          <w:tab w:val="left" w:pos="7815"/>
        </w:tabs>
        <w:autoSpaceDE w:val="0"/>
        <w:autoSpaceDN w:val="0"/>
        <w:adjustRightInd w:val="0"/>
        <w:snapToGrid w:val="0"/>
        <w:spacing w:before="238" w:line="360" w:lineRule="auto"/>
        <w:jc w:val="center"/>
        <w:outlineLvl w:val="0"/>
        <w:rPr>
          <w:rFonts w:hint="eastAsia" w:ascii="宋体" w:hAnsi="宋体" w:cs="宋体"/>
          <w:b/>
          <w:color w:val="auto"/>
          <w:sz w:val="28"/>
          <w:szCs w:val="28"/>
          <w:highlight w:val="none"/>
        </w:rPr>
      </w:pPr>
      <w:r>
        <w:rPr>
          <w:rFonts w:hint="eastAsia" w:ascii="宋体" w:hAnsi="宋体" w:cs="宋体"/>
          <w:b/>
          <w:color w:val="auto"/>
          <w:sz w:val="28"/>
          <w:szCs w:val="28"/>
          <w:highlight w:val="none"/>
        </w:rPr>
        <w:t>建设项目廉政责任书</w:t>
      </w:r>
      <w:r>
        <w:rPr>
          <w:rFonts w:hint="eastAsia" w:ascii="宋体" w:hAnsi="宋体" w:cs="宋体"/>
          <w:b/>
          <w:bCs/>
          <w:color w:val="auto"/>
          <w:sz w:val="28"/>
          <w:szCs w:val="28"/>
          <w:highlight w:val="none"/>
          <w:lang w:eastAsia="zh-CN"/>
        </w:rPr>
        <w:t>（参考文本）</w:t>
      </w:r>
    </w:p>
    <w:p>
      <w:pPr>
        <w:autoSpaceDE w:val="0"/>
        <w:autoSpaceDN w:val="0"/>
        <w:adjustRightInd w:val="0"/>
        <w:snapToGrid w:val="0"/>
        <w:spacing w:line="440" w:lineRule="exact"/>
        <w:ind w:firstLine="48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建设单位（甲方）：</w:t>
      </w:r>
      <w:r>
        <w:rPr>
          <w:rFonts w:hint="eastAsia" w:ascii="宋体" w:hAnsi="宋体" w:cs="宋体"/>
          <w:color w:val="auto"/>
          <w:kern w:val="28"/>
          <w:szCs w:val="21"/>
          <w:highlight w:val="none"/>
          <w:u w:val="single"/>
          <w:lang w:val="zh-CN"/>
        </w:rPr>
        <w:t xml:space="preserve">                                              </w:t>
      </w:r>
      <w:r>
        <w:rPr>
          <w:rFonts w:hint="eastAsia" w:ascii="宋体" w:hAnsi="宋体" w:cs="宋体"/>
          <w:color w:val="auto"/>
          <w:kern w:val="28"/>
          <w:szCs w:val="21"/>
          <w:highlight w:val="none"/>
          <w:lang w:val="zh-CN"/>
        </w:rPr>
        <w:t xml:space="preserve">        </w:t>
      </w:r>
    </w:p>
    <w:p>
      <w:pPr>
        <w:autoSpaceDE w:val="0"/>
        <w:autoSpaceDN w:val="0"/>
        <w:adjustRightInd w:val="0"/>
        <w:snapToGrid w:val="0"/>
        <w:spacing w:line="440" w:lineRule="exact"/>
        <w:ind w:firstLine="48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承建单位（乙方）：</w:t>
      </w:r>
      <w:r>
        <w:rPr>
          <w:rFonts w:hint="eastAsia" w:ascii="宋体" w:hAnsi="宋体" w:cs="宋体"/>
          <w:color w:val="auto"/>
          <w:kern w:val="28"/>
          <w:szCs w:val="21"/>
          <w:highlight w:val="none"/>
          <w:u w:val="single"/>
          <w:lang w:val="zh-CN"/>
        </w:rPr>
        <w:t xml:space="preserve">                                              </w:t>
      </w:r>
      <w:r>
        <w:rPr>
          <w:rFonts w:hint="eastAsia" w:ascii="宋体" w:hAnsi="宋体" w:cs="宋体"/>
          <w:color w:val="auto"/>
          <w:kern w:val="28"/>
          <w:szCs w:val="21"/>
          <w:highlight w:val="none"/>
          <w:lang w:val="zh-CN"/>
        </w:rPr>
        <w:t xml:space="preserve"> </w:t>
      </w:r>
    </w:p>
    <w:p>
      <w:pPr>
        <w:autoSpaceDE w:val="0"/>
        <w:autoSpaceDN w:val="0"/>
        <w:adjustRightInd w:val="0"/>
        <w:snapToGrid w:val="0"/>
        <w:spacing w:line="440" w:lineRule="exact"/>
        <w:ind w:firstLine="48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为确保工程建设质量，预防和制止工程建设中发生违规违纪违法和腐败行为，根据《中国共产党党员领导干部廉洁从政若干准则（试行）》、《关于实行党风廉政建设责任制的规定》等有关规定，特制定廉政责任书，双方共同遵守执行。</w:t>
      </w:r>
    </w:p>
    <w:p>
      <w:pPr>
        <w:autoSpaceDE w:val="0"/>
        <w:autoSpaceDN w:val="0"/>
        <w:adjustRightInd w:val="0"/>
        <w:snapToGrid w:val="0"/>
        <w:spacing w:line="440" w:lineRule="exact"/>
        <w:ind w:firstLine="56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一、甲、乙双方要严格遵守国家的法律法规和党风廉政建设的各项规定。乙方不得将本合同转让和违法分包，否则一旦发现甲方立即终止合同，并报请有关部门，将其列入黑名单。</w:t>
      </w:r>
    </w:p>
    <w:p>
      <w:pPr>
        <w:autoSpaceDE w:val="0"/>
        <w:autoSpaceDN w:val="0"/>
        <w:adjustRightInd w:val="0"/>
        <w:snapToGrid w:val="0"/>
        <w:spacing w:line="440" w:lineRule="exact"/>
        <w:ind w:firstLine="56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二、甲方领导及其工作人员保持与乙方的正常业务交往。不得以任何形式向乙方索要和收受回扣等好处费；不得接受乙方的礼金、有价证券和贵重物品；不得在乙方报销任何应由个人支付的费用；不得要求或接受乙方为其购买商品房、房屋装修及出国出境、“参观”旅游等提供方便和资助；不得参加乙方安排的宴请和娱乐健身活动；不得指定</w:t>
      </w:r>
      <w:r>
        <w:rPr>
          <w:rFonts w:hint="eastAsia" w:ascii="宋体" w:hAnsi="宋体" w:cs="宋体"/>
          <w:color w:val="auto"/>
          <w:sz w:val="21"/>
          <w:szCs w:val="21"/>
          <w:highlight w:val="none"/>
          <w:lang w:eastAsia="zh-CN"/>
        </w:rPr>
        <w:t>竞争性磋商</w:t>
      </w:r>
      <w:r>
        <w:rPr>
          <w:rFonts w:hint="eastAsia" w:ascii="宋体" w:hAnsi="宋体" w:cs="宋体"/>
          <w:color w:val="auto"/>
          <w:sz w:val="21"/>
          <w:szCs w:val="21"/>
          <w:highlight w:val="none"/>
        </w:rPr>
        <w:t>文件</w:t>
      </w:r>
      <w:r>
        <w:rPr>
          <w:rFonts w:hint="eastAsia" w:ascii="宋体" w:hAnsi="宋体" w:cs="宋体"/>
          <w:color w:val="auto"/>
          <w:kern w:val="28"/>
          <w:szCs w:val="21"/>
          <w:highlight w:val="none"/>
          <w:lang w:val="zh-CN"/>
        </w:rPr>
        <w:t>约定外的物资设备生产厂家和供应商；不得要求乙方购买合同规定外的特殊材料和设备。</w:t>
      </w:r>
    </w:p>
    <w:p>
      <w:pPr>
        <w:autoSpaceDE w:val="0"/>
        <w:autoSpaceDN w:val="0"/>
        <w:adjustRightInd w:val="0"/>
        <w:snapToGrid w:val="0"/>
        <w:spacing w:line="440" w:lineRule="exact"/>
        <w:ind w:firstLine="42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三、乙方按照合同约定施工。不得以任何理由向甲方领导及其工作人员馈赠礼金、有价证券等；不得以任何名义为甲方领导及其工作人员报销应由甲方单位或个人支付的任何费用；不得以洽谈业务、签订合同为借口邀请甲方领导及工作人员外出“参观”旅游或高消费娱乐和健身活动；不得为甲方单位或个人购置或提供通讯工具、交通工具和高档办公用品；不得使用甲方指定的未经招投标的分包队伍；不得向甲方领导及工作人员赠送商品房、装修居室或为其子女上学、出国留学提供资助；不得违反规定向甲方领导及工作人员实施与行贿有嫌的一切行为。</w:t>
      </w:r>
    </w:p>
    <w:p>
      <w:pPr>
        <w:autoSpaceDE w:val="0"/>
        <w:autoSpaceDN w:val="0"/>
        <w:adjustRightInd w:val="0"/>
        <w:snapToGrid w:val="0"/>
        <w:spacing w:line="440" w:lineRule="exact"/>
        <w:ind w:firstLine="48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四、甲、乙双方要互相监督，共同抵制不廉洁行为。乙方如发现甲方领导及工作人员有违反上述规定的索贿受贿等行为，应向甲方上级领导和纪检监察部门举报，甲方不得以任何借口对乙方进行报复。甲方如发现乙方有违反上述规定的贿赂行为，应向乙方上级领导和纪检监察部门举报。</w:t>
      </w:r>
    </w:p>
    <w:p>
      <w:pPr>
        <w:tabs>
          <w:tab w:val="left" w:pos="7260"/>
        </w:tabs>
        <w:autoSpaceDE w:val="0"/>
        <w:autoSpaceDN w:val="0"/>
        <w:adjustRightInd w:val="0"/>
        <w:snapToGrid w:val="0"/>
        <w:spacing w:line="440" w:lineRule="exact"/>
        <w:ind w:firstLine="48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五、本廉政责任书作为</w:t>
      </w:r>
      <w:r>
        <w:rPr>
          <w:rFonts w:hint="eastAsia" w:ascii="宋体" w:hAnsi="宋体" w:cs="宋体"/>
          <w:color w:val="auto"/>
          <w:kern w:val="28"/>
          <w:szCs w:val="21"/>
          <w:highlight w:val="none"/>
          <w:u w:val="single"/>
          <w:lang w:val="zh-CN"/>
        </w:rPr>
        <w:t xml:space="preserve">            </w:t>
      </w:r>
      <w:r>
        <w:rPr>
          <w:rFonts w:hint="eastAsia" w:ascii="宋体" w:hAnsi="宋体" w:cs="宋体"/>
          <w:color w:val="auto"/>
          <w:kern w:val="28"/>
          <w:szCs w:val="21"/>
          <w:highlight w:val="none"/>
          <w:lang w:val="zh-CN"/>
        </w:rPr>
        <w:t>工程建设施工合同的必备附件，经双方代表签订后生效。</w:t>
      </w:r>
    </w:p>
    <w:p>
      <w:pPr>
        <w:tabs>
          <w:tab w:val="left" w:pos="7260"/>
        </w:tabs>
        <w:autoSpaceDE w:val="0"/>
        <w:autoSpaceDN w:val="0"/>
        <w:adjustRightInd w:val="0"/>
        <w:snapToGrid w:val="0"/>
        <w:spacing w:line="440" w:lineRule="exact"/>
        <w:ind w:firstLine="56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本廉政责任书一式二份，甲、乙双方各执一份，复印件报双方上级纪检监察部门分别留存备案。</w:t>
      </w:r>
    </w:p>
    <w:p>
      <w:pPr>
        <w:tabs>
          <w:tab w:val="left" w:pos="4470"/>
        </w:tabs>
        <w:autoSpaceDE w:val="0"/>
        <w:autoSpaceDN w:val="0"/>
        <w:adjustRightInd w:val="0"/>
        <w:snapToGrid w:val="0"/>
        <w:spacing w:line="440" w:lineRule="exact"/>
        <w:ind w:left="960" w:hanging="960"/>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 xml:space="preserve">              甲方：</w:t>
      </w:r>
      <w:r>
        <w:rPr>
          <w:rFonts w:hint="eastAsia" w:ascii="宋体" w:hAnsi="宋体" w:cs="宋体"/>
          <w:color w:val="auto"/>
          <w:kern w:val="28"/>
          <w:szCs w:val="21"/>
          <w:highlight w:val="none"/>
          <w:lang w:val="zh-CN"/>
        </w:rPr>
        <w:tab/>
      </w:r>
      <w:r>
        <w:rPr>
          <w:rFonts w:hint="eastAsia" w:ascii="宋体" w:hAnsi="宋体" w:cs="宋体"/>
          <w:color w:val="auto"/>
          <w:kern w:val="28"/>
          <w:szCs w:val="21"/>
          <w:highlight w:val="none"/>
          <w:lang w:val="zh-CN"/>
        </w:rPr>
        <w:t xml:space="preserve">           乙方：</w:t>
      </w:r>
    </w:p>
    <w:p>
      <w:pPr>
        <w:tabs>
          <w:tab w:val="left" w:pos="5190"/>
        </w:tabs>
        <w:autoSpaceDE w:val="0"/>
        <w:autoSpaceDN w:val="0"/>
        <w:adjustRightInd w:val="0"/>
        <w:snapToGrid w:val="0"/>
        <w:spacing w:line="440" w:lineRule="exact"/>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 xml:space="preserve">              签字：</w:t>
      </w:r>
      <w:r>
        <w:rPr>
          <w:rFonts w:hint="eastAsia" w:ascii="宋体" w:hAnsi="宋体" w:cs="宋体"/>
          <w:color w:val="auto"/>
          <w:kern w:val="28"/>
          <w:szCs w:val="21"/>
          <w:highlight w:val="none"/>
          <w:lang w:val="zh-CN"/>
        </w:rPr>
        <w:tab/>
      </w:r>
      <w:r>
        <w:rPr>
          <w:rFonts w:hint="eastAsia" w:ascii="宋体" w:hAnsi="宋体" w:cs="宋体"/>
          <w:color w:val="auto"/>
          <w:kern w:val="28"/>
          <w:szCs w:val="21"/>
          <w:highlight w:val="none"/>
          <w:lang w:val="zh-CN"/>
        </w:rPr>
        <w:t xml:space="preserve">     签字：</w:t>
      </w:r>
    </w:p>
    <w:p>
      <w:pPr>
        <w:tabs>
          <w:tab w:val="left" w:pos="5430"/>
        </w:tabs>
        <w:autoSpaceDE w:val="0"/>
        <w:autoSpaceDN w:val="0"/>
        <w:adjustRightInd w:val="0"/>
        <w:snapToGrid w:val="0"/>
        <w:spacing w:line="440" w:lineRule="exact"/>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 xml:space="preserve">              盖章</w:t>
      </w:r>
      <w:r>
        <w:rPr>
          <w:rFonts w:hint="eastAsia" w:ascii="宋体" w:hAnsi="宋体" w:cs="宋体"/>
          <w:color w:val="auto"/>
          <w:kern w:val="28"/>
          <w:szCs w:val="21"/>
          <w:highlight w:val="none"/>
          <w:lang w:val="zh-CN"/>
        </w:rPr>
        <w:tab/>
      </w:r>
      <w:r>
        <w:rPr>
          <w:rFonts w:hint="eastAsia" w:ascii="宋体" w:hAnsi="宋体" w:cs="宋体"/>
          <w:color w:val="auto"/>
          <w:kern w:val="28"/>
          <w:szCs w:val="21"/>
          <w:highlight w:val="none"/>
          <w:lang w:val="zh-CN"/>
        </w:rPr>
        <w:t xml:space="preserve">   盖章</w:t>
      </w:r>
    </w:p>
    <w:p>
      <w:pPr>
        <w:tabs>
          <w:tab w:val="left" w:pos="5430"/>
        </w:tabs>
        <w:autoSpaceDE w:val="0"/>
        <w:autoSpaceDN w:val="0"/>
        <w:adjustRightInd w:val="0"/>
        <w:snapToGrid w:val="0"/>
        <w:spacing w:line="440" w:lineRule="exact"/>
        <w:rPr>
          <w:rFonts w:hint="eastAsia" w:ascii="宋体" w:hAnsi="宋体" w:cs="宋体"/>
          <w:color w:val="auto"/>
          <w:kern w:val="28"/>
          <w:szCs w:val="21"/>
          <w:highlight w:val="none"/>
          <w:lang w:val="zh-CN"/>
        </w:rPr>
      </w:pPr>
      <w:r>
        <w:rPr>
          <w:rFonts w:hint="eastAsia" w:ascii="宋体" w:hAnsi="宋体" w:cs="宋体"/>
          <w:color w:val="auto"/>
          <w:kern w:val="28"/>
          <w:szCs w:val="21"/>
          <w:highlight w:val="none"/>
          <w:lang w:val="zh-CN"/>
        </w:rPr>
        <w:tab/>
      </w:r>
      <w:r>
        <w:rPr>
          <w:rFonts w:hint="eastAsia" w:ascii="宋体" w:hAnsi="宋体" w:cs="宋体"/>
          <w:color w:val="auto"/>
          <w:kern w:val="28"/>
          <w:szCs w:val="21"/>
          <w:highlight w:val="none"/>
          <w:lang w:val="zh-CN"/>
        </w:rPr>
        <w:t xml:space="preserve"> </w:t>
      </w:r>
      <w:bookmarkStart w:id="167" w:name="_Toc8256"/>
      <w:r>
        <w:rPr>
          <w:rFonts w:hint="eastAsia" w:ascii="宋体" w:hAnsi="宋体" w:cs="宋体"/>
          <w:color w:val="auto"/>
          <w:kern w:val="28"/>
          <w:szCs w:val="21"/>
          <w:highlight w:val="none"/>
          <w:lang w:val="zh-CN"/>
        </w:rPr>
        <w:t>年    月    日</w:t>
      </w:r>
      <w:bookmarkEnd w:id="167"/>
    </w:p>
    <w:p>
      <w:pPr>
        <w:widowControl/>
        <w:spacing w:line="360" w:lineRule="auto"/>
        <w:outlineLvl w:val="9"/>
        <w:rPr>
          <w:rFonts w:hint="eastAsia" w:ascii="宋体" w:hAnsi="宋体"/>
          <w:color w:val="auto"/>
          <w:highlight w:val="none"/>
        </w:rPr>
      </w:pPr>
    </w:p>
    <w:sectPr>
      <w:headerReference r:id="rId8" w:type="first"/>
      <w:footerReference r:id="rId10" w:type="first"/>
      <w:footerReference r:id="rId9" w:type="default"/>
      <w:pgSz w:w="11907" w:h="16840"/>
      <w:pgMar w:top="1361" w:right="1361" w:bottom="1361" w:left="1474" w:header="851" w:footer="879"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ook Antiqua">
    <w:panose1 w:val="02040602050305030304"/>
    <w:charset w:val="00"/>
    <w:family w:val="roman"/>
    <w:pitch w:val="default"/>
    <w:sig w:usb0="00000000" w:usb1="00000000" w:usb2="00000000" w:usb3="00000000" w:csb0="00000000" w:csb1="00000000"/>
    <w:embedRegular r:id="rId1" w:fontKey="{DE32A23D-8BFC-49B0-AFDC-04F4DA4F04A2}"/>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auto"/>
    <w:pitch w:val="default"/>
    <w:sig w:usb0="00000000" w:usb1="00000000" w:usb2="00000000" w:usb3="00000000" w:csb0="00000000" w:csb1="00000000"/>
    <w:embedRegular r:id="rId2" w:fontKey="{F846F3FA-5ACB-4546-8EFC-EA9BA82E0BF3}"/>
  </w:font>
  <w:font w:name="monospace">
    <w:altName w:val="Segoe Print"/>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0" w:usb1="00000000" w:usb2="00000000" w:usb3="00000000" w:csb0="00000000" w:csb1="00000000"/>
  </w:font>
  <w:font w:name="方正仿宋_GB2312">
    <w:altName w:val="仿宋"/>
    <w:panose1 w:val="02000000000000000000"/>
    <w:charset w:val="86"/>
    <w:family w:val="auto"/>
    <w:pitch w:val="default"/>
    <w:sig w:usb0="00000000" w:usb1="00000000" w:usb2="00000000" w:usb3="00000000" w:csb0="00040001" w:csb1="00000000"/>
    <w:embedRegular r:id="rId3" w:fontKey="{9A50A9D0-F1DD-43FB-A8F5-347737BE81F9}"/>
  </w:font>
  <w:font w:name="仿宋">
    <w:panose1 w:val="02010609060101010101"/>
    <w:charset w:val="86"/>
    <w:family w:val="modern"/>
    <w:pitch w:val="default"/>
    <w:sig w:usb0="800002BF" w:usb1="38CF7CFA" w:usb2="00000016" w:usb3="00000000" w:csb0="00040001" w:csb1="00000000"/>
    <w:embedRegular r:id="rId4" w:fontKey="{8ADCBF53-6E62-4295-BE40-A768A6E677AF}"/>
  </w:font>
  <w:font w:name="华文中宋">
    <w:panose1 w:val="02010600040101010101"/>
    <w:charset w:val="86"/>
    <w:family w:val="auto"/>
    <w:pitch w:val="default"/>
    <w:sig w:usb0="00000000" w:usb1="00000000" w:usb2="00000000" w:usb3="00000000" w:csb0="00000000" w:csb1="00000000"/>
    <w:embedRegular r:id="rId5" w:fontKey="{E8B4A1C0-2416-43C4-BB19-CC9D6CE06061}"/>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12" w:space="1"/>
      </w:pBd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right" w:y="1"/>
      <w:rPr>
        <w:rStyle w:val="30"/>
      </w:rPr>
    </w:pPr>
    <w:r>
      <w:fldChar w:fldCharType="begin"/>
    </w:r>
    <w:r>
      <w:rPr>
        <w:rStyle w:val="30"/>
      </w:rPr>
      <w:instrText xml:space="preserve">PAGE  </w:instrText>
    </w:r>
    <w:r>
      <w:fldChar w:fldCharType="separate"/>
    </w:r>
    <w:r>
      <w:rPr>
        <w:rStyle w:val="30"/>
      </w:rPr>
      <w:t>- 25 -</w:t>
    </w:r>
    <w:r>
      <w:fldChar w:fldCharType="end"/>
    </w:r>
  </w:p>
  <w:p>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12" w:space="1"/>
      </w:pBdr>
      <w:rPr>
        <w:rFonts w:hint="eastAsia" w:ascii="宋体" w:hAnsi="宋体" w:eastAsia="宋体" w:cs="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rPr>
                              <w:rFonts w:hint="eastAsia" w:ascii="宋体" w:hAnsi="宋体" w:eastAsia="宋体" w:cs="宋体"/>
                            </w:rPr>
                          </w:pPr>
                          <w:r>
                            <w:t>第</w:t>
                          </w: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w:t>
                          </w:r>
                        </w:p>
                      </w:txbxContent>
                    </wps:txbx>
                    <wps:bodyPr vert="horz" wrap="none" lIns="0" tIns="0" rIns="0" bIns="0" anchor="t" anchorCtr="0" upright="0">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igUTMQBAABxAwAADgAAAGRycy9lMm9Eb2MueG1srVPBjtMwEL0j7T9Y&#10;vm+TjRCqorqrXVaLkBAgLXyA69iNJdtj2W6T8gHwB5y4cOe7+h2MnaYLuzfExRnPjGfem3lZXY/W&#10;kL0MUYNj9GpRUyKdgE67LaOfP91fLimJibuOG3CS0YOM9Hp98WI1+FY20IPpZCBYxMV28Iz2Kfm2&#10;qqLopeVxAV46DCoIlie8hm3VBT5gdWuqpq5fVQOEzgcQMkb03k1Bui71lZIifVAqykQMo4gtlTOU&#10;c5PPar3i7TZw32txgsH/AYXl2mHTc6k7njjZBf2slNUiQASVFgJsBUppIQsHZHNVP2Hz0HMvCxcc&#10;TvTnMcX/V1a8338MRHeMNpQ4bnFFx+/fjj9+HX9+Jc3LPJ/BxxbTHjwmpvEWRtzz7I/ozLRHFWz+&#10;IiGCcZz04TxdOSYi8qNls1zWGBIYmy9Yv3p87kNMbyRYkg1GA66vTJXv38U0pc4puZuDe21MWaFx&#10;fzmwZvZUGfuEMVtp3IwnQhvoDsgHlYt9eghfKBlQBYw6lCkl5q3DIWfBzEaYjc1scCfwIaOJksl8&#10;nSZh7XzQ275ILYOK/maXEGkhkGFMvU/ocK9lBCcNZuH8eS9Zj3/K+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QigUTMQBAABxAwAADgAAAAAAAAABACAAAAAeAQAAZHJzL2Uyb0RvYy54bWxQ&#10;SwUGAAAAAAYABgBZAQAAVAUAAAAA&#10;">
              <v:fill on="f" focussize="0,0"/>
              <v:stroke on="f"/>
              <v:imagedata o:title=""/>
              <o:lock v:ext="edit" aspectratio="f"/>
              <v:textbox inset="0mm,0mm,0mm,0mm" style="mso-fit-shape-to-text:t;">
                <w:txbxContent>
                  <w:p>
                    <w:pPr>
                      <w:pStyle w:val="16"/>
                      <w:rPr>
                        <w:rFonts w:hint="eastAsia" w:ascii="宋体" w:hAnsi="宋体" w:eastAsia="宋体" w:cs="宋体"/>
                      </w:rPr>
                    </w:pPr>
                    <w:r>
                      <w:t>第</w:t>
                    </w:r>
                    <w:r>
                      <w:rPr>
                        <w:rFonts w:hint="eastAsia" w:ascii="宋体" w:hAnsi="宋体" w:eastAsia="宋体" w:cs="宋体"/>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UibLa0BAABMAwAADgAAAGRycy9lMm9Eb2MueG1srVNLbtswEN0H6B0I&#10;7mMqXgSGYDlIEKQoULQBkhyApkiLAH8Y0pZ8gfYGWWWTfc/lc2RIW3aS7opuqOHM8M28N6P51WAN&#10;2UiI2ruGXkwqSqQTvtVu1dCnx7vzGSUxcddy451s6FZGerX4cjbvQy2nvvOmlUAQxMW6Dw3tUgo1&#10;Y1F00vI48UE6DCoPlie8woq1wHtEt4ZNq+qS9R7aAF7IGNF7uw/SRcFXSor0U6koEzENxd5SOaGc&#10;y3yyxZzXK+Ch0+LQBv+HLizXDoseoW554mQN+i8oqwX46FWaCG+ZV0oLWTggm4vqE5uHjgdZuKA4&#10;MRxliv8PVvzY3APRLc6OEsctjmj3/Hv38mf3+otMiz59iDWmPQRMTMONH3Iu6pb9EZ2Z9qDA5i8S&#10;IhhHpbdHdeWQiMiPZtPZrMKQwNh4QRx2eh4gpq/SW5KNhgKOr6jKN99j2qeOKbma83famDJC4z44&#10;EDN72KnHbKVhORwaX/p2i3x6nHxDHa4mJeabQ2HzkowGjMZyNNYB9KorW5TrxXC9TthE6S1X2MMe&#10;CuPICrvDeuWdeH8vWaefYPE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ql5uc8AAAAFAQAADwAA&#10;AAAAAAABACAAAAAiAAAAZHJzL2Rvd25yZXYueG1sUEsBAhQAFAAAAAgAh07iQLFImy2tAQAATAMA&#10;AA4AAAAAAAAAAQAgAAAAHgEAAGRycy9lMm9Eb2MueG1sUEsFBgAAAAAGAAYAWQEAAD0FA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12" w:space="1"/>
      </w:pBd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t xml:space="preserve">第 </w:t>
                          </w:r>
                          <w:r>
                            <w:fldChar w:fldCharType="begin"/>
                          </w:r>
                          <w:r>
                            <w:instrText xml:space="preserve"> PAGE  \* MERGEFORMAT </w:instrText>
                          </w:r>
                          <w:r>
                            <w:fldChar w:fldCharType="separate"/>
                          </w:r>
                          <w:r>
                            <w:t>37</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fObcMBAABxAwAADgAAAGRycy9lMm9Eb2MueG1srVNLjhMxEN0jcQfL&#10;e+KeIFDUijMCRoOQECANHMBx22lL/qnspDscAG7Aig17zpVzTNmdzvDZITbuclW56r2q1+vr0Vly&#10;UJBM8JxeLRpKlJehM37H6aePt09WlKQsfCds8IrTo0r0evP40XqIrVqGPthOAcEiPrVD5LTPObaM&#10;JdkrJ9IiROUxqAM4kfEKO9aBGLC6s2zZNM/ZEKCLEKRKCb03U5Buan2tlczvtU4qE8spYsv1hHpu&#10;y8k2a9HuQMTeyDMM8Q8onDAem15K3YgsyB7MX6WckRBS0Hkhg2NBayNV5YBsrpo/2Nz1IqrKBYeT&#10;4mVM6f+Vle8OH4CYjtOnlHjhcEWnb19P33+efnwhy2dlPkNMLabdRUzM48sw4p5nf0JnoT1qcOWL&#10;hAjGcdLHy3TVmIksj1bL1arBkMTYfMH67OF5hJRfq+BIMTgFXF+dqji8TXlKnVNKNx9ujbV1hdb/&#10;5sCaxcMK9gljsfK4Hc+EtqE7Ih9ULvbpA3ymZEAVcOpRppTYNx6HXAQzGzAb29kQXuJDTjMlk/kq&#10;T8LaRzC7vkqtgErxxT4j0kqgwJh6n9HhXusIzhoswvn1XrMe/pTNP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Fd85twwEAAHEDAAAOAAAAAAAAAAEAIAAAAB4BAABkcnMvZTJvRG9jLnhtbFBL&#10;BQYAAAAABgAGAFkBAABTBQAAAAA=&#10;">
              <v:fill on="f" focussize="0,0"/>
              <v:stroke on="f"/>
              <v:imagedata o:title=""/>
              <o:lock v:ext="edit" aspectratio="f"/>
              <v:textbox inset="0mm,0mm,0mm,0mm" style="mso-fit-shape-to-text:t;">
                <w:txbxContent>
                  <w:p>
                    <w:pPr>
                      <w:pStyle w:val="16"/>
                    </w:pPr>
                    <w:r>
                      <w:t xml:space="preserve">第 </w:t>
                    </w:r>
                    <w:r>
                      <w:fldChar w:fldCharType="begin"/>
                    </w:r>
                    <w:r>
                      <w:instrText xml:space="preserve"> PAGE  \* MERGEFORMAT </w:instrText>
                    </w:r>
                    <w:r>
                      <w:fldChar w:fldCharType="separate"/>
                    </w:r>
                    <w:r>
                      <w:t>37</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auto" w:sz="12" w:space="1"/>
      </w:pBd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t xml:space="preserve">第 </w:t>
                          </w:r>
                          <w:r>
                            <w:fldChar w:fldCharType="begin"/>
                          </w:r>
                          <w:r>
                            <w:instrText xml:space="preserve"> PAGE  \* MERGEFORMAT </w:instrText>
                          </w:r>
                          <w:r>
                            <w:fldChar w:fldCharType="separate"/>
                          </w:r>
                          <w:r>
                            <w:t>36</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7oOwsMBAABxAwAADgAAAGRycy9lMm9Eb2MueG1srVNLjhMxEN0jcQfL&#10;e+KeCI2iVpwRMBqEhABpmAM4bjttyT+VnXSHA8ANWLFhz7lyDsrudIbPDrFxl6vKVe9VvV7fjM6S&#10;g4Jkguf0atFQorwMnfE7Th8+3j1bUZKy8J2wwStOjyrRm83TJ+shtmoZ+mA7BQSL+NQOkdM+59gy&#10;lmSvnEiLEJXHoA7gRMYr7FgHYsDqzrJl01yzIUAXIUiVEnpvpyDd1PpaK5nfa51UJpZTxJbrCfXc&#10;lpNt1qLdgYi9kWcY4h9QOGE8Nr2UuhVZkD2Yv0o5IyGkoPNCBseC1kaqygHZXDV/sLnvRVSVCw4n&#10;xcuY0v8rK98dPgAxHafPKfHC4YpOX7+cvv04ff9MltdlPkNMLabdR0zM48sw4p5nf0JnoT1qcOWL&#10;hAjGcdLHy3TVmIksj1bL1arBkMTYfMH67PF5hJRfq+BIMTgFXF+dqji8TXlKnVNKNx/ujLV1hdb/&#10;5sCaxcMK9gljsfK4Hc+EtqE7Ih9ULvbpA3yiZEAVcOpRppTYNx6HXAQzGzAb29kQXuJDTjMlk/kq&#10;T8LaRzC7vkqtgErxxT4j0kqgwJh6n9HhXusIzhoswvn1XrMe/5TN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zug7CwwEAAHEDAAAOAAAAAAAAAAEAIAAAAB4BAABkcnMvZTJvRG9jLnhtbFBL&#10;BQYAAAAABgAGAFkBAABTBQAAAAA=&#10;">
              <v:fill on="f" focussize="0,0"/>
              <v:stroke on="f"/>
              <v:imagedata o:title=""/>
              <o:lock v:ext="edit" aspectratio="f"/>
              <v:textbox inset="0mm,0mm,0mm,0mm" style="mso-fit-shape-to-text:t;">
                <w:txbxContent>
                  <w:p>
                    <w:pPr>
                      <w:pStyle w:val="16"/>
                    </w:pPr>
                    <w:r>
                      <w:t xml:space="preserve">第 </w:t>
                    </w:r>
                    <w:r>
                      <w:fldChar w:fldCharType="begin"/>
                    </w:r>
                    <w:r>
                      <w:instrText xml:space="preserve"> PAGE  \* MERGEFORMAT </w:instrText>
                    </w:r>
                    <w:r>
                      <w:fldChar w:fldCharType="separate"/>
                    </w:r>
                    <w:r>
                      <w:t>36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rPr>
        <w:rFonts w:hint="eastAsia"/>
        <w:lang w:eastAsia="zh-CN"/>
      </w:rPr>
    </w:pPr>
    <w:r>
      <w:rPr>
        <w:rFonts w:hint="eastAsia" w:ascii="宋体" w:hAnsi="宋体" w:eastAsia="宋体" w:cs="宋体"/>
        <w:lang w:val="en-US" w:eastAsia="zh-CN"/>
      </w:rPr>
      <w:t xml:space="preserve">                      </w:t>
    </w:r>
  </w:p>
  <w:p>
    <w:pPr>
      <w:pStyle w:val="17"/>
      <w:widowControl w:val="0"/>
      <w:pBdr>
        <w:top w:val="thickThinMediumGap" w:color="auto" w:sz="24" w:space="1"/>
        <w:left w:val="none" w:color="auto" w:sz="0" w:space="4"/>
        <w:bottom w:val="none" w:color="auto" w:sz="0" w:space="1"/>
        <w:right w:val="none" w:color="auto" w:sz="0" w:space="4"/>
        <w:between w:val="none" w:color="auto" w:sz="0" w:space="0"/>
      </w:pBdr>
      <w:snapToGrid w:val="0"/>
      <w:jc w:val="both"/>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widowControl w:val="0"/>
      <w:pBdr>
        <w:top w:val="thickThinMediumGap" w:color="auto" w:sz="24" w:space="1"/>
        <w:left w:val="none" w:color="auto" w:sz="0" w:space="4"/>
        <w:bottom w:val="none" w:color="auto" w:sz="0" w:space="1"/>
        <w:right w:val="none" w:color="auto" w:sz="0" w:space="4"/>
        <w:between w:val="none" w:color="auto" w:sz="0" w:space="0"/>
      </w:pBdr>
      <w:snapToGrid w:val="0"/>
      <w:jc w:val="both"/>
      <w:rPr>
        <w:rFonts w:hint="eastAsia"/>
        <w:lang w:eastAsia="zh-CN"/>
      </w:rPr>
    </w:pPr>
  </w:p>
  <w:p>
    <w:pPr>
      <w:pStyle w:val="1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CFD280"/>
    <w:multiLevelType w:val="singleLevel"/>
    <w:tmpl w:val="BACFD280"/>
    <w:lvl w:ilvl="0" w:tentative="0">
      <w:start w:val="9"/>
      <w:numFmt w:val="decimal"/>
      <w:lvlText w:val="%1."/>
      <w:lvlJc w:val="left"/>
      <w:pPr>
        <w:tabs>
          <w:tab w:val="left" w:pos="312"/>
        </w:tabs>
      </w:pPr>
    </w:lvl>
  </w:abstractNum>
  <w:abstractNum w:abstractNumId="1">
    <w:nsid w:val="0000000A"/>
    <w:multiLevelType w:val="multilevel"/>
    <w:tmpl w:val="0000000A"/>
    <w:lvl w:ilvl="0" w:tentative="0">
      <w:start w:val="1"/>
      <w:numFmt w:val="decimal"/>
      <w:lvlText w:val="%1."/>
      <w:lvlJc w:val="left"/>
      <w:pPr>
        <w:tabs>
          <w:tab w:val="left" w:pos="1571"/>
        </w:tabs>
        <w:ind w:left="1571" w:hanging="851"/>
      </w:pPr>
      <w:rPr>
        <w:rFonts w:hint="eastAsia" w:eastAsia="宋体"/>
        <w:b/>
        <w:i w:val="0"/>
        <w:sz w:val="24"/>
      </w:rPr>
    </w:lvl>
    <w:lvl w:ilvl="1" w:tentative="0">
      <w:start w:val="1"/>
      <w:numFmt w:val="decimal"/>
      <w:lvlText w:val="（%2）"/>
      <w:lvlJc w:val="left"/>
      <w:pPr>
        <w:tabs>
          <w:tab w:val="left" w:pos="720"/>
        </w:tabs>
        <w:ind w:left="720" w:hanging="720"/>
      </w:pPr>
      <w:rPr>
        <w:rFonts w:hint="default"/>
        <w:b/>
        <w:i w:val="0"/>
        <w:sz w:val="24"/>
      </w:rPr>
    </w:lvl>
    <w:lvl w:ilvl="2" w:tentative="0">
      <w:start w:val="1"/>
      <w:numFmt w:val="decimal"/>
      <w:lvlText w:val="%1.%2.%3"/>
      <w:lvlJc w:val="left"/>
      <w:pPr>
        <w:tabs>
          <w:tab w:val="left" w:pos="720"/>
        </w:tabs>
        <w:ind w:left="720" w:hanging="720"/>
      </w:pPr>
      <w:rPr>
        <w:rFonts w:hint="eastAsia"/>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1E590226"/>
    <w:multiLevelType w:val="multilevel"/>
    <w:tmpl w:val="1E59022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D0350D6"/>
    <w:multiLevelType w:val="singleLevel"/>
    <w:tmpl w:val="5D0350D6"/>
    <w:lvl w:ilvl="0" w:tentative="0">
      <w:start w:val="2"/>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4ZDZmZmIwZjU3MGQ2MGM0M2Q5NTU1Yjg0YTUyMmUifQ=="/>
    <w:docVar w:name="KSO_WPS_MARK_KEY" w:val="ddd42361-0828-4385-a79b-37e0c9ea785a"/>
  </w:docVars>
  <w:rsids>
    <w:rsidRoot w:val="72243439"/>
    <w:rsid w:val="000149F7"/>
    <w:rsid w:val="00021CFF"/>
    <w:rsid w:val="00021E41"/>
    <w:rsid w:val="000227C1"/>
    <w:rsid w:val="00024D95"/>
    <w:rsid w:val="00034262"/>
    <w:rsid w:val="00035595"/>
    <w:rsid w:val="00054918"/>
    <w:rsid w:val="0005619D"/>
    <w:rsid w:val="00062248"/>
    <w:rsid w:val="00075CD7"/>
    <w:rsid w:val="00076439"/>
    <w:rsid w:val="00081DA2"/>
    <w:rsid w:val="00091C1F"/>
    <w:rsid w:val="00092019"/>
    <w:rsid w:val="0009484C"/>
    <w:rsid w:val="000954B5"/>
    <w:rsid w:val="000962A5"/>
    <w:rsid w:val="000976AB"/>
    <w:rsid w:val="000C0CE6"/>
    <w:rsid w:val="000C3864"/>
    <w:rsid w:val="000D3187"/>
    <w:rsid w:val="000D3B2C"/>
    <w:rsid w:val="000E5ACE"/>
    <w:rsid w:val="000E5D71"/>
    <w:rsid w:val="000F0875"/>
    <w:rsid w:val="000F2324"/>
    <w:rsid w:val="00114891"/>
    <w:rsid w:val="00123BE4"/>
    <w:rsid w:val="00140832"/>
    <w:rsid w:val="00141DD6"/>
    <w:rsid w:val="00143608"/>
    <w:rsid w:val="001445C0"/>
    <w:rsid w:val="00156365"/>
    <w:rsid w:val="001624D8"/>
    <w:rsid w:val="00163AC0"/>
    <w:rsid w:val="00172DB3"/>
    <w:rsid w:val="00175EB7"/>
    <w:rsid w:val="00183264"/>
    <w:rsid w:val="00190EAE"/>
    <w:rsid w:val="0019222F"/>
    <w:rsid w:val="001935E9"/>
    <w:rsid w:val="00193870"/>
    <w:rsid w:val="00196B3A"/>
    <w:rsid w:val="001B4CE4"/>
    <w:rsid w:val="001C738D"/>
    <w:rsid w:val="001D78D4"/>
    <w:rsid w:val="0020519C"/>
    <w:rsid w:val="00210B34"/>
    <w:rsid w:val="002114C0"/>
    <w:rsid w:val="002126CC"/>
    <w:rsid w:val="00213880"/>
    <w:rsid w:val="00224B48"/>
    <w:rsid w:val="00241CB3"/>
    <w:rsid w:val="00245F57"/>
    <w:rsid w:val="00246C34"/>
    <w:rsid w:val="00247492"/>
    <w:rsid w:val="002631C4"/>
    <w:rsid w:val="00266E33"/>
    <w:rsid w:val="00271676"/>
    <w:rsid w:val="002723FB"/>
    <w:rsid w:val="00283F5C"/>
    <w:rsid w:val="00285717"/>
    <w:rsid w:val="00286B7A"/>
    <w:rsid w:val="002A0DD6"/>
    <w:rsid w:val="002A2AB2"/>
    <w:rsid w:val="002A3483"/>
    <w:rsid w:val="002A3B82"/>
    <w:rsid w:val="002A5118"/>
    <w:rsid w:val="002A5645"/>
    <w:rsid w:val="002B6C09"/>
    <w:rsid w:val="002C122B"/>
    <w:rsid w:val="002C653A"/>
    <w:rsid w:val="0031019C"/>
    <w:rsid w:val="00314BFA"/>
    <w:rsid w:val="00316FC6"/>
    <w:rsid w:val="00321D03"/>
    <w:rsid w:val="00322719"/>
    <w:rsid w:val="00332817"/>
    <w:rsid w:val="0034311F"/>
    <w:rsid w:val="003535A9"/>
    <w:rsid w:val="00355624"/>
    <w:rsid w:val="00361563"/>
    <w:rsid w:val="00373CB3"/>
    <w:rsid w:val="003810D5"/>
    <w:rsid w:val="003976FE"/>
    <w:rsid w:val="003A1FF2"/>
    <w:rsid w:val="003A6B66"/>
    <w:rsid w:val="003C6404"/>
    <w:rsid w:val="003D2156"/>
    <w:rsid w:val="004177D8"/>
    <w:rsid w:val="00420415"/>
    <w:rsid w:val="00426287"/>
    <w:rsid w:val="00435A4E"/>
    <w:rsid w:val="0045626D"/>
    <w:rsid w:val="00457030"/>
    <w:rsid w:val="00462EC6"/>
    <w:rsid w:val="00463A01"/>
    <w:rsid w:val="00471B8D"/>
    <w:rsid w:val="00476579"/>
    <w:rsid w:val="00485154"/>
    <w:rsid w:val="00495D79"/>
    <w:rsid w:val="004A253B"/>
    <w:rsid w:val="004B0662"/>
    <w:rsid w:val="004D041D"/>
    <w:rsid w:val="004E72D8"/>
    <w:rsid w:val="004F1FAD"/>
    <w:rsid w:val="004F3A6C"/>
    <w:rsid w:val="004F5277"/>
    <w:rsid w:val="0050048C"/>
    <w:rsid w:val="00502368"/>
    <w:rsid w:val="00515CB5"/>
    <w:rsid w:val="00516818"/>
    <w:rsid w:val="0052022E"/>
    <w:rsid w:val="005263D8"/>
    <w:rsid w:val="00536F2E"/>
    <w:rsid w:val="00550039"/>
    <w:rsid w:val="00550BF1"/>
    <w:rsid w:val="00552458"/>
    <w:rsid w:val="00556CCF"/>
    <w:rsid w:val="00585661"/>
    <w:rsid w:val="00585736"/>
    <w:rsid w:val="00586B37"/>
    <w:rsid w:val="0059552C"/>
    <w:rsid w:val="005B3B2D"/>
    <w:rsid w:val="005B3FD8"/>
    <w:rsid w:val="005B43EB"/>
    <w:rsid w:val="005B44D5"/>
    <w:rsid w:val="005B5F39"/>
    <w:rsid w:val="005B7B3C"/>
    <w:rsid w:val="005D35AE"/>
    <w:rsid w:val="005D362E"/>
    <w:rsid w:val="005D6C2E"/>
    <w:rsid w:val="005F4229"/>
    <w:rsid w:val="006054C7"/>
    <w:rsid w:val="006215F4"/>
    <w:rsid w:val="006234D2"/>
    <w:rsid w:val="00631288"/>
    <w:rsid w:val="006329F1"/>
    <w:rsid w:val="0063365A"/>
    <w:rsid w:val="00633B3E"/>
    <w:rsid w:val="006404F4"/>
    <w:rsid w:val="00643DA4"/>
    <w:rsid w:val="00664013"/>
    <w:rsid w:val="00665BAD"/>
    <w:rsid w:val="00674917"/>
    <w:rsid w:val="006761DC"/>
    <w:rsid w:val="006872DE"/>
    <w:rsid w:val="00687FE4"/>
    <w:rsid w:val="006977D4"/>
    <w:rsid w:val="006A3C32"/>
    <w:rsid w:val="006B1287"/>
    <w:rsid w:val="006B2D7F"/>
    <w:rsid w:val="006D4133"/>
    <w:rsid w:val="006D5E30"/>
    <w:rsid w:val="006F00E2"/>
    <w:rsid w:val="00721273"/>
    <w:rsid w:val="00723DE9"/>
    <w:rsid w:val="00724D57"/>
    <w:rsid w:val="0072665A"/>
    <w:rsid w:val="00727931"/>
    <w:rsid w:val="00727A3A"/>
    <w:rsid w:val="007356E2"/>
    <w:rsid w:val="0073662A"/>
    <w:rsid w:val="00736834"/>
    <w:rsid w:val="007377D0"/>
    <w:rsid w:val="007445D5"/>
    <w:rsid w:val="00746988"/>
    <w:rsid w:val="007542F4"/>
    <w:rsid w:val="00757BB1"/>
    <w:rsid w:val="00763E5E"/>
    <w:rsid w:val="007851EE"/>
    <w:rsid w:val="00787D30"/>
    <w:rsid w:val="007949B3"/>
    <w:rsid w:val="007A4689"/>
    <w:rsid w:val="007B54FE"/>
    <w:rsid w:val="007D3A84"/>
    <w:rsid w:val="007E02E9"/>
    <w:rsid w:val="007F01A7"/>
    <w:rsid w:val="007F6D89"/>
    <w:rsid w:val="007F7D8B"/>
    <w:rsid w:val="00800C5B"/>
    <w:rsid w:val="00802F1D"/>
    <w:rsid w:val="008111B1"/>
    <w:rsid w:val="00813DEA"/>
    <w:rsid w:val="0081492A"/>
    <w:rsid w:val="008166BB"/>
    <w:rsid w:val="008206B7"/>
    <w:rsid w:val="00852397"/>
    <w:rsid w:val="00856F72"/>
    <w:rsid w:val="008637AA"/>
    <w:rsid w:val="008679C1"/>
    <w:rsid w:val="00871AFC"/>
    <w:rsid w:val="0089023F"/>
    <w:rsid w:val="00890265"/>
    <w:rsid w:val="008B02CE"/>
    <w:rsid w:val="008C50CA"/>
    <w:rsid w:val="008E29E6"/>
    <w:rsid w:val="008E6AF6"/>
    <w:rsid w:val="008F7C25"/>
    <w:rsid w:val="00915159"/>
    <w:rsid w:val="009161E3"/>
    <w:rsid w:val="00921094"/>
    <w:rsid w:val="00927142"/>
    <w:rsid w:val="00927D35"/>
    <w:rsid w:val="00931E50"/>
    <w:rsid w:val="00944061"/>
    <w:rsid w:val="0094515F"/>
    <w:rsid w:val="0095001E"/>
    <w:rsid w:val="0095059A"/>
    <w:rsid w:val="00951FEE"/>
    <w:rsid w:val="00952630"/>
    <w:rsid w:val="00957D03"/>
    <w:rsid w:val="00960F27"/>
    <w:rsid w:val="009840A3"/>
    <w:rsid w:val="0099437C"/>
    <w:rsid w:val="009A2A14"/>
    <w:rsid w:val="009B063F"/>
    <w:rsid w:val="009C7BDD"/>
    <w:rsid w:val="009F0346"/>
    <w:rsid w:val="009F3EC7"/>
    <w:rsid w:val="00A17F43"/>
    <w:rsid w:val="00A21BB3"/>
    <w:rsid w:val="00A23F5D"/>
    <w:rsid w:val="00A25C0C"/>
    <w:rsid w:val="00A50BE5"/>
    <w:rsid w:val="00A50FC6"/>
    <w:rsid w:val="00A55CFC"/>
    <w:rsid w:val="00A60962"/>
    <w:rsid w:val="00A613F7"/>
    <w:rsid w:val="00A61F1A"/>
    <w:rsid w:val="00A7124C"/>
    <w:rsid w:val="00A71A45"/>
    <w:rsid w:val="00A76EBC"/>
    <w:rsid w:val="00A80251"/>
    <w:rsid w:val="00A90C0E"/>
    <w:rsid w:val="00AA237A"/>
    <w:rsid w:val="00AA5D02"/>
    <w:rsid w:val="00AB0C34"/>
    <w:rsid w:val="00AB3EC6"/>
    <w:rsid w:val="00AB5585"/>
    <w:rsid w:val="00AC77D9"/>
    <w:rsid w:val="00AD226E"/>
    <w:rsid w:val="00AE4739"/>
    <w:rsid w:val="00AF43B5"/>
    <w:rsid w:val="00B04DA1"/>
    <w:rsid w:val="00B10800"/>
    <w:rsid w:val="00B123E6"/>
    <w:rsid w:val="00B263A7"/>
    <w:rsid w:val="00B264E0"/>
    <w:rsid w:val="00B27C79"/>
    <w:rsid w:val="00B30B53"/>
    <w:rsid w:val="00B31C64"/>
    <w:rsid w:val="00B33971"/>
    <w:rsid w:val="00B4515B"/>
    <w:rsid w:val="00B451FC"/>
    <w:rsid w:val="00B55CEE"/>
    <w:rsid w:val="00B74164"/>
    <w:rsid w:val="00B758F4"/>
    <w:rsid w:val="00B772BC"/>
    <w:rsid w:val="00B86C2D"/>
    <w:rsid w:val="00B92348"/>
    <w:rsid w:val="00B97836"/>
    <w:rsid w:val="00BA05A3"/>
    <w:rsid w:val="00BA4776"/>
    <w:rsid w:val="00BA4EAE"/>
    <w:rsid w:val="00BB0441"/>
    <w:rsid w:val="00BB6D77"/>
    <w:rsid w:val="00BC20C8"/>
    <w:rsid w:val="00BC21D4"/>
    <w:rsid w:val="00BF1BEC"/>
    <w:rsid w:val="00BF444E"/>
    <w:rsid w:val="00C22F87"/>
    <w:rsid w:val="00C27578"/>
    <w:rsid w:val="00C313B2"/>
    <w:rsid w:val="00C31CFC"/>
    <w:rsid w:val="00C36B8C"/>
    <w:rsid w:val="00C637F6"/>
    <w:rsid w:val="00C6550C"/>
    <w:rsid w:val="00C73518"/>
    <w:rsid w:val="00C8020F"/>
    <w:rsid w:val="00C9290A"/>
    <w:rsid w:val="00C971E2"/>
    <w:rsid w:val="00C97958"/>
    <w:rsid w:val="00CA2CD0"/>
    <w:rsid w:val="00CA5AFF"/>
    <w:rsid w:val="00CB2089"/>
    <w:rsid w:val="00CB4064"/>
    <w:rsid w:val="00CB7F2D"/>
    <w:rsid w:val="00CC6497"/>
    <w:rsid w:val="00CD6DEC"/>
    <w:rsid w:val="00CE41AD"/>
    <w:rsid w:val="00CE46F9"/>
    <w:rsid w:val="00CF27D8"/>
    <w:rsid w:val="00D02EA8"/>
    <w:rsid w:val="00D038E0"/>
    <w:rsid w:val="00D13623"/>
    <w:rsid w:val="00D13A9A"/>
    <w:rsid w:val="00D423D7"/>
    <w:rsid w:val="00D44147"/>
    <w:rsid w:val="00D535F4"/>
    <w:rsid w:val="00D61278"/>
    <w:rsid w:val="00D658DF"/>
    <w:rsid w:val="00D7195B"/>
    <w:rsid w:val="00D72CF2"/>
    <w:rsid w:val="00DB1148"/>
    <w:rsid w:val="00DB6EA2"/>
    <w:rsid w:val="00DD46A3"/>
    <w:rsid w:val="00DD4A40"/>
    <w:rsid w:val="00DD6D70"/>
    <w:rsid w:val="00DE18CE"/>
    <w:rsid w:val="00DE4AC0"/>
    <w:rsid w:val="00DE7797"/>
    <w:rsid w:val="00DF230D"/>
    <w:rsid w:val="00E12864"/>
    <w:rsid w:val="00E438B2"/>
    <w:rsid w:val="00E44CDE"/>
    <w:rsid w:val="00E64351"/>
    <w:rsid w:val="00E667DC"/>
    <w:rsid w:val="00E67E8C"/>
    <w:rsid w:val="00E92EB9"/>
    <w:rsid w:val="00EA1D6C"/>
    <w:rsid w:val="00EA2B02"/>
    <w:rsid w:val="00EA74C2"/>
    <w:rsid w:val="00EC42A7"/>
    <w:rsid w:val="00ED1E8B"/>
    <w:rsid w:val="00EF7520"/>
    <w:rsid w:val="00F00471"/>
    <w:rsid w:val="00F07E52"/>
    <w:rsid w:val="00F13000"/>
    <w:rsid w:val="00F27743"/>
    <w:rsid w:val="00F42DBA"/>
    <w:rsid w:val="00F626C3"/>
    <w:rsid w:val="00F63594"/>
    <w:rsid w:val="00F72675"/>
    <w:rsid w:val="00F87638"/>
    <w:rsid w:val="00F94BA5"/>
    <w:rsid w:val="00F968B2"/>
    <w:rsid w:val="00F97629"/>
    <w:rsid w:val="00F97AA1"/>
    <w:rsid w:val="00FA0727"/>
    <w:rsid w:val="00FA1651"/>
    <w:rsid w:val="00FB5E4B"/>
    <w:rsid w:val="00FB6612"/>
    <w:rsid w:val="00FC4FE1"/>
    <w:rsid w:val="00FD70CD"/>
    <w:rsid w:val="00FE3446"/>
    <w:rsid w:val="00FF3786"/>
    <w:rsid w:val="01090FCF"/>
    <w:rsid w:val="01165E2B"/>
    <w:rsid w:val="016E0607"/>
    <w:rsid w:val="01975DCC"/>
    <w:rsid w:val="01AA7D1B"/>
    <w:rsid w:val="01BF53AF"/>
    <w:rsid w:val="01C06445"/>
    <w:rsid w:val="01C26E13"/>
    <w:rsid w:val="01F1356B"/>
    <w:rsid w:val="02092C94"/>
    <w:rsid w:val="023B5205"/>
    <w:rsid w:val="02404E4B"/>
    <w:rsid w:val="02622253"/>
    <w:rsid w:val="02633D40"/>
    <w:rsid w:val="027A6EC5"/>
    <w:rsid w:val="02891192"/>
    <w:rsid w:val="029B4FFD"/>
    <w:rsid w:val="029F4D63"/>
    <w:rsid w:val="02E0146F"/>
    <w:rsid w:val="02F76F90"/>
    <w:rsid w:val="031C69F7"/>
    <w:rsid w:val="032E058C"/>
    <w:rsid w:val="036C09DD"/>
    <w:rsid w:val="039757C6"/>
    <w:rsid w:val="03976FA6"/>
    <w:rsid w:val="03B5593F"/>
    <w:rsid w:val="03C679F1"/>
    <w:rsid w:val="03D87426"/>
    <w:rsid w:val="03E868D9"/>
    <w:rsid w:val="040000C7"/>
    <w:rsid w:val="04650328"/>
    <w:rsid w:val="0472149A"/>
    <w:rsid w:val="04916C03"/>
    <w:rsid w:val="04AC2025"/>
    <w:rsid w:val="04B72F43"/>
    <w:rsid w:val="04E672BC"/>
    <w:rsid w:val="04FF212C"/>
    <w:rsid w:val="05320FF6"/>
    <w:rsid w:val="054A15F9"/>
    <w:rsid w:val="05551D4C"/>
    <w:rsid w:val="0563711C"/>
    <w:rsid w:val="05742783"/>
    <w:rsid w:val="059B04D5"/>
    <w:rsid w:val="05B22616"/>
    <w:rsid w:val="05DE1650"/>
    <w:rsid w:val="05E03D0C"/>
    <w:rsid w:val="05EA3D34"/>
    <w:rsid w:val="05FC4E4D"/>
    <w:rsid w:val="063B5458"/>
    <w:rsid w:val="064C7217"/>
    <w:rsid w:val="06653214"/>
    <w:rsid w:val="06685BE7"/>
    <w:rsid w:val="06974BF5"/>
    <w:rsid w:val="06A30E90"/>
    <w:rsid w:val="06AC0610"/>
    <w:rsid w:val="06C30411"/>
    <w:rsid w:val="06CF29CB"/>
    <w:rsid w:val="06D26951"/>
    <w:rsid w:val="06E01FC3"/>
    <w:rsid w:val="06E65352"/>
    <w:rsid w:val="072631A5"/>
    <w:rsid w:val="074C3793"/>
    <w:rsid w:val="075440A0"/>
    <w:rsid w:val="07622396"/>
    <w:rsid w:val="076A646F"/>
    <w:rsid w:val="07775550"/>
    <w:rsid w:val="0790350F"/>
    <w:rsid w:val="079C73F6"/>
    <w:rsid w:val="07CB1223"/>
    <w:rsid w:val="07D206AA"/>
    <w:rsid w:val="07E410ED"/>
    <w:rsid w:val="07E55609"/>
    <w:rsid w:val="07F27D26"/>
    <w:rsid w:val="080779F9"/>
    <w:rsid w:val="082F0F7A"/>
    <w:rsid w:val="08340CD1"/>
    <w:rsid w:val="084D31AF"/>
    <w:rsid w:val="08871D13"/>
    <w:rsid w:val="088F7E13"/>
    <w:rsid w:val="08937C3A"/>
    <w:rsid w:val="08A059D4"/>
    <w:rsid w:val="08C14DBF"/>
    <w:rsid w:val="08E51A68"/>
    <w:rsid w:val="08F17DDC"/>
    <w:rsid w:val="09012917"/>
    <w:rsid w:val="09057FBC"/>
    <w:rsid w:val="0939688D"/>
    <w:rsid w:val="09447A57"/>
    <w:rsid w:val="096A7248"/>
    <w:rsid w:val="097F6313"/>
    <w:rsid w:val="0988714F"/>
    <w:rsid w:val="09AD3DB5"/>
    <w:rsid w:val="09D578F9"/>
    <w:rsid w:val="09F82744"/>
    <w:rsid w:val="0A236504"/>
    <w:rsid w:val="0A631531"/>
    <w:rsid w:val="0A815A59"/>
    <w:rsid w:val="0AB10FCD"/>
    <w:rsid w:val="0AB739AF"/>
    <w:rsid w:val="0ABA0FCF"/>
    <w:rsid w:val="0AE068A1"/>
    <w:rsid w:val="0AFB3396"/>
    <w:rsid w:val="0B01585A"/>
    <w:rsid w:val="0B026108"/>
    <w:rsid w:val="0B1A49DF"/>
    <w:rsid w:val="0B6A6C30"/>
    <w:rsid w:val="0B701C95"/>
    <w:rsid w:val="0B754EF6"/>
    <w:rsid w:val="0B7A69B0"/>
    <w:rsid w:val="0B7C6285"/>
    <w:rsid w:val="0B8F0AE1"/>
    <w:rsid w:val="0B93687B"/>
    <w:rsid w:val="0BB4404C"/>
    <w:rsid w:val="0BD07935"/>
    <w:rsid w:val="0BD50306"/>
    <w:rsid w:val="0BD936D7"/>
    <w:rsid w:val="0BF321E3"/>
    <w:rsid w:val="0BF40511"/>
    <w:rsid w:val="0BF56037"/>
    <w:rsid w:val="0C007B7B"/>
    <w:rsid w:val="0C314072"/>
    <w:rsid w:val="0C3B4D49"/>
    <w:rsid w:val="0C85560D"/>
    <w:rsid w:val="0C963376"/>
    <w:rsid w:val="0C9C5859"/>
    <w:rsid w:val="0CB83F37"/>
    <w:rsid w:val="0CC7352F"/>
    <w:rsid w:val="0CC73ACF"/>
    <w:rsid w:val="0CDA0C04"/>
    <w:rsid w:val="0CE64BBE"/>
    <w:rsid w:val="0CEE4F60"/>
    <w:rsid w:val="0D0115BA"/>
    <w:rsid w:val="0D1A0ACF"/>
    <w:rsid w:val="0D2460D8"/>
    <w:rsid w:val="0D2E2E61"/>
    <w:rsid w:val="0D4728C1"/>
    <w:rsid w:val="0D4F0444"/>
    <w:rsid w:val="0D5A0848"/>
    <w:rsid w:val="0D89345B"/>
    <w:rsid w:val="0DA548D8"/>
    <w:rsid w:val="0DFD58D4"/>
    <w:rsid w:val="0DFE14CA"/>
    <w:rsid w:val="0DFF70AF"/>
    <w:rsid w:val="0E1066BF"/>
    <w:rsid w:val="0E5B4664"/>
    <w:rsid w:val="0E6059EA"/>
    <w:rsid w:val="0E6F0323"/>
    <w:rsid w:val="0E7626DA"/>
    <w:rsid w:val="0E7E16EA"/>
    <w:rsid w:val="0E85558C"/>
    <w:rsid w:val="0EC00F05"/>
    <w:rsid w:val="0EC73BBF"/>
    <w:rsid w:val="0ECA42CF"/>
    <w:rsid w:val="0F2F4E80"/>
    <w:rsid w:val="0FAF113A"/>
    <w:rsid w:val="0FC1507C"/>
    <w:rsid w:val="0FC56079"/>
    <w:rsid w:val="0FD03AD7"/>
    <w:rsid w:val="0FE16FFE"/>
    <w:rsid w:val="0FF23CBD"/>
    <w:rsid w:val="10134CDE"/>
    <w:rsid w:val="102918A8"/>
    <w:rsid w:val="103E61FE"/>
    <w:rsid w:val="10437371"/>
    <w:rsid w:val="1068517B"/>
    <w:rsid w:val="106D43EE"/>
    <w:rsid w:val="108718DD"/>
    <w:rsid w:val="10965DD0"/>
    <w:rsid w:val="10BF0305"/>
    <w:rsid w:val="10F03BF6"/>
    <w:rsid w:val="10F83386"/>
    <w:rsid w:val="11021E6E"/>
    <w:rsid w:val="11083774"/>
    <w:rsid w:val="11120753"/>
    <w:rsid w:val="11180B8F"/>
    <w:rsid w:val="111B4A09"/>
    <w:rsid w:val="11271D68"/>
    <w:rsid w:val="11590909"/>
    <w:rsid w:val="115E3CCB"/>
    <w:rsid w:val="116B6410"/>
    <w:rsid w:val="118E7EDA"/>
    <w:rsid w:val="119500A0"/>
    <w:rsid w:val="11BC25FD"/>
    <w:rsid w:val="11F44BED"/>
    <w:rsid w:val="12056599"/>
    <w:rsid w:val="12505D75"/>
    <w:rsid w:val="127D5F03"/>
    <w:rsid w:val="12835D0F"/>
    <w:rsid w:val="129723C4"/>
    <w:rsid w:val="12A972DD"/>
    <w:rsid w:val="12BF6302"/>
    <w:rsid w:val="12CE37E5"/>
    <w:rsid w:val="12ED022E"/>
    <w:rsid w:val="131078CD"/>
    <w:rsid w:val="132D5FE0"/>
    <w:rsid w:val="134F5FE2"/>
    <w:rsid w:val="135654E2"/>
    <w:rsid w:val="13566AB3"/>
    <w:rsid w:val="135A5F36"/>
    <w:rsid w:val="137B6DB3"/>
    <w:rsid w:val="138403CC"/>
    <w:rsid w:val="13862EF7"/>
    <w:rsid w:val="13A75A04"/>
    <w:rsid w:val="13DD65F7"/>
    <w:rsid w:val="13E175CD"/>
    <w:rsid w:val="14241A24"/>
    <w:rsid w:val="14352F4E"/>
    <w:rsid w:val="144033DE"/>
    <w:rsid w:val="145B1CD2"/>
    <w:rsid w:val="14626B73"/>
    <w:rsid w:val="14714F0C"/>
    <w:rsid w:val="14777F31"/>
    <w:rsid w:val="147916CB"/>
    <w:rsid w:val="148028C5"/>
    <w:rsid w:val="148417DD"/>
    <w:rsid w:val="14A671EE"/>
    <w:rsid w:val="14CC3041"/>
    <w:rsid w:val="14E70682"/>
    <w:rsid w:val="15243AD8"/>
    <w:rsid w:val="15284223"/>
    <w:rsid w:val="15365D88"/>
    <w:rsid w:val="154E67D7"/>
    <w:rsid w:val="15567078"/>
    <w:rsid w:val="155827BE"/>
    <w:rsid w:val="15656985"/>
    <w:rsid w:val="15687898"/>
    <w:rsid w:val="15793835"/>
    <w:rsid w:val="1584467C"/>
    <w:rsid w:val="159E618A"/>
    <w:rsid w:val="15A9618F"/>
    <w:rsid w:val="15BE274E"/>
    <w:rsid w:val="15BE749A"/>
    <w:rsid w:val="15C4244E"/>
    <w:rsid w:val="1606156C"/>
    <w:rsid w:val="16210D1E"/>
    <w:rsid w:val="16421E79"/>
    <w:rsid w:val="164623EE"/>
    <w:rsid w:val="16584939"/>
    <w:rsid w:val="16736773"/>
    <w:rsid w:val="16B10B1A"/>
    <w:rsid w:val="16B673C2"/>
    <w:rsid w:val="16D451C7"/>
    <w:rsid w:val="17084E70"/>
    <w:rsid w:val="1753255C"/>
    <w:rsid w:val="175479F5"/>
    <w:rsid w:val="17650FBF"/>
    <w:rsid w:val="17734EF7"/>
    <w:rsid w:val="17776239"/>
    <w:rsid w:val="177C13BA"/>
    <w:rsid w:val="17965615"/>
    <w:rsid w:val="179D1A5D"/>
    <w:rsid w:val="17BD0860"/>
    <w:rsid w:val="17FD0262"/>
    <w:rsid w:val="18095344"/>
    <w:rsid w:val="18131CE1"/>
    <w:rsid w:val="18343B5F"/>
    <w:rsid w:val="18621E33"/>
    <w:rsid w:val="187647F3"/>
    <w:rsid w:val="18845751"/>
    <w:rsid w:val="18950986"/>
    <w:rsid w:val="18A064B2"/>
    <w:rsid w:val="18DB02A7"/>
    <w:rsid w:val="18FC6C57"/>
    <w:rsid w:val="19004424"/>
    <w:rsid w:val="190B4960"/>
    <w:rsid w:val="191F64A1"/>
    <w:rsid w:val="19232435"/>
    <w:rsid w:val="19387865"/>
    <w:rsid w:val="193C34F7"/>
    <w:rsid w:val="193E1025"/>
    <w:rsid w:val="196732D7"/>
    <w:rsid w:val="198B663F"/>
    <w:rsid w:val="19985ACA"/>
    <w:rsid w:val="19B42405"/>
    <w:rsid w:val="19C15B92"/>
    <w:rsid w:val="19D43730"/>
    <w:rsid w:val="1A006E7D"/>
    <w:rsid w:val="1A216BA9"/>
    <w:rsid w:val="1A8C7B66"/>
    <w:rsid w:val="1AA56ACE"/>
    <w:rsid w:val="1AD7705C"/>
    <w:rsid w:val="1B2A3FBC"/>
    <w:rsid w:val="1B374267"/>
    <w:rsid w:val="1B3950CA"/>
    <w:rsid w:val="1B4B4BDD"/>
    <w:rsid w:val="1B662338"/>
    <w:rsid w:val="1B735E5E"/>
    <w:rsid w:val="1B9C64CF"/>
    <w:rsid w:val="1BA27700"/>
    <w:rsid w:val="1BAB0CC0"/>
    <w:rsid w:val="1BC575F7"/>
    <w:rsid w:val="1BD01CD5"/>
    <w:rsid w:val="1BED5D1A"/>
    <w:rsid w:val="1C0D5E36"/>
    <w:rsid w:val="1C3D736A"/>
    <w:rsid w:val="1C6A532B"/>
    <w:rsid w:val="1C801D50"/>
    <w:rsid w:val="1C890801"/>
    <w:rsid w:val="1C9553F8"/>
    <w:rsid w:val="1CC551E1"/>
    <w:rsid w:val="1CDA0411"/>
    <w:rsid w:val="1CDF0053"/>
    <w:rsid w:val="1CE22E4F"/>
    <w:rsid w:val="1D0866CB"/>
    <w:rsid w:val="1D137DE0"/>
    <w:rsid w:val="1D1D0F4A"/>
    <w:rsid w:val="1D33076D"/>
    <w:rsid w:val="1D5A3826"/>
    <w:rsid w:val="1D7658E2"/>
    <w:rsid w:val="1D936104"/>
    <w:rsid w:val="1DAB68A5"/>
    <w:rsid w:val="1DB20086"/>
    <w:rsid w:val="1E01508C"/>
    <w:rsid w:val="1E046B0B"/>
    <w:rsid w:val="1E057AD7"/>
    <w:rsid w:val="1E0A7720"/>
    <w:rsid w:val="1E0F7002"/>
    <w:rsid w:val="1E42510C"/>
    <w:rsid w:val="1E562536"/>
    <w:rsid w:val="1E584987"/>
    <w:rsid w:val="1E7704B0"/>
    <w:rsid w:val="1E85324A"/>
    <w:rsid w:val="1EBF675C"/>
    <w:rsid w:val="1EFA1543"/>
    <w:rsid w:val="1F7C289F"/>
    <w:rsid w:val="1F7E2174"/>
    <w:rsid w:val="1FA24410"/>
    <w:rsid w:val="1FA94D17"/>
    <w:rsid w:val="1FB67303"/>
    <w:rsid w:val="20191E9C"/>
    <w:rsid w:val="201E65CA"/>
    <w:rsid w:val="20240671"/>
    <w:rsid w:val="20515ADA"/>
    <w:rsid w:val="205E6A2C"/>
    <w:rsid w:val="206550E2"/>
    <w:rsid w:val="2072568A"/>
    <w:rsid w:val="208811E8"/>
    <w:rsid w:val="20D109C9"/>
    <w:rsid w:val="20D334FC"/>
    <w:rsid w:val="2120419E"/>
    <w:rsid w:val="21654FCC"/>
    <w:rsid w:val="218A6709"/>
    <w:rsid w:val="218C063A"/>
    <w:rsid w:val="218C684C"/>
    <w:rsid w:val="21A8172A"/>
    <w:rsid w:val="21D01AF2"/>
    <w:rsid w:val="21FD5369"/>
    <w:rsid w:val="21FF3314"/>
    <w:rsid w:val="220A1C17"/>
    <w:rsid w:val="226118D9"/>
    <w:rsid w:val="22743D02"/>
    <w:rsid w:val="22802B43"/>
    <w:rsid w:val="22BA5FB4"/>
    <w:rsid w:val="22DC333B"/>
    <w:rsid w:val="22E90191"/>
    <w:rsid w:val="22EB44B3"/>
    <w:rsid w:val="23286E6F"/>
    <w:rsid w:val="233D4FDC"/>
    <w:rsid w:val="233F3D65"/>
    <w:rsid w:val="2351647E"/>
    <w:rsid w:val="23AA6B4E"/>
    <w:rsid w:val="240E61DA"/>
    <w:rsid w:val="242B7D5B"/>
    <w:rsid w:val="24540BC6"/>
    <w:rsid w:val="24704055"/>
    <w:rsid w:val="24740C71"/>
    <w:rsid w:val="247C0C4C"/>
    <w:rsid w:val="24FD21A2"/>
    <w:rsid w:val="250E438A"/>
    <w:rsid w:val="2524556B"/>
    <w:rsid w:val="252B7268"/>
    <w:rsid w:val="256242E5"/>
    <w:rsid w:val="2564086D"/>
    <w:rsid w:val="25754706"/>
    <w:rsid w:val="258E39FD"/>
    <w:rsid w:val="25972649"/>
    <w:rsid w:val="25E64D92"/>
    <w:rsid w:val="25E8010A"/>
    <w:rsid w:val="26210726"/>
    <w:rsid w:val="262472D7"/>
    <w:rsid w:val="262F4730"/>
    <w:rsid w:val="263870C1"/>
    <w:rsid w:val="2649118B"/>
    <w:rsid w:val="266234A6"/>
    <w:rsid w:val="269E30FB"/>
    <w:rsid w:val="26A12AD6"/>
    <w:rsid w:val="27063E6A"/>
    <w:rsid w:val="27282656"/>
    <w:rsid w:val="27441EF5"/>
    <w:rsid w:val="27457C48"/>
    <w:rsid w:val="27504161"/>
    <w:rsid w:val="27525957"/>
    <w:rsid w:val="2771683D"/>
    <w:rsid w:val="278D321B"/>
    <w:rsid w:val="27D30AFA"/>
    <w:rsid w:val="27D42C3C"/>
    <w:rsid w:val="27F920C9"/>
    <w:rsid w:val="2801282F"/>
    <w:rsid w:val="281F1921"/>
    <w:rsid w:val="28571BCE"/>
    <w:rsid w:val="28733E5D"/>
    <w:rsid w:val="288906CD"/>
    <w:rsid w:val="289D414E"/>
    <w:rsid w:val="28B27332"/>
    <w:rsid w:val="28B95341"/>
    <w:rsid w:val="28C35C52"/>
    <w:rsid w:val="28CC68ED"/>
    <w:rsid w:val="28DD14EF"/>
    <w:rsid w:val="28EA6ACC"/>
    <w:rsid w:val="292C56E1"/>
    <w:rsid w:val="292E7654"/>
    <w:rsid w:val="29357A72"/>
    <w:rsid w:val="29534B73"/>
    <w:rsid w:val="298A688A"/>
    <w:rsid w:val="29B56616"/>
    <w:rsid w:val="29D55086"/>
    <w:rsid w:val="29EB48A9"/>
    <w:rsid w:val="29ED14F9"/>
    <w:rsid w:val="2A0749F8"/>
    <w:rsid w:val="2A0D457A"/>
    <w:rsid w:val="2A1E0486"/>
    <w:rsid w:val="2A214F83"/>
    <w:rsid w:val="2A2E29E8"/>
    <w:rsid w:val="2A377AEF"/>
    <w:rsid w:val="2A41354D"/>
    <w:rsid w:val="2A6956E5"/>
    <w:rsid w:val="2AC05D36"/>
    <w:rsid w:val="2AD22515"/>
    <w:rsid w:val="2AD27817"/>
    <w:rsid w:val="2AD52F07"/>
    <w:rsid w:val="2B0A6FB1"/>
    <w:rsid w:val="2B1222E4"/>
    <w:rsid w:val="2B2028E5"/>
    <w:rsid w:val="2B33475A"/>
    <w:rsid w:val="2B664DEC"/>
    <w:rsid w:val="2B82123D"/>
    <w:rsid w:val="2B863043"/>
    <w:rsid w:val="2B8D6C80"/>
    <w:rsid w:val="2B942A29"/>
    <w:rsid w:val="2BA50A01"/>
    <w:rsid w:val="2BDE461D"/>
    <w:rsid w:val="2BFA7026"/>
    <w:rsid w:val="2C0320A5"/>
    <w:rsid w:val="2C0C6C01"/>
    <w:rsid w:val="2C3800E0"/>
    <w:rsid w:val="2C4316A9"/>
    <w:rsid w:val="2C775585"/>
    <w:rsid w:val="2C8E74C7"/>
    <w:rsid w:val="2CA267FF"/>
    <w:rsid w:val="2CAB42C4"/>
    <w:rsid w:val="2D4452FC"/>
    <w:rsid w:val="2D66758B"/>
    <w:rsid w:val="2DC95D73"/>
    <w:rsid w:val="2DCB127D"/>
    <w:rsid w:val="2E0B376C"/>
    <w:rsid w:val="2E6A3AEB"/>
    <w:rsid w:val="2E6D7F83"/>
    <w:rsid w:val="2E7363B1"/>
    <w:rsid w:val="2E8250B1"/>
    <w:rsid w:val="2EB37A90"/>
    <w:rsid w:val="2EC11215"/>
    <w:rsid w:val="2EE47B19"/>
    <w:rsid w:val="2EF277A0"/>
    <w:rsid w:val="2EF837F2"/>
    <w:rsid w:val="2F083808"/>
    <w:rsid w:val="2F171C9D"/>
    <w:rsid w:val="2F1918A0"/>
    <w:rsid w:val="2F1A31AA"/>
    <w:rsid w:val="2F5C0E18"/>
    <w:rsid w:val="2F68356F"/>
    <w:rsid w:val="2F7D6E52"/>
    <w:rsid w:val="2FA375A0"/>
    <w:rsid w:val="2FA51AEB"/>
    <w:rsid w:val="2FB9638B"/>
    <w:rsid w:val="2FBB4D1E"/>
    <w:rsid w:val="303C5B40"/>
    <w:rsid w:val="305B44A5"/>
    <w:rsid w:val="306B0683"/>
    <w:rsid w:val="308903CB"/>
    <w:rsid w:val="30901D07"/>
    <w:rsid w:val="309143B8"/>
    <w:rsid w:val="30C96FC7"/>
    <w:rsid w:val="30D44F55"/>
    <w:rsid w:val="30F24674"/>
    <w:rsid w:val="311729E7"/>
    <w:rsid w:val="313D0E7F"/>
    <w:rsid w:val="3150783C"/>
    <w:rsid w:val="317C04DD"/>
    <w:rsid w:val="317E5780"/>
    <w:rsid w:val="31AF4035"/>
    <w:rsid w:val="31C81974"/>
    <w:rsid w:val="31C83722"/>
    <w:rsid w:val="32034F5B"/>
    <w:rsid w:val="325C1370"/>
    <w:rsid w:val="328D7AE2"/>
    <w:rsid w:val="329720C0"/>
    <w:rsid w:val="32C4213C"/>
    <w:rsid w:val="32CA4FCF"/>
    <w:rsid w:val="3306779E"/>
    <w:rsid w:val="33337FA1"/>
    <w:rsid w:val="33340F81"/>
    <w:rsid w:val="33492641"/>
    <w:rsid w:val="33C35E8C"/>
    <w:rsid w:val="33E53099"/>
    <w:rsid w:val="33F151B2"/>
    <w:rsid w:val="340F5638"/>
    <w:rsid w:val="34363D10"/>
    <w:rsid w:val="343A60DE"/>
    <w:rsid w:val="343C651F"/>
    <w:rsid w:val="344E0AAB"/>
    <w:rsid w:val="345C5D91"/>
    <w:rsid w:val="34675CB0"/>
    <w:rsid w:val="346B6FB3"/>
    <w:rsid w:val="347A3876"/>
    <w:rsid w:val="34842723"/>
    <w:rsid w:val="349879D5"/>
    <w:rsid w:val="34AE56F0"/>
    <w:rsid w:val="34C91C8B"/>
    <w:rsid w:val="35081774"/>
    <w:rsid w:val="35095395"/>
    <w:rsid w:val="35151F77"/>
    <w:rsid w:val="35633FD8"/>
    <w:rsid w:val="35700C2A"/>
    <w:rsid w:val="35867B7C"/>
    <w:rsid w:val="359220A5"/>
    <w:rsid w:val="35B95CE6"/>
    <w:rsid w:val="35BD4760"/>
    <w:rsid w:val="35BF4E3C"/>
    <w:rsid w:val="35CD7559"/>
    <w:rsid w:val="35F75C49"/>
    <w:rsid w:val="35FF2A50"/>
    <w:rsid w:val="36032F7B"/>
    <w:rsid w:val="36230F6C"/>
    <w:rsid w:val="3624379C"/>
    <w:rsid w:val="36302045"/>
    <w:rsid w:val="3677747D"/>
    <w:rsid w:val="36B77A70"/>
    <w:rsid w:val="36DB7A54"/>
    <w:rsid w:val="36F54FB9"/>
    <w:rsid w:val="37061652"/>
    <w:rsid w:val="370B09A5"/>
    <w:rsid w:val="370D0BB1"/>
    <w:rsid w:val="37226CD7"/>
    <w:rsid w:val="3725045A"/>
    <w:rsid w:val="372B0D38"/>
    <w:rsid w:val="373F4487"/>
    <w:rsid w:val="37751C56"/>
    <w:rsid w:val="37C036BC"/>
    <w:rsid w:val="37D42559"/>
    <w:rsid w:val="37DE55B2"/>
    <w:rsid w:val="37E10AA2"/>
    <w:rsid w:val="37F3471C"/>
    <w:rsid w:val="3800553F"/>
    <w:rsid w:val="38035713"/>
    <w:rsid w:val="381401F7"/>
    <w:rsid w:val="38444406"/>
    <w:rsid w:val="386F5B0A"/>
    <w:rsid w:val="38791D06"/>
    <w:rsid w:val="387F626C"/>
    <w:rsid w:val="38A6479C"/>
    <w:rsid w:val="38B015BB"/>
    <w:rsid w:val="38B07713"/>
    <w:rsid w:val="38C20ECB"/>
    <w:rsid w:val="38E36364"/>
    <w:rsid w:val="38E87065"/>
    <w:rsid w:val="39152A6F"/>
    <w:rsid w:val="39190F72"/>
    <w:rsid w:val="394E5ABB"/>
    <w:rsid w:val="39653269"/>
    <w:rsid w:val="397D1296"/>
    <w:rsid w:val="39970052"/>
    <w:rsid w:val="39A03007"/>
    <w:rsid w:val="39C12F31"/>
    <w:rsid w:val="39FC59B8"/>
    <w:rsid w:val="3A0B2A4F"/>
    <w:rsid w:val="3A116F11"/>
    <w:rsid w:val="3A1C4AFD"/>
    <w:rsid w:val="3A284A90"/>
    <w:rsid w:val="3A455C46"/>
    <w:rsid w:val="3A9D7A51"/>
    <w:rsid w:val="3AAA41A1"/>
    <w:rsid w:val="3ABC3230"/>
    <w:rsid w:val="3AD81FB2"/>
    <w:rsid w:val="3AE60C68"/>
    <w:rsid w:val="3AEB0959"/>
    <w:rsid w:val="3AF5029C"/>
    <w:rsid w:val="3B021A53"/>
    <w:rsid w:val="3B191DFF"/>
    <w:rsid w:val="3B1B3E7D"/>
    <w:rsid w:val="3B2430D8"/>
    <w:rsid w:val="3B2714BA"/>
    <w:rsid w:val="3B282240"/>
    <w:rsid w:val="3B334302"/>
    <w:rsid w:val="3B3A02B6"/>
    <w:rsid w:val="3B765F9D"/>
    <w:rsid w:val="3B8B1A48"/>
    <w:rsid w:val="3B964F65"/>
    <w:rsid w:val="3B9B5D2E"/>
    <w:rsid w:val="3BB527F9"/>
    <w:rsid w:val="3BC07FEC"/>
    <w:rsid w:val="3BC96A15"/>
    <w:rsid w:val="3BF8799C"/>
    <w:rsid w:val="3BFA3ABC"/>
    <w:rsid w:val="3C090BBF"/>
    <w:rsid w:val="3C291261"/>
    <w:rsid w:val="3C681688"/>
    <w:rsid w:val="3C692343"/>
    <w:rsid w:val="3C6C7E40"/>
    <w:rsid w:val="3C6D15C4"/>
    <w:rsid w:val="3C794420"/>
    <w:rsid w:val="3C972BF9"/>
    <w:rsid w:val="3CED228F"/>
    <w:rsid w:val="3D05582A"/>
    <w:rsid w:val="3D0F023B"/>
    <w:rsid w:val="3D18555E"/>
    <w:rsid w:val="3D2302DD"/>
    <w:rsid w:val="3D3548B0"/>
    <w:rsid w:val="3D386142"/>
    <w:rsid w:val="3D4D3B0C"/>
    <w:rsid w:val="3D4E7487"/>
    <w:rsid w:val="3D5567B2"/>
    <w:rsid w:val="3D5814BA"/>
    <w:rsid w:val="3D5F46E5"/>
    <w:rsid w:val="3DA25221"/>
    <w:rsid w:val="3DD00E77"/>
    <w:rsid w:val="3DD113FB"/>
    <w:rsid w:val="3DD8449D"/>
    <w:rsid w:val="3DE0464F"/>
    <w:rsid w:val="3E0925A5"/>
    <w:rsid w:val="3E0D2837"/>
    <w:rsid w:val="3E1046A5"/>
    <w:rsid w:val="3E1D4268"/>
    <w:rsid w:val="3E1D7C63"/>
    <w:rsid w:val="3E3C5BA9"/>
    <w:rsid w:val="3E8574A3"/>
    <w:rsid w:val="3E9C21BE"/>
    <w:rsid w:val="3EB470BF"/>
    <w:rsid w:val="3EE31D9C"/>
    <w:rsid w:val="3F055FB6"/>
    <w:rsid w:val="3F0F6AEF"/>
    <w:rsid w:val="3F3E7217"/>
    <w:rsid w:val="3F626F64"/>
    <w:rsid w:val="3F72377D"/>
    <w:rsid w:val="3F732F1F"/>
    <w:rsid w:val="3F7628BE"/>
    <w:rsid w:val="3F8F2F16"/>
    <w:rsid w:val="3F981214"/>
    <w:rsid w:val="3FAA0D83"/>
    <w:rsid w:val="3FB17A38"/>
    <w:rsid w:val="3FB7A404"/>
    <w:rsid w:val="3FB84DD6"/>
    <w:rsid w:val="408353E4"/>
    <w:rsid w:val="408E5B37"/>
    <w:rsid w:val="40CE35CF"/>
    <w:rsid w:val="40D20119"/>
    <w:rsid w:val="40EF2A79"/>
    <w:rsid w:val="40F53D5A"/>
    <w:rsid w:val="40FC4BBC"/>
    <w:rsid w:val="410444E7"/>
    <w:rsid w:val="411B561D"/>
    <w:rsid w:val="41372D2C"/>
    <w:rsid w:val="417031CC"/>
    <w:rsid w:val="41843769"/>
    <w:rsid w:val="4187338D"/>
    <w:rsid w:val="41A53138"/>
    <w:rsid w:val="41E2633C"/>
    <w:rsid w:val="41FD11C6"/>
    <w:rsid w:val="42213A90"/>
    <w:rsid w:val="423753EE"/>
    <w:rsid w:val="425608D6"/>
    <w:rsid w:val="42741BE8"/>
    <w:rsid w:val="42E47C90"/>
    <w:rsid w:val="42EF4FB3"/>
    <w:rsid w:val="431918B1"/>
    <w:rsid w:val="434E6439"/>
    <w:rsid w:val="4374370A"/>
    <w:rsid w:val="43770CA8"/>
    <w:rsid w:val="43CA6755"/>
    <w:rsid w:val="43E97C54"/>
    <w:rsid w:val="443169BC"/>
    <w:rsid w:val="443611C2"/>
    <w:rsid w:val="44472EDA"/>
    <w:rsid w:val="44532C51"/>
    <w:rsid w:val="44B1392F"/>
    <w:rsid w:val="44BF3577"/>
    <w:rsid w:val="44E234C9"/>
    <w:rsid w:val="451A72AB"/>
    <w:rsid w:val="454D7BFF"/>
    <w:rsid w:val="45766065"/>
    <w:rsid w:val="457F1642"/>
    <w:rsid w:val="459171C8"/>
    <w:rsid w:val="45B47DEE"/>
    <w:rsid w:val="45B56093"/>
    <w:rsid w:val="45BA0CE8"/>
    <w:rsid w:val="45BB1987"/>
    <w:rsid w:val="45CB573C"/>
    <w:rsid w:val="45D4766B"/>
    <w:rsid w:val="45E61C3E"/>
    <w:rsid w:val="45F11042"/>
    <w:rsid w:val="45F12A0A"/>
    <w:rsid w:val="461F6A6F"/>
    <w:rsid w:val="46316650"/>
    <w:rsid w:val="465436A2"/>
    <w:rsid w:val="46777D5D"/>
    <w:rsid w:val="4682474F"/>
    <w:rsid w:val="46B85081"/>
    <w:rsid w:val="471C534C"/>
    <w:rsid w:val="473F136B"/>
    <w:rsid w:val="473F3CB7"/>
    <w:rsid w:val="473F5530"/>
    <w:rsid w:val="474E17E5"/>
    <w:rsid w:val="476A4441"/>
    <w:rsid w:val="47836415"/>
    <w:rsid w:val="4790606D"/>
    <w:rsid w:val="479B74B7"/>
    <w:rsid w:val="47A07A22"/>
    <w:rsid w:val="47A13D30"/>
    <w:rsid w:val="47BE39B3"/>
    <w:rsid w:val="47EF7007"/>
    <w:rsid w:val="480C6915"/>
    <w:rsid w:val="482D453C"/>
    <w:rsid w:val="48564576"/>
    <w:rsid w:val="486D055D"/>
    <w:rsid w:val="487B5041"/>
    <w:rsid w:val="48A028AB"/>
    <w:rsid w:val="48FD4DA7"/>
    <w:rsid w:val="48FF75D2"/>
    <w:rsid w:val="490168B9"/>
    <w:rsid w:val="49110767"/>
    <w:rsid w:val="4925266B"/>
    <w:rsid w:val="49385E97"/>
    <w:rsid w:val="49AF661D"/>
    <w:rsid w:val="49BE0491"/>
    <w:rsid w:val="49C8088A"/>
    <w:rsid w:val="49F06842"/>
    <w:rsid w:val="49FB423D"/>
    <w:rsid w:val="4A190F63"/>
    <w:rsid w:val="4A2F1D80"/>
    <w:rsid w:val="4A8561FD"/>
    <w:rsid w:val="4A8C30E7"/>
    <w:rsid w:val="4AA46C3E"/>
    <w:rsid w:val="4AAF31C5"/>
    <w:rsid w:val="4ACB0EBC"/>
    <w:rsid w:val="4ADD5D8F"/>
    <w:rsid w:val="4B000716"/>
    <w:rsid w:val="4B0215FB"/>
    <w:rsid w:val="4B39513C"/>
    <w:rsid w:val="4B944E67"/>
    <w:rsid w:val="4BAD77B9"/>
    <w:rsid w:val="4BC200CC"/>
    <w:rsid w:val="4BC35D3E"/>
    <w:rsid w:val="4BD016F9"/>
    <w:rsid w:val="4BD15E82"/>
    <w:rsid w:val="4BD24D47"/>
    <w:rsid w:val="4C0E5FC2"/>
    <w:rsid w:val="4C2B76B5"/>
    <w:rsid w:val="4C386D5F"/>
    <w:rsid w:val="4C4F0F95"/>
    <w:rsid w:val="4C5620F9"/>
    <w:rsid w:val="4C7518BF"/>
    <w:rsid w:val="4C7817B8"/>
    <w:rsid w:val="4C80634D"/>
    <w:rsid w:val="4C82117A"/>
    <w:rsid w:val="4C8B66C2"/>
    <w:rsid w:val="4C942DC1"/>
    <w:rsid w:val="4C994CAE"/>
    <w:rsid w:val="4C9B24AB"/>
    <w:rsid w:val="4CAF587F"/>
    <w:rsid w:val="4CB42DC9"/>
    <w:rsid w:val="4CCE3E8B"/>
    <w:rsid w:val="4CD74E41"/>
    <w:rsid w:val="4CE7776A"/>
    <w:rsid w:val="4D0E16C7"/>
    <w:rsid w:val="4D137EDD"/>
    <w:rsid w:val="4D1B1B03"/>
    <w:rsid w:val="4D48612F"/>
    <w:rsid w:val="4D4972FD"/>
    <w:rsid w:val="4D8332B1"/>
    <w:rsid w:val="4D8A5D58"/>
    <w:rsid w:val="4DC13902"/>
    <w:rsid w:val="4DD258B5"/>
    <w:rsid w:val="4DE66FB2"/>
    <w:rsid w:val="4DF146DD"/>
    <w:rsid w:val="4E4414C3"/>
    <w:rsid w:val="4E563BD2"/>
    <w:rsid w:val="4E640DC8"/>
    <w:rsid w:val="4E865817"/>
    <w:rsid w:val="4E9B554C"/>
    <w:rsid w:val="4EA85526"/>
    <w:rsid w:val="4F1575BE"/>
    <w:rsid w:val="4F3B2C38"/>
    <w:rsid w:val="4F47478E"/>
    <w:rsid w:val="4F48778B"/>
    <w:rsid w:val="4F577816"/>
    <w:rsid w:val="4F5B6276"/>
    <w:rsid w:val="4FB0068D"/>
    <w:rsid w:val="4FC70076"/>
    <w:rsid w:val="501B623B"/>
    <w:rsid w:val="50295669"/>
    <w:rsid w:val="50473705"/>
    <w:rsid w:val="506F151B"/>
    <w:rsid w:val="50854860"/>
    <w:rsid w:val="5090273D"/>
    <w:rsid w:val="50AA2519"/>
    <w:rsid w:val="50BE4216"/>
    <w:rsid w:val="50C24B7E"/>
    <w:rsid w:val="50E50D0F"/>
    <w:rsid w:val="50E7551B"/>
    <w:rsid w:val="50F25BF3"/>
    <w:rsid w:val="5100482F"/>
    <w:rsid w:val="51261203"/>
    <w:rsid w:val="5134488B"/>
    <w:rsid w:val="51A23AE5"/>
    <w:rsid w:val="51A5234D"/>
    <w:rsid w:val="51A61CEA"/>
    <w:rsid w:val="51A74CAA"/>
    <w:rsid w:val="51C52345"/>
    <w:rsid w:val="51CC51E1"/>
    <w:rsid w:val="51E66B85"/>
    <w:rsid w:val="51EC0E06"/>
    <w:rsid w:val="52067C23"/>
    <w:rsid w:val="522911C6"/>
    <w:rsid w:val="523319C3"/>
    <w:rsid w:val="523E73BD"/>
    <w:rsid w:val="5264494A"/>
    <w:rsid w:val="52663FDD"/>
    <w:rsid w:val="52A02A0A"/>
    <w:rsid w:val="52CB49C9"/>
    <w:rsid w:val="52D827F9"/>
    <w:rsid w:val="52DB19CA"/>
    <w:rsid w:val="52E92F91"/>
    <w:rsid w:val="53215B28"/>
    <w:rsid w:val="5352532C"/>
    <w:rsid w:val="5358625C"/>
    <w:rsid w:val="53635201"/>
    <w:rsid w:val="53AC65A8"/>
    <w:rsid w:val="53B22394"/>
    <w:rsid w:val="53BE4121"/>
    <w:rsid w:val="53C52A45"/>
    <w:rsid w:val="53C60EE3"/>
    <w:rsid w:val="53E53D1B"/>
    <w:rsid w:val="53EE774C"/>
    <w:rsid w:val="53F355D5"/>
    <w:rsid w:val="53F84A4E"/>
    <w:rsid w:val="540E036A"/>
    <w:rsid w:val="54144004"/>
    <w:rsid w:val="54301821"/>
    <w:rsid w:val="54334262"/>
    <w:rsid w:val="54357FFB"/>
    <w:rsid w:val="543C16DA"/>
    <w:rsid w:val="543F18AC"/>
    <w:rsid w:val="54487957"/>
    <w:rsid w:val="54594C92"/>
    <w:rsid w:val="547D1CF3"/>
    <w:rsid w:val="547E083F"/>
    <w:rsid w:val="54A55498"/>
    <w:rsid w:val="54FF095A"/>
    <w:rsid w:val="54FF156C"/>
    <w:rsid w:val="5508473F"/>
    <w:rsid w:val="55152186"/>
    <w:rsid w:val="55545149"/>
    <w:rsid w:val="55811F4A"/>
    <w:rsid w:val="55AD72D9"/>
    <w:rsid w:val="55B45CBD"/>
    <w:rsid w:val="55DC5DF0"/>
    <w:rsid w:val="56343E9A"/>
    <w:rsid w:val="56650A95"/>
    <w:rsid w:val="566E4581"/>
    <w:rsid w:val="567D7625"/>
    <w:rsid w:val="568C58E6"/>
    <w:rsid w:val="56925F29"/>
    <w:rsid w:val="569D5C9E"/>
    <w:rsid w:val="56C47CCD"/>
    <w:rsid w:val="56DB763F"/>
    <w:rsid w:val="56E322E1"/>
    <w:rsid w:val="571050A0"/>
    <w:rsid w:val="571E0CB1"/>
    <w:rsid w:val="57880D81"/>
    <w:rsid w:val="57933F55"/>
    <w:rsid w:val="57D723FC"/>
    <w:rsid w:val="57F47B34"/>
    <w:rsid w:val="58030761"/>
    <w:rsid w:val="580F1057"/>
    <w:rsid w:val="5813309A"/>
    <w:rsid w:val="581568FC"/>
    <w:rsid w:val="582A5538"/>
    <w:rsid w:val="583022CA"/>
    <w:rsid w:val="58443253"/>
    <w:rsid w:val="58530E6B"/>
    <w:rsid w:val="5855720E"/>
    <w:rsid w:val="58B62FDA"/>
    <w:rsid w:val="58CB30C4"/>
    <w:rsid w:val="58F44C79"/>
    <w:rsid w:val="58FD4CAF"/>
    <w:rsid w:val="591250FF"/>
    <w:rsid w:val="59210CE8"/>
    <w:rsid w:val="593A3EA0"/>
    <w:rsid w:val="593E46F9"/>
    <w:rsid w:val="59777658"/>
    <w:rsid w:val="597C53BA"/>
    <w:rsid w:val="599B6EA3"/>
    <w:rsid w:val="59A862A5"/>
    <w:rsid w:val="59B410CE"/>
    <w:rsid w:val="59C95329"/>
    <w:rsid w:val="59C97F6D"/>
    <w:rsid w:val="5A0962FB"/>
    <w:rsid w:val="5A206A87"/>
    <w:rsid w:val="5A316916"/>
    <w:rsid w:val="5A425837"/>
    <w:rsid w:val="5A704450"/>
    <w:rsid w:val="5A770A96"/>
    <w:rsid w:val="5A803151"/>
    <w:rsid w:val="5A980AC3"/>
    <w:rsid w:val="5A9A34C8"/>
    <w:rsid w:val="5AB312AF"/>
    <w:rsid w:val="5AB746A6"/>
    <w:rsid w:val="5AE64A95"/>
    <w:rsid w:val="5AF17398"/>
    <w:rsid w:val="5B0D10C7"/>
    <w:rsid w:val="5B394BC5"/>
    <w:rsid w:val="5BFB2791"/>
    <w:rsid w:val="5C2F7D76"/>
    <w:rsid w:val="5C8364C5"/>
    <w:rsid w:val="5C8B0FF8"/>
    <w:rsid w:val="5CAE5CAD"/>
    <w:rsid w:val="5CB45ED9"/>
    <w:rsid w:val="5CB718EA"/>
    <w:rsid w:val="5CCB1FE4"/>
    <w:rsid w:val="5CD675E3"/>
    <w:rsid w:val="5CD74011"/>
    <w:rsid w:val="5CEA75C8"/>
    <w:rsid w:val="5CF17189"/>
    <w:rsid w:val="5D231DDD"/>
    <w:rsid w:val="5D2D2508"/>
    <w:rsid w:val="5D415283"/>
    <w:rsid w:val="5D690580"/>
    <w:rsid w:val="5D7440DE"/>
    <w:rsid w:val="5D806EB6"/>
    <w:rsid w:val="5D8A795A"/>
    <w:rsid w:val="5DD27AB7"/>
    <w:rsid w:val="5DF15E6D"/>
    <w:rsid w:val="5DF23B86"/>
    <w:rsid w:val="5DFC012C"/>
    <w:rsid w:val="5E1E7A1F"/>
    <w:rsid w:val="5E263073"/>
    <w:rsid w:val="5E341674"/>
    <w:rsid w:val="5E53169C"/>
    <w:rsid w:val="5E6E5C45"/>
    <w:rsid w:val="5E7E78C9"/>
    <w:rsid w:val="5E7F4B91"/>
    <w:rsid w:val="5E83658D"/>
    <w:rsid w:val="5E8F0FA0"/>
    <w:rsid w:val="5E963B16"/>
    <w:rsid w:val="5ECC6B0E"/>
    <w:rsid w:val="5EFA46C4"/>
    <w:rsid w:val="5F2647E5"/>
    <w:rsid w:val="5F2B469B"/>
    <w:rsid w:val="5F2C0810"/>
    <w:rsid w:val="5F400FB8"/>
    <w:rsid w:val="5F572728"/>
    <w:rsid w:val="5F5B13DE"/>
    <w:rsid w:val="5FAB3BB8"/>
    <w:rsid w:val="5FB24FEE"/>
    <w:rsid w:val="5FEA6DB8"/>
    <w:rsid w:val="602106BA"/>
    <w:rsid w:val="602E56A9"/>
    <w:rsid w:val="603A661E"/>
    <w:rsid w:val="60557F61"/>
    <w:rsid w:val="605D02D1"/>
    <w:rsid w:val="607E751E"/>
    <w:rsid w:val="608C39BE"/>
    <w:rsid w:val="60963DC9"/>
    <w:rsid w:val="60C05441"/>
    <w:rsid w:val="60C25FA0"/>
    <w:rsid w:val="60C269AA"/>
    <w:rsid w:val="60C33852"/>
    <w:rsid w:val="60CF38D6"/>
    <w:rsid w:val="60F04F55"/>
    <w:rsid w:val="61355E2F"/>
    <w:rsid w:val="616D381B"/>
    <w:rsid w:val="61845ECC"/>
    <w:rsid w:val="618648DC"/>
    <w:rsid w:val="61AA3191"/>
    <w:rsid w:val="61BA59B7"/>
    <w:rsid w:val="61BB3FA4"/>
    <w:rsid w:val="61BE57ED"/>
    <w:rsid w:val="61D4046D"/>
    <w:rsid w:val="61F314C7"/>
    <w:rsid w:val="61F46158"/>
    <w:rsid w:val="61FC694D"/>
    <w:rsid w:val="620A1069"/>
    <w:rsid w:val="62125E74"/>
    <w:rsid w:val="62285179"/>
    <w:rsid w:val="6267026A"/>
    <w:rsid w:val="62880F70"/>
    <w:rsid w:val="629B6165"/>
    <w:rsid w:val="62E53AAB"/>
    <w:rsid w:val="62FD5E51"/>
    <w:rsid w:val="630F3619"/>
    <w:rsid w:val="63123AE5"/>
    <w:rsid w:val="632573B8"/>
    <w:rsid w:val="633255CB"/>
    <w:rsid w:val="63472196"/>
    <w:rsid w:val="63554566"/>
    <w:rsid w:val="637569B7"/>
    <w:rsid w:val="63774183"/>
    <w:rsid w:val="6393043B"/>
    <w:rsid w:val="63AE7919"/>
    <w:rsid w:val="63B5515E"/>
    <w:rsid w:val="63BA4D09"/>
    <w:rsid w:val="63CA43E7"/>
    <w:rsid w:val="63D6234D"/>
    <w:rsid w:val="63DA15A6"/>
    <w:rsid w:val="63E37C80"/>
    <w:rsid w:val="63F43D7F"/>
    <w:rsid w:val="6434387A"/>
    <w:rsid w:val="64373C6C"/>
    <w:rsid w:val="64963088"/>
    <w:rsid w:val="64AB7394"/>
    <w:rsid w:val="64B2470B"/>
    <w:rsid w:val="64DA1014"/>
    <w:rsid w:val="64DD5792"/>
    <w:rsid w:val="64E9265D"/>
    <w:rsid w:val="64F32F45"/>
    <w:rsid w:val="64FC53D1"/>
    <w:rsid w:val="65115B0D"/>
    <w:rsid w:val="65143C31"/>
    <w:rsid w:val="653F08F2"/>
    <w:rsid w:val="65605444"/>
    <w:rsid w:val="65667C86"/>
    <w:rsid w:val="6598698C"/>
    <w:rsid w:val="65BA5953"/>
    <w:rsid w:val="65BF03BD"/>
    <w:rsid w:val="65DE2E89"/>
    <w:rsid w:val="65E41CF9"/>
    <w:rsid w:val="6619520B"/>
    <w:rsid w:val="662D6C37"/>
    <w:rsid w:val="66613222"/>
    <w:rsid w:val="6670474C"/>
    <w:rsid w:val="669058ED"/>
    <w:rsid w:val="669450C1"/>
    <w:rsid w:val="66B9546A"/>
    <w:rsid w:val="66E160DA"/>
    <w:rsid w:val="66F127F8"/>
    <w:rsid w:val="67067658"/>
    <w:rsid w:val="670E33AA"/>
    <w:rsid w:val="671309C0"/>
    <w:rsid w:val="67277FC8"/>
    <w:rsid w:val="67857126"/>
    <w:rsid w:val="67A81FF9"/>
    <w:rsid w:val="67CA685E"/>
    <w:rsid w:val="67CD688E"/>
    <w:rsid w:val="67D22A5A"/>
    <w:rsid w:val="68130E01"/>
    <w:rsid w:val="6819287D"/>
    <w:rsid w:val="68232A90"/>
    <w:rsid w:val="682B1D3A"/>
    <w:rsid w:val="682B39B6"/>
    <w:rsid w:val="683C67AE"/>
    <w:rsid w:val="6857382C"/>
    <w:rsid w:val="687D1DF0"/>
    <w:rsid w:val="689F7166"/>
    <w:rsid w:val="68AC4EC6"/>
    <w:rsid w:val="68C654A3"/>
    <w:rsid w:val="69032367"/>
    <w:rsid w:val="693973C8"/>
    <w:rsid w:val="6947019A"/>
    <w:rsid w:val="694C39D1"/>
    <w:rsid w:val="695A6DF1"/>
    <w:rsid w:val="695F683E"/>
    <w:rsid w:val="696A6E60"/>
    <w:rsid w:val="699C7763"/>
    <w:rsid w:val="699D0A15"/>
    <w:rsid w:val="69A06418"/>
    <w:rsid w:val="69CB18C4"/>
    <w:rsid w:val="69F331F7"/>
    <w:rsid w:val="6A271E2B"/>
    <w:rsid w:val="6A2D2334"/>
    <w:rsid w:val="6A3827B1"/>
    <w:rsid w:val="6A3F7D1E"/>
    <w:rsid w:val="6A4168AE"/>
    <w:rsid w:val="6A6554FD"/>
    <w:rsid w:val="6A910BB1"/>
    <w:rsid w:val="6A9A4F55"/>
    <w:rsid w:val="6ABA1153"/>
    <w:rsid w:val="6AF328F6"/>
    <w:rsid w:val="6B587010"/>
    <w:rsid w:val="6B680919"/>
    <w:rsid w:val="6B7F0757"/>
    <w:rsid w:val="6B80414A"/>
    <w:rsid w:val="6B840B5B"/>
    <w:rsid w:val="6B861044"/>
    <w:rsid w:val="6BF95CE3"/>
    <w:rsid w:val="6C17442D"/>
    <w:rsid w:val="6C4909E0"/>
    <w:rsid w:val="6C5505CC"/>
    <w:rsid w:val="6C5625C6"/>
    <w:rsid w:val="6C7C424F"/>
    <w:rsid w:val="6C934F5F"/>
    <w:rsid w:val="6CAF40CF"/>
    <w:rsid w:val="6D037595"/>
    <w:rsid w:val="6D0F42F2"/>
    <w:rsid w:val="6D370BE2"/>
    <w:rsid w:val="6D5148F9"/>
    <w:rsid w:val="6D535020"/>
    <w:rsid w:val="6D5631F2"/>
    <w:rsid w:val="6D695B45"/>
    <w:rsid w:val="6D806684"/>
    <w:rsid w:val="6D8D2F8A"/>
    <w:rsid w:val="6D8F4B19"/>
    <w:rsid w:val="6DAC2398"/>
    <w:rsid w:val="6DEF3809"/>
    <w:rsid w:val="6E072901"/>
    <w:rsid w:val="6E093CDA"/>
    <w:rsid w:val="6E0D091C"/>
    <w:rsid w:val="6E73705E"/>
    <w:rsid w:val="6E7D022D"/>
    <w:rsid w:val="6E8C4FCD"/>
    <w:rsid w:val="6E903F19"/>
    <w:rsid w:val="6EA24467"/>
    <w:rsid w:val="6EB74327"/>
    <w:rsid w:val="6EBB7D9E"/>
    <w:rsid w:val="6EC16F54"/>
    <w:rsid w:val="6EE05A7F"/>
    <w:rsid w:val="6EEA6D18"/>
    <w:rsid w:val="6EF90AB4"/>
    <w:rsid w:val="6EFA5346"/>
    <w:rsid w:val="6F0521AC"/>
    <w:rsid w:val="6F0E7CBF"/>
    <w:rsid w:val="6F1E474D"/>
    <w:rsid w:val="6F2D6336"/>
    <w:rsid w:val="6F2F0F85"/>
    <w:rsid w:val="6F334B4B"/>
    <w:rsid w:val="6F577767"/>
    <w:rsid w:val="6F5F6320"/>
    <w:rsid w:val="6F661917"/>
    <w:rsid w:val="6F68285B"/>
    <w:rsid w:val="6F8E7864"/>
    <w:rsid w:val="6FA81BFA"/>
    <w:rsid w:val="6FAE6902"/>
    <w:rsid w:val="6FCF5146"/>
    <w:rsid w:val="6FD03DF7"/>
    <w:rsid w:val="6FD827A7"/>
    <w:rsid w:val="6FE23BEB"/>
    <w:rsid w:val="7005020B"/>
    <w:rsid w:val="700C2451"/>
    <w:rsid w:val="70124F65"/>
    <w:rsid w:val="70194B6E"/>
    <w:rsid w:val="70281BF9"/>
    <w:rsid w:val="702F043C"/>
    <w:rsid w:val="703B3FE0"/>
    <w:rsid w:val="7081069E"/>
    <w:rsid w:val="70880B46"/>
    <w:rsid w:val="7088613C"/>
    <w:rsid w:val="709E6DCE"/>
    <w:rsid w:val="70B32BBD"/>
    <w:rsid w:val="713F7343"/>
    <w:rsid w:val="71535C03"/>
    <w:rsid w:val="71583F4B"/>
    <w:rsid w:val="71813A2F"/>
    <w:rsid w:val="71816E6E"/>
    <w:rsid w:val="718557BF"/>
    <w:rsid w:val="71864485"/>
    <w:rsid w:val="71867FE1"/>
    <w:rsid w:val="71A25525"/>
    <w:rsid w:val="71C54519"/>
    <w:rsid w:val="71D43B30"/>
    <w:rsid w:val="72243439"/>
    <w:rsid w:val="7238752D"/>
    <w:rsid w:val="724840E3"/>
    <w:rsid w:val="725C5FA5"/>
    <w:rsid w:val="728C7879"/>
    <w:rsid w:val="72942759"/>
    <w:rsid w:val="72E96D19"/>
    <w:rsid w:val="72EB54FC"/>
    <w:rsid w:val="72FD0776"/>
    <w:rsid w:val="73351CBE"/>
    <w:rsid w:val="73802687"/>
    <w:rsid w:val="73BA22E9"/>
    <w:rsid w:val="73C61ADF"/>
    <w:rsid w:val="73DE4104"/>
    <w:rsid w:val="73F9113F"/>
    <w:rsid w:val="74041A81"/>
    <w:rsid w:val="742C3B59"/>
    <w:rsid w:val="742D7A26"/>
    <w:rsid w:val="743E489A"/>
    <w:rsid w:val="745E5673"/>
    <w:rsid w:val="746711E6"/>
    <w:rsid w:val="74687E72"/>
    <w:rsid w:val="74792AC4"/>
    <w:rsid w:val="749B6C67"/>
    <w:rsid w:val="74AA5188"/>
    <w:rsid w:val="74EF6D90"/>
    <w:rsid w:val="750E14E8"/>
    <w:rsid w:val="75326088"/>
    <w:rsid w:val="754A2DFB"/>
    <w:rsid w:val="75605572"/>
    <w:rsid w:val="756E7C1B"/>
    <w:rsid w:val="75C64E50"/>
    <w:rsid w:val="75F76845"/>
    <w:rsid w:val="76042EFD"/>
    <w:rsid w:val="761205DA"/>
    <w:rsid w:val="7614141E"/>
    <w:rsid w:val="761453B1"/>
    <w:rsid w:val="76287FF9"/>
    <w:rsid w:val="762A0487"/>
    <w:rsid w:val="764275C7"/>
    <w:rsid w:val="764B072D"/>
    <w:rsid w:val="766A006C"/>
    <w:rsid w:val="76765D85"/>
    <w:rsid w:val="76845461"/>
    <w:rsid w:val="76944E01"/>
    <w:rsid w:val="76BC1981"/>
    <w:rsid w:val="76EA2DC0"/>
    <w:rsid w:val="76EE1059"/>
    <w:rsid w:val="76FF686B"/>
    <w:rsid w:val="77040325"/>
    <w:rsid w:val="774A73DE"/>
    <w:rsid w:val="775F6EEC"/>
    <w:rsid w:val="77645BDF"/>
    <w:rsid w:val="77762AE0"/>
    <w:rsid w:val="77787A62"/>
    <w:rsid w:val="77B35104"/>
    <w:rsid w:val="77DA4D25"/>
    <w:rsid w:val="77E22DFA"/>
    <w:rsid w:val="77EE3676"/>
    <w:rsid w:val="77F6FEFE"/>
    <w:rsid w:val="77FA5285"/>
    <w:rsid w:val="77FD634C"/>
    <w:rsid w:val="78162E42"/>
    <w:rsid w:val="782555FC"/>
    <w:rsid w:val="78306EF8"/>
    <w:rsid w:val="78333B77"/>
    <w:rsid w:val="7861566C"/>
    <w:rsid w:val="786E73CF"/>
    <w:rsid w:val="787B4A42"/>
    <w:rsid w:val="788039DC"/>
    <w:rsid w:val="791A0A2D"/>
    <w:rsid w:val="792340BD"/>
    <w:rsid w:val="792379B6"/>
    <w:rsid w:val="79310A78"/>
    <w:rsid w:val="79750BB9"/>
    <w:rsid w:val="79827344"/>
    <w:rsid w:val="79935991"/>
    <w:rsid w:val="799B65F3"/>
    <w:rsid w:val="79AD1B32"/>
    <w:rsid w:val="79B436EA"/>
    <w:rsid w:val="79CD2C51"/>
    <w:rsid w:val="7A025901"/>
    <w:rsid w:val="7A030404"/>
    <w:rsid w:val="7A13584C"/>
    <w:rsid w:val="7A24483B"/>
    <w:rsid w:val="7A3A5E0C"/>
    <w:rsid w:val="7A652E89"/>
    <w:rsid w:val="7A8F5597"/>
    <w:rsid w:val="7A965738"/>
    <w:rsid w:val="7AA4413E"/>
    <w:rsid w:val="7ACD216F"/>
    <w:rsid w:val="7AD4289A"/>
    <w:rsid w:val="7AE16FD4"/>
    <w:rsid w:val="7AE73284"/>
    <w:rsid w:val="7AF4335E"/>
    <w:rsid w:val="7B333197"/>
    <w:rsid w:val="7B6207F6"/>
    <w:rsid w:val="7B7C65D6"/>
    <w:rsid w:val="7B7D32A4"/>
    <w:rsid w:val="7B7D374F"/>
    <w:rsid w:val="7B7D7215"/>
    <w:rsid w:val="7BA45C33"/>
    <w:rsid w:val="7BA7652D"/>
    <w:rsid w:val="7BA82956"/>
    <w:rsid w:val="7BCB5E3B"/>
    <w:rsid w:val="7BF87D2D"/>
    <w:rsid w:val="7C0B4DE9"/>
    <w:rsid w:val="7C421347"/>
    <w:rsid w:val="7C66738C"/>
    <w:rsid w:val="7C770A60"/>
    <w:rsid w:val="7C930E0D"/>
    <w:rsid w:val="7CE11C00"/>
    <w:rsid w:val="7CED256A"/>
    <w:rsid w:val="7D144150"/>
    <w:rsid w:val="7D9F4904"/>
    <w:rsid w:val="7DA83778"/>
    <w:rsid w:val="7DBD4A90"/>
    <w:rsid w:val="7DCA10A8"/>
    <w:rsid w:val="7DDC026A"/>
    <w:rsid w:val="7DEE72FD"/>
    <w:rsid w:val="7E066731"/>
    <w:rsid w:val="7E154BC6"/>
    <w:rsid w:val="7E232F62"/>
    <w:rsid w:val="7E4F54C1"/>
    <w:rsid w:val="7E55446E"/>
    <w:rsid w:val="7E623AB9"/>
    <w:rsid w:val="7E987BA1"/>
    <w:rsid w:val="7ECC1197"/>
    <w:rsid w:val="7EF40407"/>
    <w:rsid w:val="7F01134E"/>
    <w:rsid w:val="7F1537BC"/>
    <w:rsid w:val="7F376DBE"/>
    <w:rsid w:val="7F395D32"/>
    <w:rsid w:val="7F5E3E7A"/>
    <w:rsid w:val="7FC205DC"/>
    <w:rsid w:val="7FC47188"/>
    <w:rsid w:val="7FFF0B25"/>
    <w:rsid w:val="7FFF404D"/>
    <w:rsid w:val="FEDDAB6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Book Antiqua" w:hAnsi="Book Antiqua" w:eastAsia="宋体" w:cs="Times New Roman"/>
      <w:kern w:val="2"/>
      <w:sz w:val="21"/>
      <w:szCs w:val="24"/>
      <w:lang w:val="en-US" w:eastAsia="zh-CN" w:bidi="ar-SA"/>
    </w:rPr>
  </w:style>
  <w:style w:type="paragraph" w:styleId="2">
    <w:name w:val="heading 1"/>
    <w:basedOn w:val="1"/>
    <w:next w:val="1"/>
    <w:link w:val="43"/>
    <w:qFormat/>
    <w:uiPriority w:val="9"/>
    <w:pPr>
      <w:keepNext/>
      <w:jc w:val="center"/>
      <w:outlineLvl w:val="0"/>
    </w:pPr>
    <w:rPr>
      <w:rFonts w:ascii="Times New Roman" w:hAnsi="Times New Roman"/>
      <w:b/>
      <w:bCs/>
      <w:kern w:val="44"/>
      <w:sz w:val="44"/>
      <w:szCs w:val="44"/>
    </w:rPr>
  </w:style>
  <w:style w:type="paragraph" w:styleId="3">
    <w:name w:val="heading 2"/>
    <w:basedOn w:val="1"/>
    <w:next w:val="1"/>
    <w:link w:val="42"/>
    <w:qFormat/>
    <w:uiPriority w:val="0"/>
    <w:pPr>
      <w:spacing w:line="0" w:lineRule="atLeast"/>
      <w:jc w:val="center"/>
      <w:outlineLvl w:val="1"/>
    </w:pPr>
    <w:rPr>
      <w:rFonts w:ascii="Times New Roman" w:hAnsi="Times New Roman"/>
      <w:kern w:val="0"/>
      <w:sz w:val="28"/>
      <w:szCs w:val="20"/>
    </w:rPr>
  </w:style>
  <w:style w:type="paragraph" w:styleId="4">
    <w:name w:val="heading 3"/>
    <w:basedOn w:val="1"/>
    <w:next w:val="1"/>
    <w:qFormat/>
    <w:uiPriority w:val="0"/>
    <w:pPr>
      <w:keepNext/>
      <w:keepLines/>
      <w:spacing w:line="360" w:lineRule="auto"/>
      <w:outlineLvl w:val="2"/>
    </w:pPr>
    <w:rPr>
      <w:b/>
      <w:bCs/>
      <w:sz w:val="24"/>
      <w:szCs w:val="32"/>
    </w:rPr>
  </w:style>
  <w:style w:type="paragraph" w:styleId="5">
    <w:name w:val="heading 4"/>
    <w:basedOn w:val="1"/>
    <w:next w:val="1"/>
    <w:qFormat/>
    <w:uiPriority w:val="0"/>
    <w:pPr>
      <w:keepNext/>
      <w:keepLines/>
      <w:numPr>
        <w:ilvl w:val="3"/>
        <w:numId w:val="1"/>
      </w:numPr>
      <w:tabs>
        <w:tab w:val="left" w:pos="1571"/>
      </w:tabs>
      <w:spacing w:before="280" w:after="290" w:line="372" w:lineRule="auto"/>
      <w:outlineLvl w:val="3"/>
    </w:pPr>
    <w:rPr>
      <w:rFonts w:ascii="Arial" w:hAnsi="Arial" w:eastAsia="黑体"/>
      <w:b/>
      <w:bCs/>
      <w:sz w:val="28"/>
      <w:szCs w:val="28"/>
    </w:rPr>
  </w:style>
  <w:style w:type="character" w:default="1" w:styleId="28">
    <w:name w:val="Default Paragraph Font"/>
    <w:unhideWhenUsed/>
    <w:qFormat/>
    <w:uiPriority w:val="1"/>
  </w:style>
  <w:style w:type="table" w:default="1" w:styleId="26">
    <w:name w:val="Normal Table"/>
    <w:unhideWhenUsed/>
    <w:qFormat/>
    <w:uiPriority w:val="99"/>
    <w:tblPr>
      <w:tblLayout w:type="fixed"/>
      <w:tblCellMar>
        <w:top w:w="0" w:type="dxa"/>
        <w:left w:w="108" w:type="dxa"/>
        <w:bottom w:w="0" w:type="dxa"/>
        <w:right w:w="108" w:type="dxa"/>
      </w:tblCellMar>
    </w:tblPr>
  </w:style>
  <w:style w:type="paragraph" w:styleId="6">
    <w:name w:val="Normal Indent"/>
    <w:basedOn w:val="1"/>
    <w:qFormat/>
    <w:uiPriority w:val="0"/>
    <w:pPr>
      <w:adjustRightInd w:val="0"/>
      <w:spacing w:line="360" w:lineRule="atLeast"/>
      <w:ind w:firstLine="420" w:firstLineChars="200"/>
      <w:jc w:val="left"/>
      <w:textAlignment w:val="baseline"/>
    </w:pPr>
    <w:rPr>
      <w:kern w:val="0"/>
      <w:sz w:val="24"/>
      <w:szCs w:val="20"/>
    </w:rPr>
  </w:style>
  <w:style w:type="paragraph" w:styleId="7">
    <w:name w:val="caption"/>
    <w:basedOn w:val="1"/>
    <w:next w:val="1"/>
    <w:qFormat/>
    <w:uiPriority w:val="0"/>
    <w:rPr>
      <w:rFonts w:ascii="Cambria" w:hAnsi="Cambria" w:eastAsia="黑体"/>
      <w:sz w:val="20"/>
      <w:szCs w:val="20"/>
    </w:rPr>
  </w:style>
  <w:style w:type="paragraph" w:styleId="8">
    <w:name w:val="annotation text"/>
    <w:basedOn w:val="1"/>
    <w:qFormat/>
    <w:uiPriority w:val="0"/>
    <w:pPr>
      <w:jc w:val="left"/>
    </w:pPr>
  </w:style>
  <w:style w:type="paragraph" w:styleId="9">
    <w:name w:val="Body Text"/>
    <w:basedOn w:val="1"/>
    <w:next w:val="1"/>
    <w:link w:val="44"/>
    <w:qFormat/>
    <w:uiPriority w:val="99"/>
    <w:pPr>
      <w:spacing w:after="120"/>
    </w:pPr>
  </w:style>
  <w:style w:type="paragraph" w:styleId="10">
    <w:name w:val="Body Text Indent"/>
    <w:basedOn w:val="1"/>
    <w:next w:val="11"/>
    <w:qFormat/>
    <w:uiPriority w:val="0"/>
    <w:pPr>
      <w:ind w:firstLine="538" w:firstLineChars="192"/>
    </w:pPr>
    <w:rPr>
      <w:rFonts w:eastAsia="楷体_GB2312"/>
      <w:sz w:val="28"/>
    </w:rPr>
  </w:style>
  <w:style w:type="paragraph" w:styleId="11">
    <w:name w:val="envelope return"/>
    <w:basedOn w:val="1"/>
    <w:qFormat/>
    <w:uiPriority w:val="0"/>
    <w:pPr>
      <w:snapToGrid w:val="0"/>
    </w:pPr>
    <w:rPr>
      <w:rFonts w:ascii="Arial" w:hAnsi="Arial"/>
    </w:rPr>
  </w:style>
  <w:style w:type="paragraph" w:styleId="12">
    <w:name w:val="List 2"/>
    <w:basedOn w:val="1"/>
    <w:unhideWhenUsed/>
    <w:qFormat/>
    <w:uiPriority w:val="99"/>
    <w:pPr>
      <w:ind w:left="100" w:leftChars="200" w:hanging="200" w:hangingChars="200"/>
    </w:pPr>
  </w:style>
  <w:style w:type="paragraph" w:styleId="13">
    <w:name w:val="toc 3"/>
    <w:basedOn w:val="1"/>
    <w:next w:val="1"/>
    <w:qFormat/>
    <w:uiPriority w:val="39"/>
    <w:pPr>
      <w:ind w:left="840" w:leftChars="400"/>
    </w:pPr>
  </w:style>
  <w:style w:type="paragraph" w:styleId="14">
    <w:name w:val="Plain Text"/>
    <w:basedOn w:val="1"/>
    <w:link w:val="45"/>
    <w:unhideWhenUsed/>
    <w:qFormat/>
    <w:uiPriority w:val="0"/>
    <w:rPr>
      <w:rFonts w:ascii="宋体" w:hAnsi="Courier New"/>
      <w:szCs w:val="20"/>
    </w:rPr>
  </w:style>
  <w:style w:type="paragraph" w:styleId="15">
    <w:name w:val="Balloon Text"/>
    <w:basedOn w:val="1"/>
    <w:link w:val="46"/>
    <w:qFormat/>
    <w:uiPriority w:val="0"/>
    <w:rPr>
      <w:sz w:val="18"/>
      <w:szCs w:val="18"/>
    </w:rPr>
  </w:style>
  <w:style w:type="paragraph" w:styleId="16">
    <w:name w:val="footer"/>
    <w:basedOn w:val="1"/>
    <w:link w:val="47"/>
    <w:qFormat/>
    <w:uiPriority w:val="99"/>
    <w:pPr>
      <w:tabs>
        <w:tab w:val="center" w:pos="4153"/>
        <w:tab w:val="right" w:pos="8306"/>
      </w:tabs>
      <w:snapToGrid w:val="0"/>
      <w:jc w:val="left"/>
    </w:pPr>
    <w:rPr>
      <w:sz w:val="18"/>
    </w:rPr>
  </w:style>
  <w:style w:type="paragraph" w:styleId="17">
    <w:name w:val="header"/>
    <w:basedOn w:val="1"/>
    <w:link w:val="4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qFormat/>
    <w:uiPriority w:val="39"/>
  </w:style>
  <w:style w:type="paragraph" w:styleId="19">
    <w:name w:val="table of figures"/>
    <w:basedOn w:val="1"/>
    <w:next w:val="1"/>
    <w:qFormat/>
    <w:uiPriority w:val="0"/>
    <w:pPr>
      <w:ind w:left="200" w:leftChars="200" w:hanging="200" w:hangingChars="200"/>
    </w:pPr>
  </w:style>
  <w:style w:type="paragraph" w:styleId="20">
    <w:name w:val="toc 2"/>
    <w:basedOn w:val="1"/>
    <w:next w:val="1"/>
    <w:qFormat/>
    <w:uiPriority w:val="39"/>
    <w:pPr>
      <w:ind w:left="420" w:leftChars="200"/>
    </w:pPr>
  </w:style>
  <w:style w:type="paragraph" w:styleId="21">
    <w:name w:val="Body Text 2"/>
    <w:basedOn w:val="1"/>
    <w:next w:val="9"/>
    <w:qFormat/>
    <w:uiPriority w:val="0"/>
    <w:pPr>
      <w:spacing w:after="120" w:line="480" w:lineRule="auto"/>
    </w:pPr>
  </w:style>
  <w:style w:type="paragraph" w:styleId="22">
    <w:name w:val="Message Header"/>
    <w:basedOn w:val="1"/>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23">
    <w:name w:val="Normal (Web)"/>
    <w:basedOn w:val="1"/>
    <w:qFormat/>
    <w:uiPriority w:val="0"/>
    <w:pPr>
      <w:widowControl/>
      <w:spacing w:beforeAutospacing="1" w:afterAutospacing="1"/>
    </w:pPr>
    <w:rPr>
      <w:rFonts w:ascii="宋体" w:hAnsi="宋体"/>
    </w:rPr>
  </w:style>
  <w:style w:type="paragraph" w:styleId="24">
    <w:name w:val="Body Text First Indent"/>
    <w:basedOn w:val="9"/>
    <w:next w:val="1"/>
    <w:qFormat/>
    <w:uiPriority w:val="0"/>
    <w:pPr>
      <w:ind w:firstLine="420" w:firstLineChars="100"/>
    </w:pPr>
  </w:style>
  <w:style w:type="paragraph" w:styleId="25">
    <w:name w:val="Body Text First Indent 2"/>
    <w:basedOn w:val="10"/>
    <w:next w:val="1"/>
    <w:qFormat/>
    <w:uiPriority w:val="0"/>
    <w:pPr>
      <w:ind w:firstLine="42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9">
    <w:name w:val="Strong"/>
    <w:basedOn w:val="28"/>
    <w:qFormat/>
    <w:uiPriority w:val="0"/>
    <w:rPr>
      <w:b/>
      <w:bCs/>
    </w:rPr>
  </w:style>
  <w:style w:type="character" w:styleId="30">
    <w:name w:val="page number"/>
    <w:qFormat/>
    <w:uiPriority w:val="0"/>
    <w:rPr>
      <w:rFonts w:hint="default" w:ascii="Times New Roman" w:hAnsi="Times New Roman" w:eastAsia="宋体" w:cs="Times New Roman"/>
    </w:rPr>
  </w:style>
  <w:style w:type="character" w:styleId="31">
    <w:name w:val="FollowedHyperlink"/>
    <w:qFormat/>
    <w:uiPriority w:val="99"/>
    <w:rPr>
      <w:color w:val="5C5C5C"/>
      <w:u w:val="none"/>
    </w:rPr>
  </w:style>
  <w:style w:type="character" w:styleId="32">
    <w:name w:val="Emphasis"/>
    <w:qFormat/>
    <w:uiPriority w:val="0"/>
    <w:rPr>
      <w:b/>
      <w:bCs/>
    </w:rPr>
  </w:style>
  <w:style w:type="character" w:styleId="33">
    <w:name w:val="HTML Definition"/>
    <w:qFormat/>
    <w:uiPriority w:val="0"/>
  </w:style>
  <w:style w:type="character" w:styleId="34">
    <w:name w:val="HTML Typewriter"/>
    <w:qFormat/>
    <w:uiPriority w:val="0"/>
    <w:rPr>
      <w:rFonts w:ascii="monospace" w:hAnsi="monospace" w:eastAsia="monospace" w:cs="monospace"/>
      <w:sz w:val="20"/>
    </w:rPr>
  </w:style>
  <w:style w:type="character" w:styleId="35">
    <w:name w:val="HTML Acronym"/>
    <w:qFormat/>
    <w:uiPriority w:val="0"/>
    <w:rPr>
      <w:color w:val="333333"/>
      <w:shd w:val="clear" w:color="auto" w:fill="FFFFFF"/>
    </w:rPr>
  </w:style>
  <w:style w:type="character" w:styleId="36">
    <w:name w:val="HTML Variable"/>
    <w:qFormat/>
    <w:uiPriority w:val="0"/>
  </w:style>
  <w:style w:type="character" w:styleId="37">
    <w:name w:val="Hyperlink"/>
    <w:qFormat/>
    <w:uiPriority w:val="99"/>
    <w:rPr>
      <w:color w:val="333333"/>
      <w:u w:val="none"/>
    </w:rPr>
  </w:style>
  <w:style w:type="character" w:styleId="38">
    <w:name w:val="HTML Code"/>
    <w:qFormat/>
    <w:uiPriority w:val="0"/>
    <w:rPr>
      <w:rFonts w:hint="default" w:ascii="monospace" w:hAnsi="monospace" w:eastAsia="monospace" w:cs="monospace"/>
      <w:color w:val="5C5C5C"/>
      <w:sz w:val="20"/>
      <w:u w:val="none"/>
      <w:bdr w:val="single" w:color="7CBCF3" w:sz="6" w:space="0"/>
      <w:shd w:val="clear" w:color="auto" w:fill="FFFFFF"/>
    </w:rPr>
  </w:style>
  <w:style w:type="character" w:styleId="39">
    <w:name w:val="HTML Cite"/>
    <w:qFormat/>
    <w:uiPriority w:val="0"/>
  </w:style>
  <w:style w:type="character" w:styleId="40">
    <w:name w:val="HTML Keyboard"/>
    <w:qFormat/>
    <w:uiPriority w:val="0"/>
    <w:rPr>
      <w:rFonts w:hint="default" w:ascii="monospace" w:hAnsi="monospace" w:eastAsia="monospace" w:cs="monospace"/>
      <w:sz w:val="20"/>
    </w:rPr>
  </w:style>
  <w:style w:type="character" w:styleId="41">
    <w:name w:val="HTML Sample"/>
    <w:qFormat/>
    <w:uiPriority w:val="0"/>
    <w:rPr>
      <w:rFonts w:hint="default" w:ascii="monospace" w:hAnsi="monospace" w:eastAsia="monospace" w:cs="monospace"/>
    </w:rPr>
  </w:style>
  <w:style w:type="character" w:customStyle="1" w:styleId="42">
    <w:name w:val="标题 2 Char"/>
    <w:link w:val="3"/>
    <w:qFormat/>
    <w:uiPriority w:val="0"/>
    <w:rPr>
      <w:kern w:val="0"/>
      <w:sz w:val="28"/>
    </w:rPr>
  </w:style>
  <w:style w:type="character" w:customStyle="1" w:styleId="43">
    <w:name w:val="标题 1 Char"/>
    <w:link w:val="2"/>
    <w:qFormat/>
    <w:uiPriority w:val="9"/>
    <w:rPr>
      <w:b/>
      <w:bCs/>
      <w:kern w:val="44"/>
      <w:sz w:val="44"/>
      <w:szCs w:val="44"/>
    </w:rPr>
  </w:style>
  <w:style w:type="character" w:customStyle="1" w:styleId="44">
    <w:name w:val="正文文本 Char"/>
    <w:link w:val="9"/>
    <w:qFormat/>
    <w:uiPriority w:val="99"/>
    <w:rPr>
      <w:rFonts w:ascii="Book Antiqua" w:hAnsi="Book Antiqua"/>
      <w:kern w:val="2"/>
      <w:sz w:val="21"/>
      <w:szCs w:val="24"/>
    </w:rPr>
  </w:style>
  <w:style w:type="character" w:customStyle="1" w:styleId="45">
    <w:name w:val="纯文本 Char"/>
    <w:link w:val="14"/>
    <w:qFormat/>
    <w:uiPriority w:val="0"/>
    <w:rPr>
      <w:rFonts w:ascii="宋体" w:hAnsi="Courier New"/>
      <w:kern w:val="2"/>
      <w:sz w:val="21"/>
    </w:rPr>
  </w:style>
  <w:style w:type="character" w:customStyle="1" w:styleId="46">
    <w:name w:val="批注框文本 Char"/>
    <w:link w:val="15"/>
    <w:qFormat/>
    <w:uiPriority w:val="0"/>
    <w:rPr>
      <w:rFonts w:ascii="Book Antiqua" w:hAnsi="Book Antiqua" w:eastAsia="宋体" w:cs="Times New Roman"/>
      <w:kern w:val="2"/>
      <w:sz w:val="18"/>
      <w:szCs w:val="18"/>
    </w:rPr>
  </w:style>
  <w:style w:type="character" w:customStyle="1" w:styleId="47">
    <w:name w:val="页脚 Char"/>
    <w:link w:val="16"/>
    <w:qFormat/>
    <w:uiPriority w:val="99"/>
    <w:rPr>
      <w:rFonts w:ascii="Book Antiqua" w:hAnsi="Book Antiqua"/>
      <w:kern w:val="2"/>
      <w:sz w:val="18"/>
      <w:szCs w:val="24"/>
    </w:rPr>
  </w:style>
  <w:style w:type="character" w:customStyle="1" w:styleId="48">
    <w:name w:val="页眉 Char"/>
    <w:link w:val="17"/>
    <w:qFormat/>
    <w:uiPriority w:val="99"/>
    <w:rPr>
      <w:rFonts w:ascii="Book Antiqua" w:hAnsi="Book Antiqua"/>
      <w:kern w:val="2"/>
      <w:sz w:val="18"/>
      <w:szCs w:val="24"/>
    </w:rPr>
  </w:style>
  <w:style w:type="paragraph" w:customStyle="1" w:styleId="49">
    <w:name w:val="Default"/>
    <w:next w:val="1"/>
    <w:qFormat/>
    <w:uiPriority w:val="0"/>
    <w:pPr>
      <w:widowControl w:val="0"/>
      <w:autoSpaceDE w:val="0"/>
      <w:autoSpaceDN w:val="0"/>
      <w:adjustRightInd w:val="0"/>
    </w:pPr>
    <w:rPr>
      <w:rFonts w:ascii="宋体" w:hAnsi="Times New Roman" w:eastAsia="宋体" w:cs="Times New Roman"/>
      <w:lang w:val="en-US" w:eastAsia="zh-CN" w:bidi="ar-SA"/>
    </w:rPr>
  </w:style>
  <w:style w:type="paragraph" w:customStyle="1" w:styleId="50">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51">
    <w:name w:val="p0"/>
    <w:basedOn w:val="1"/>
    <w:qFormat/>
    <w:uiPriority w:val="0"/>
    <w:pPr>
      <w:widowControl/>
    </w:pPr>
    <w:rPr>
      <w:rFonts w:ascii="Calibri" w:hAnsi="Calibri" w:cs="宋体"/>
      <w:kern w:val="0"/>
      <w:szCs w:val="21"/>
    </w:rPr>
  </w:style>
  <w:style w:type="paragraph" w:customStyle="1" w:styleId="52">
    <w:name w:val="正文首行缩进1"/>
    <w:basedOn w:val="9"/>
    <w:qFormat/>
    <w:uiPriority w:val="0"/>
    <w:pPr>
      <w:ind w:firstLine="420" w:firstLineChars="100"/>
    </w:pPr>
  </w:style>
  <w:style w:type="paragraph" w:customStyle="1" w:styleId="53">
    <w:name w:val="_Style 2"/>
    <w:basedOn w:val="1"/>
    <w:qFormat/>
    <w:uiPriority w:val="99"/>
    <w:pPr>
      <w:ind w:firstLine="420" w:firstLineChars="200"/>
    </w:pPr>
    <w:rPr>
      <w:szCs w:val="20"/>
    </w:rPr>
  </w:style>
  <w:style w:type="paragraph" w:customStyle="1" w:styleId="54">
    <w:name w:val="列出段落1"/>
    <w:basedOn w:val="1"/>
    <w:qFormat/>
    <w:uiPriority w:val="0"/>
    <w:pPr>
      <w:ind w:firstLine="420" w:firstLineChars="200"/>
    </w:pPr>
  </w:style>
  <w:style w:type="paragraph" w:customStyle="1" w:styleId="55">
    <w:name w:val="Table Paragraph"/>
    <w:basedOn w:val="1"/>
    <w:qFormat/>
    <w:uiPriority w:val="1"/>
    <w:rPr>
      <w:rFonts w:ascii="宋体" w:hAnsi="宋体" w:cs="宋体"/>
      <w:lang w:val="zh-CN" w:bidi="zh-CN"/>
    </w:rPr>
  </w:style>
  <w:style w:type="character" w:customStyle="1" w:styleId="56">
    <w:name w:val="font31"/>
    <w:qFormat/>
    <w:uiPriority w:val="0"/>
    <w:rPr>
      <w:rFonts w:hint="eastAsia" w:ascii="宋体" w:hAnsi="宋体" w:eastAsia="宋体" w:cs="宋体"/>
      <w:color w:val="000000"/>
      <w:sz w:val="20"/>
      <w:szCs w:val="20"/>
      <w:u w:val="none"/>
    </w:rPr>
  </w:style>
  <w:style w:type="character" w:customStyle="1" w:styleId="57">
    <w:name w:val="font01"/>
    <w:qFormat/>
    <w:uiPriority w:val="0"/>
    <w:rPr>
      <w:rFonts w:hint="eastAsia" w:ascii="宋体" w:hAnsi="宋体" w:eastAsia="宋体" w:cs="宋体"/>
      <w:color w:val="000000"/>
      <w:sz w:val="20"/>
      <w:szCs w:val="20"/>
      <w:u w:val="none"/>
      <w:vertAlign w:val="subscript"/>
    </w:rPr>
  </w:style>
  <w:style w:type="paragraph" w:customStyle="1" w:styleId="58">
    <w:name w:val="Body Text First Indent1"/>
    <w:basedOn w:val="9"/>
    <w:next w:val="59"/>
    <w:qFormat/>
    <w:uiPriority w:val="0"/>
    <w:pPr>
      <w:ind w:firstLine="420" w:firstLineChars="100"/>
    </w:pPr>
  </w:style>
  <w:style w:type="paragraph" w:customStyle="1" w:styleId="59">
    <w:name w:val="Body Text First Indent 21"/>
    <w:basedOn w:val="60"/>
    <w:qFormat/>
    <w:uiPriority w:val="0"/>
    <w:pPr>
      <w:ind w:firstLine="420" w:firstLineChars="200"/>
    </w:pPr>
  </w:style>
  <w:style w:type="paragraph" w:customStyle="1" w:styleId="60">
    <w:name w:val="Body Text Indent1"/>
    <w:basedOn w:val="1"/>
    <w:qFormat/>
    <w:uiPriority w:val="0"/>
    <w:pPr>
      <w:spacing w:line="360" w:lineRule="auto"/>
      <w:ind w:firstLine="482" w:firstLineChars="100"/>
      <w:jc w:val="center"/>
    </w:pPr>
    <w:rPr>
      <w:rFonts w:ascii="黑体" w:eastAsia="黑体"/>
      <w:b/>
      <w:sz w:val="48"/>
      <w:szCs w:val="28"/>
    </w:rPr>
  </w:style>
  <w:style w:type="character" w:customStyle="1" w:styleId="61">
    <w:name w:val="hover1"/>
    <w:qFormat/>
    <w:uiPriority w:val="0"/>
    <w:rPr>
      <w:color w:val="2590EB"/>
      <w:shd w:val="clear" w:color="auto" w:fill="E9F4FD"/>
    </w:rPr>
  </w:style>
  <w:style w:type="character" w:customStyle="1" w:styleId="62">
    <w:name w:val="hover2"/>
    <w:qFormat/>
    <w:uiPriority w:val="0"/>
    <w:rPr>
      <w:color w:val="2590EB"/>
    </w:rPr>
  </w:style>
  <w:style w:type="character" w:customStyle="1" w:styleId="63">
    <w:name w:val="hover3"/>
    <w:qFormat/>
    <w:uiPriority w:val="0"/>
    <w:rPr>
      <w:color w:val="2590EB"/>
    </w:rPr>
  </w:style>
  <w:style w:type="character" w:customStyle="1" w:styleId="64">
    <w:name w:val="hover4"/>
    <w:qFormat/>
    <w:uiPriority w:val="0"/>
  </w:style>
  <w:style w:type="character" w:customStyle="1" w:styleId="65">
    <w:name w:val="font81"/>
    <w:qFormat/>
    <w:uiPriority w:val="0"/>
    <w:rPr>
      <w:rFonts w:hint="eastAsia" w:ascii="宋体" w:hAnsi="宋体" w:eastAsia="宋体" w:cs="宋体"/>
      <w:color w:val="000000"/>
      <w:sz w:val="20"/>
      <w:szCs w:val="20"/>
      <w:u w:val="none"/>
      <w:vertAlign w:val="subscript"/>
    </w:rPr>
  </w:style>
  <w:style w:type="character" w:customStyle="1" w:styleId="66">
    <w:name w:val="font61"/>
    <w:qFormat/>
    <w:uiPriority w:val="0"/>
    <w:rPr>
      <w:rFonts w:hint="eastAsia" w:ascii="宋体" w:hAnsi="宋体" w:eastAsia="宋体" w:cs="宋体"/>
      <w:color w:val="000000"/>
      <w:sz w:val="20"/>
      <w:szCs w:val="20"/>
      <w:u w:val="none"/>
    </w:rPr>
  </w:style>
  <w:style w:type="character" w:customStyle="1" w:styleId="67">
    <w:name w:val="font11"/>
    <w:qFormat/>
    <w:uiPriority w:val="0"/>
    <w:rPr>
      <w:rFonts w:hint="eastAsia" w:ascii="宋体" w:hAnsi="宋体" w:eastAsia="宋体" w:cs="宋体"/>
      <w:color w:val="000000"/>
      <w:sz w:val="20"/>
      <w:szCs w:val="20"/>
      <w:u w:val="none"/>
    </w:rPr>
  </w:style>
  <w:style w:type="character" w:customStyle="1" w:styleId="68">
    <w:name w:val="font41"/>
    <w:qFormat/>
    <w:uiPriority w:val="0"/>
    <w:rPr>
      <w:rFonts w:hint="eastAsia" w:ascii="宋体" w:hAnsi="宋体" w:eastAsia="宋体" w:cs="宋体"/>
      <w:color w:val="000000"/>
      <w:sz w:val="20"/>
      <w:szCs w:val="20"/>
      <w:u w:val="none"/>
      <w:vertAlign w:val="subscript"/>
    </w:rPr>
  </w:style>
  <w:style w:type="character" w:customStyle="1" w:styleId="69">
    <w:name w:val="NormalCharacter"/>
    <w:qFormat/>
    <w:uiPriority w:val="0"/>
  </w:style>
  <w:style w:type="paragraph" w:customStyle="1" w:styleId="70">
    <w:name w:val="文档正文5"/>
    <w:basedOn w:val="6"/>
    <w:qFormat/>
    <w:uiPriority w:val="0"/>
    <w:pPr>
      <w:autoSpaceDE w:val="0"/>
      <w:autoSpaceDN w:val="0"/>
      <w:snapToGrid w:val="0"/>
      <w:spacing w:line="440" w:lineRule="exact"/>
      <w:ind w:firstLine="505"/>
    </w:pPr>
    <w:rPr>
      <w:spacing w:val="4"/>
    </w:rPr>
  </w:style>
  <w:style w:type="table" w:customStyle="1" w:styleId="71">
    <w:name w:val="Table Normal"/>
    <w:unhideWhenUsed/>
    <w:qFormat/>
    <w:uiPriority w:val="0"/>
    <w:rPr>
      <w:lang w:val="en-US" w:eastAsia="zh-CN" w:bidi="ar-SA"/>
    </w:rPr>
    <w:tblPr>
      <w:tblLayout w:type="fixed"/>
      <w:tblCellMar>
        <w:top w:w="0" w:type="dxa"/>
        <w:left w:w="0" w:type="dxa"/>
        <w:bottom w:w="0" w:type="dxa"/>
        <w:right w:w="0" w:type="dxa"/>
      </w:tblCellMar>
    </w:tblPr>
  </w:style>
  <w:style w:type="character" w:customStyle="1" w:styleId="72">
    <w:name w:val="UserStyle_17"/>
    <w:qFormat/>
    <w:uiPriority w:val="0"/>
    <w:rPr>
      <w:rFonts w:eastAsia="宋体" w:cs="Times New Roman"/>
      <w:b/>
      <w:bCs/>
      <w:kern w:val="2"/>
      <w:sz w:val="32"/>
      <w:szCs w:val="32"/>
      <w:lang w:val="en-US" w:eastAsia="zh-CN" w:bidi="ar-SA"/>
    </w:rPr>
  </w:style>
  <w:style w:type="paragraph" w:customStyle="1" w:styleId="73">
    <w:name w:val="Heading3"/>
    <w:basedOn w:val="1"/>
    <w:next w:val="1"/>
    <w:qFormat/>
    <w:uiPriority w:val="0"/>
    <w:pPr>
      <w:keepNext/>
      <w:keepLines/>
      <w:jc w:val="center"/>
    </w:pPr>
    <w:rPr>
      <w:b/>
      <w:sz w:val="28"/>
    </w:rPr>
  </w:style>
  <w:style w:type="paragraph" w:customStyle="1" w:styleId="74">
    <w:name w:val="正文_5_0"/>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75">
    <w:name w:val="List Paragraph"/>
    <w:basedOn w:val="1"/>
    <w:qFormat/>
    <w:uiPriority w:val="99"/>
    <w:pPr>
      <w:ind w:firstLine="420" w:firstLineChars="200"/>
    </w:pPr>
  </w:style>
  <w:style w:type="paragraph" w:customStyle="1" w:styleId="76">
    <w:name w:val="无间隔1"/>
    <w:basedOn w:val="1"/>
    <w:qFormat/>
    <w:uiPriority w:val="0"/>
    <w:pPr>
      <w:spacing w:line="400" w:lineRule="exact"/>
    </w:pPr>
  </w:style>
  <w:style w:type="paragraph" w:customStyle="1" w:styleId="77">
    <w:name w:val="文档正文"/>
    <w:basedOn w:val="1"/>
    <w:qFormat/>
    <w:uiPriority w:val="0"/>
    <w:pPr>
      <w:adjustRightInd w:val="0"/>
      <w:spacing w:line="480" w:lineRule="atLeast"/>
      <w:ind w:firstLine="567"/>
    </w:pPr>
    <w:rPr>
      <w:rFonts w:ascii="仿宋_GB2312" w:hAnsi="Times New Roman" w:eastAsia="仿宋_GB2312"/>
      <w:kern w:val="0"/>
      <w:sz w:val="28"/>
      <w:szCs w:val="20"/>
    </w:rPr>
  </w:style>
  <w:style w:type="paragraph" w:customStyle="1" w:styleId="78">
    <w:name w:val="UserStyle_32"/>
    <w:basedOn w:val="1"/>
    <w:qFormat/>
    <w:uiPriority w:val="0"/>
    <w:pPr>
      <w:spacing w:line="480" w:lineRule="atLeast"/>
      <w:ind w:firstLine="567"/>
    </w:pPr>
    <w:rPr>
      <w:rFonts w:ascii="仿宋_GB2312" w:hAnsi="Times New Roman" w:eastAsia="仿宋_GB2312"/>
      <w:kern w:val="0"/>
      <w:sz w:val="28"/>
    </w:rPr>
  </w:style>
  <w:style w:type="paragraph" w:customStyle="1" w:styleId="79">
    <w:name w:val="Body Text First Indent 2"/>
    <w:basedOn w:val="1"/>
    <w:qFormat/>
    <w:uiPriority w:val="0"/>
    <w:pPr>
      <w:spacing w:line="360" w:lineRule="auto"/>
      <w:ind w:firstLine="420" w:firstLineChars="200"/>
      <w:jc w:val="center"/>
    </w:pPr>
    <w:rPr>
      <w:rFonts w:ascii="黑体" w:hAnsi="Times New Roman" w:eastAsia="黑体"/>
      <w:b/>
      <w:sz w:val="48"/>
      <w:szCs w:val="28"/>
    </w:rPr>
  </w:style>
  <w:style w:type="paragraph" w:customStyle="1" w:styleId="80">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81">
    <w:name w:val="样式 标题 2 + Times New Roman 四号 非加粗 段前: 5 磅 段后: 0 磅 行距: 固定值 20..."/>
    <w:basedOn w:val="3"/>
    <w:qFormat/>
    <w:uiPriority w:val="0"/>
    <w:pPr>
      <w:spacing w:before="100" w:line="400" w:lineRule="exact"/>
      <w:jc w:val="both"/>
    </w:pPr>
    <w:rPr>
      <w:rFonts w:ascii="Times New Roman" w:hAnsi="Times New Roman" w:eastAsia="仿宋_GB2312" w:cs="宋体"/>
      <w:kern w:val="2"/>
      <w:szCs w:val="20"/>
    </w:rPr>
  </w:style>
  <w:style w:type="paragraph" w:customStyle="1" w:styleId="82">
    <w:name w:val="列表 21"/>
    <w:basedOn w:val="1"/>
    <w:qFormat/>
    <w:uiPriority w:val="0"/>
    <w:pPr>
      <w:suppressAutoHyphens/>
      <w:ind w:left="100" w:hanging="200"/>
    </w:pPr>
    <w:rPr>
      <w:rFonts w:ascii="Times New Roman" w:hAnsi="Times New Roman" w:eastAsia="宋体" w:cs="Times New Roman"/>
      <w:kern w:val="1"/>
    </w:rPr>
  </w:style>
  <w:style w:type="paragraph" w:customStyle="1" w:styleId="83">
    <w:name w:val="首行缩进"/>
    <w:basedOn w:val="1"/>
    <w:qFormat/>
    <w:uiPriority w:val="99"/>
    <w:pPr>
      <w:ind w:firstLine="480" w:firstLineChars="200"/>
    </w:pPr>
    <w:rPr>
      <w:lang w:val="zh-CN"/>
    </w:rPr>
  </w:style>
  <w:style w:type="paragraph" w:customStyle="1" w:styleId="84">
    <w:name w:val="正文1"/>
    <w:basedOn w:val="1"/>
    <w:qFormat/>
    <w:uiPriority w:val="0"/>
    <w:pPr>
      <w:adjustRightInd w:val="0"/>
      <w:spacing w:line="318" w:lineRule="atLeast"/>
      <w:ind w:left="369" w:firstLine="369"/>
      <w:textAlignment w:val="baseline"/>
    </w:pPr>
    <w:rPr>
      <w:rFonts w:ascii="宋体"/>
      <w:szCs w:val="20"/>
    </w:rPr>
  </w:style>
  <w:style w:type="character" w:customStyle="1" w:styleId="85">
    <w:name w:val="icon_ds"/>
    <w:basedOn w:val="28"/>
    <w:qFormat/>
    <w:uiPriority w:val="0"/>
  </w:style>
  <w:style w:type="character" w:customStyle="1" w:styleId="86">
    <w:name w:val="icon_ds1"/>
    <w:basedOn w:val="28"/>
    <w:qFormat/>
    <w:uiPriority w:val="0"/>
    <w:rPr>
      <w:sz w:val="21"/>
      <w:szCs w:val="21"/>
    </w:rPr>
  </w:style>
  <w:style w:type="character" w:customStyle="1" w:styleId="87">
    <w:name w:val="xiadan"/>
    <w:basedOn w:val="28"/>
    <w:qFormat/>
    <w:uiPriority w:val="0"/>
    <w:rPr>
      <w:shd w:val="clear" w:color="auto" w:fill="E4393C"/>
    </w:rPr>
  </w:style>
  <w:style w:type="character" w:customStyle="1" w:styleId="88">
    <w:name w:val="fr"/>
    <w:basedOn w:val="28"/>
    <w:qFormat/>
    <w:uiPriority w:val="0"/>
  </w:style>
  <w:style w:type="character" w:customStyle="1" w:styleId="89">
    <w:name w:val="first-child"/>
    <w:basedOn w:val="28"/>
    <w:qFormat/>
    <w:uiPriority w:val="0"/>
    <w:rPr>
      <w:color w:val="1F3149"/>
      <w:sz w:val="24"/>
      <w:szCs w:val="24"/>
    </w:rPr>
  </w:style>
  <w:style w:type="character" w:customStyle="1" w:styleId="90">
    <w:name w:val="first-child1"/>
    <w:basedOn w:val="28"/>
    <w:qFormat/>
    <w:uiPriority w:val="0"/>
    <w:rPr>
      <w:color w:val="1F3149"/>
      <w:sz w:val="24"/>
      <w:szCs w:val="24"/>
    </w:rPr>
  </w:style>
  <w:style w:type="character" w:customStyle="1" w:styleId="91">
    <w:name w:val="icon_gys"/>
    <w:basedOn w:val="28"/>
    <w:qFormat/>
    <w:uiPriority w:val="0"/>
    <w:rPr>
      <w:sz w:val="21"/>
      <w:szCs w:val="21"/>
    </w:rPr>
  </w:style>
  <w:style w:type="paragraph" w:customStyle="1" w:styleId="92">
    <w:name w:val="Normal (Web)_5efb41cb-e9a4-428f-ba0a-a3d541133532"/>
    <w:basedOn w:val="1"/>
    <w:qFormat/>
    <w:uiPriority w:val="0"/>
    <w:pPr>
      <w:spacing w:beforeAutospacing="1" w:afterAutospacing="1"/>
      <w:jc w:val="left"/>
    </w:pPr>
    <w:rPr>
      <w:kern w:val="0"/>
      <w:sz w:val="24"/>
    </w:rPr>
  </w:style>
  <w:style w:type="paragraph" w:customStyle="1" w:styleId="93">
    <w:name w:val="Heading4"/>
    <w:basedOn w:val="1"/>
    <w:next w:val="1"/>
    <w:qFormat/>
    <w:uiPriority w:val="0"/>
    <w:pPr>
      <w:keepNext/>
      <w:keepLines/>
      <w:widowControl w:val="0"/>
      <w:spacing w:before="280" w:after="290" w:line="377" w:lineRule="auto"/>
      <w:textAlignment w:val="baseline"/>
    </w:pPr>
    <w:rPr>
      <w:rFonts w:ascii="Arial" w:hAnsi="Arial" w:eastAsia="黑体" w:cs="Calibri"/>
      <w:b/>
      <w:bCs/>
      <w:sz w:val="28"/>
      <w:szCs w:val="28"/>
    </w:rPr>
  </w:style>
  <w:style w:type="paragraph" w:customStyle="1" w:styleId="94">
    <w:name w:val="TOC 标题2"/>
    <w:basedOn w:val="2"/>
    <w:next w:val="1"/>
    <w:qFormat/>
    <w:uiPriority w:val="0"/>
    <w:pPr>
      <w:keepNext/>
      <w:keepLines/>
      <w:widowControl w:val="0"/>
      <w:adjustRightInd/>
      <w:snapToGrid/>
      <w:spacing w:before="260" w:after="260" w:line="413" w:lineRule="auto"/>
    </w:pPr>
    <w:rPr>
      <w:rFonts w:ascii="宋体" w:hAnsi="宋体"/>
      <w:sz w:val="36"/>
      <w:szCs w:val="44"/>
      <w:lang w:val="zh-CN"/>
    </w:rPr>
  </w:style>
  <w:style w:type="paragraph" w:customStyle="1" w:styleId="95">
    <w:name w:val="样式 标题 3 + (中文) 黑体 小四 非加粗 段前: 7.8 磅 段后: 0 磅 行距: 固定值 20 磅"/>
    <w:basedOn w:val="4"/>
    <w:qFormat/>
    <w:uiPriority w:val="0"/>
    <w:pPr>
      <w:spacing w:before="0" w:beforeLines="0" w:after="0" w:afterLines="0" w:line="400" w:lineRule="exact"/>
    </w:pPr>
    <w:rPr>
      <w:rFonts w:eastAsia="黑体"/>
      <w:b w:val="0"/>
      <w:sz w:val="24"/>
    </w:rPr>
  </w:style>
  <w:style w:type="paragraph" w:customStyle="1" w:styleId="9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67</Pages>
  <Words>20047</Words>
  <Characters>21962</Characters>
  <Lines>278</Lines>
  <Paragraphs>78</Paragraphs>
  <TotalTime>66</TotalTime>
  <ScaleCrop>false</ScaleCrop>
  <LinksUpToDate>false</LinksUpToDate>
  <CharactersWithSpaces>23243</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2022-12-03T08:58:00Z</dcterms:created>
  <dc:creator>PandaBear。</dc:creator>
  <cp:lastModifiedBy>怎样</cp:lastModifiedBy>
  <cp:lastPrinted>2026-07-24T03:13:00Z</cp:lastPrinted>
  <dcterms:modified xsi:type="dcterms:W3CDTF">2026-08-11T11:15:09Z</dcterms:modified>
  <dc:title>示范区卫计委病媒生物防制服务项目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36E75A8F742D496494249F8ABA15DE3D_13</vt:lpwstr>
  </property>
  <property fmtid="{D5CDD505-2E9C-101B-9397-08002B2CF9AE}" pid="4" name="KSOTemplateDocerSaveRecord">
    <vt:lpwstr>eyJoZGlkIjoiNTlkNmYyYmEzZjM5YTJmNjU0ZWMxM2ZmNGM2NDNlZWYifQ==</vt:lpwstr>
  </property>
</Properties>
</file>