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1BEAC5">
      <w:pPr>
        <w:spacing w:line="360" w:lineRule="auto"/>
        <w:jc w:val="center"/>
        <w:rPr>
          <w:rFonts w:ascii="宋体" w:hAnsi="宋体" w:cs="宋体"/>
          <w:b/>
          <w:bCs/>
          <w:color w:val="auto"/>
          <w:sz w:val="30"/>
          <w:szCs w:val="30"/>
          <w:highlight w:val="none"/>
        </w:rPr>
      </w:pPr>
      <w:r>
        <w:rPr>
          <w:rFonts w:hint="eastAsia" w:ascii="宋体" w:hAnsi="宋体" w:cs="宋体"/>
          <w:b/>
          <w:bCs/>
          <w:color w:val="auto"/>
          <w:sz w:val="32"/>
          <w:szCs w:val="32"/>
          <w:highlight w:val="none"/>
        </w:rPr>
        <w:t xml:space="preserve">  </w:t>
      </w:r>
    </w:p>
    <w:p w14:paraId="29F58087">
      <w:pPr>
        <w:pStyle w:val="40"/>
        <w:ind w:left="0" w:leftChars="0" w:firstLine="0" w:firstLineChars="0"/>
        <w:jc w:val="center"/>
        <w:rPr>
          <w:color w:val="auto"/>
          <w:sz w:val="24"/>
          <w:szCs w:val="22"/>
          <w:highlight w:val="none"/>
        </w:rPr>
      </w:pPr>
      <w:r>
        <w:rPr>
          <w:rFonts w:hint="eastAsia" w:ascii="宋体" w:hAnsi="宋体" w:eastAsia="宋体" w:cs="宋体"/>
          <w:b/>
          <w:bCs/>
          <w:color w:val="auto"/>
          <w:sz w:val="40"/>
          <w:szCs w:val="40"/>
          <w:highlight w:val="none"/>
        </w:rPr>
        <w:t>焦作市第四中学理化生实验室项目</w:t>
      </w:r>
    </w:p>
    <w:p w14:paraId="2CA2742A">
      <w:pPr>
        <w:pStyle w:val="9"/>
        <w:rPr>
          <w:color w:val="auto"/>
          <w:sz w:val="30"/>
          <w:szCs w:val="30"/>
          <w:highlight w:val="none"/>
        </w:rPr>
      </w:pPr>
    </w:p>
    <w:p w14:paraId="2C585FAB">
      <w:pPr>
        <w:spacing w:line="360" w:lineRule="auto"/>
        <w:jc w:val="center"/>
        <w:rPr>
          <w:rFonts w:hint="eastAsia" w:ascii="Times New Roman" w:hAnsi="Times New Roman" w:eastAsia="幼圆" w:cs="Times New Roman"/>
          <w:b/>
          <w:color w:val="auto"/>
          <w:sz w:val="80"/>
          <w:szCs w:val="80"/>
          <w:highlight w:val="none"/>
          <w14:shadow w14:blurRad="50800" w14:dist="38100" w14:dir="2700000" w14:sx="100000" w14:sy="100000" w14:kx="0" w14:ky="0" w14:algn="tl">
            <w14:srgbClr w14:val="000000">
              <w14:alpha w14:val="60000"/>
            </w14:srgbClr>
          </w14:shadow>
        </w:rPr>
      </w:pPr>
      <w:r>
        <w:rPr>
          <w:rFonts w:hint="eastAsia" w:ascii="Times New Roman" w:hAnsi="Times New Roman" w:eastAsia="幼圆" w:cs="Times New Roman"/>
          <w:b/>
          <w:color w:val="auto"/>
          <w:sz w:val="80"/>
          <w:szCs w:val="80"/>
          <w:highlight w:val="none"/>
          <w14:shadow w14:blurRad="50800" w14:dist="38100" w14:dir="2700000" w14:sx="100000" w14:sy="100000" w14:kx="0" w14:ky="0" w14:algn="tl">
            <w14:srgbClr w14:val="000000">
              <w14:alpha w14:val="60000"/>
            </w14:srgbClr>
          </w14:shadow>
        </w:rPr>
        <w:t>竞争性磋商文件</w:t>
      </w:r>
    </w:p>
    <w:p w14:paraId="3F25E56C">
      <w:pPr>
        <w:spacing w:line="560" w:lineRule="exact"/>
        <w:ind w:firstLine="2249" w:firstLineChars="800"/>
        <w:jc w:val="both"/>
        <w:rPr>
          <w:rFonts w:hint="eastAsia" w:ascii="宋体" w:hAnsi="宋体" w:eastAsia="宋体" w:cs="Times New Roman"/>
          <w:b/>
          <w:color w:val="auto"/>
          <w:sz w:val="28"/>
          <w:szCs w:val="28"/>
          <w:highlight w:val="none"/>
        </w:rPr>
      </w:pPr>
    </w:p>
    <w:p w14:paraId="50C2D5A1">
      <w:pPr>
        <w:spacing w:line="560" w:lineRule="exact"/>
        <w:ind w:firstLine="2249" w:firstLineChars="800"/>
        <w:jc w:val="both"/>
        <w:rPr>
          <w:rFonts w:hint="default" w:ascii="宋体" w:hAnsi="宋体" w:eastAsia="宋体" w:cs="Times New Roman"/>
          <w:b/>
          <w:color w:val="auto"/>
          <w:sz w:val="28"/>
          <w:szCs w:val="28"/>
          <w:highlight w:val="none"/>
          <w:lang w:val="en-US" w:eastAsia="zh-CN"/>
        </w:rPr>
      </w:pPr>
      <w:r>
        <w:rPr>
          <w:rFonts w:hint="eastAsia" w:ascii="宋体" w:hAnsi="宋体" w:eastAsia="宋体" w:cs="Times New Roman"/>
          <w:b/>
          <w:color w:val="auto"/>
          <w:sz w:val="28"/>
          <w:szCs w:val="28"/>
          <w:highlight w:val="none"/>
        </w:rPr>
        <w:t>项目编号：</w:t>
      </w:r>
      <w:r>
        <w:rPr>
          <w:rFonts w:hint="eastAsia" w:ascii="宋体" w:hAnsi="宋体" w:cs="Times New Roman"/>
          <w:b/>
          <w:color w:val="auto"/>
          <w:sz w:val="28"/>
          <w:szCs w:val="28"/>
          <w:highlight w:val="none"/>
          <w:lang w:eastAsia="zh-CN"/>
        </w:rPr>
        <w:t>中财磋商采购</w:t>
      </w:r>
      <w:r>
        <w:rPr>
          <w:rFonts w:hint="eastAsia" w:ascii="宋体" w:hAnsi="宋体" w:cs="Times New Roman"/>
          <w:b/>
          <w:color w:val="auto"/>
          <w:sz w:val="28"/>
          <w:szCs w:val="28"/>
          <w:highlight w:val="none"/>
          <w:lang w:val="en-US" w:eastAsia="zh-CN"/>
        </w:rPr>
        <w:t>-2026-34</w:t>
      </w:r>
    </w:p>
    <w:p w14:paraId="113FFEBB">
      <w:pPr>
        <w:spacing w:line="560" w:lineRule="exact"/>
        <w:ind w:firstLine="2249" w:firstLineChars="800"/>
        <w:jc w:val="both"/>
        <w:rPr>
          <w:rFonts w:hint="eastAsia" w:ascii="宋体" w:hAnsi="宋体" w:eastAsia="宋体" w:cs="Times New Roman"/>
          <w:b/>
          <w:color w:val="auto"/>
          <w:sz w:val="28"/>
          <w:szCs w:val="28"/>
          <w:highlight w:val="none"/>
        </w:rPr>
      </w:pPr>
    </w:p>
    <w:p w14:paraId="101B83D9">
      <w:pPr>
        <w:jc w:val="center"/>
        <w:rPr>
          <w:color w:val="auto"/>
          <w:sz w:val="30"/>
          <w:szCs w:val="30"/>
          <w:highlight w:val="none"/>
        </w:rPr>
      </w:pPr>
    </w:p>
    <w:p w14:paraId="3C25E45C">
      <w:pPr>
        <w:pStyle w:val="11"/>
        <w:rPr>
          <w:color w:val="auto"/>
          <w:highlight w:val="none"/>
        </w:rPr>
      </w:pPr>
    </w:p>
    <w:p w14:paraId="496994D2">
      <w:pPr>
        <w:jc w:val="center"/>
        <w:rPr>
          <w:color w:val="auto"/>
          <w:sz w:val="30"/>
          <w:szCs w:val="30"/>
          <w:highlight w:val="none"/>
        </w:rPr>
      </w:pPr>
      <w:r>
        <w:rPr>
          <w:rFonts w:hint="eastAsia" w:ascii="Times New Roman" w:hAnsi="Times New Roman" w:eastAsia="宋体" w:cs="Times New Roman"/>
          <w:color w:val="auto"/>
          <w:kern w:val="2"/>
          <w:sz w:val="30"/>
          <w:szCs w:val="30"/>
          <w:highlight w:val="none"/>
          <w:lang w:val="en-US" w:eastAsia="zh-CN" w:bidi="ar-SA"/>
        </w:rPr>
        <w:drawing>
          <wp:inline distT="0" distB="0" distL="114300" distR="114300">
            <wp:extent cx="1581150" cy="1581150"/>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3"/>
                    <a:stretch>
                      <a:fillRect/>
                    </a:stretch>
                  </pic:blipFill>
                  <pic:spPr>
                    <a:xfrm>
                      <a:off x="0" y="0"/>
                      <a:ext cx="1581150" cy="1581150"/>
                    </a:xfrm>
                    <a:prstGeom prst="rect">
                      <a:avLst/>
                    </a:prstGeom>
                    <a:noFill/>
                    <a:ln>
                      <a:noFill/>
                    </a:ln>
                  </pic:spPr>
                </pic:pic>
              </a:graphicData>
            </a:graphic>
          </wp:inline>
        </w:drawing>
      </w:r>
    </w:p>
    <w:p w14:paraId="6AD64882">
      <w:pPr>
        <w:jc w:val="center"/>
        <w:rPr>
          <w:color w:val="auto"/>
          <w:sz w:val="30"/>
          <w:szCs w:val="30"/>
          <w:highlight w:val="none"/>
        </w:rPr>
      </w:pPr>
    </w:p>
    <w:p w14:paraId="42D73CC0">
      <w:pPr>
        <w:rPr>
          <w:color w:val="auto"/>
          <w:sz w:val="30"/>
          <w:szCs w:val="30"/>
          <w:highlight w:val="none"/>
        </w:rPr>
      </w:pPr>
    </w:p>
    <w:p w14:paraId="11343B37">
      <w:pPr>
        <w:jc w:val="center"/>
        <w:rPr>
          <w:rFonts w:ascii="仿宋" w:hAnsi="仿宋" w:eastAsia="仿宋" w:cs="仿宋"/>
          <w:color w:val="auto"/>
          <w:sz w:val="30"/>
          <w:szCs w:val="30"/>
          <w:highlight w:val="none"/>
        </w:rPr>
      </w:pPr>
    </w:p>
    <w:p w14:paraId="4A4D53F3">
      <w:pPr>
        <w:spacing w:line="560" w:lineRule="exact"/>
        <w:ind w:firstLine="1405" w:firstLineChars="500"/>
        <w:jc w:val="left"/>
        <w:rPr>
          <w:rFonts w:hint="eastAsia" w:ascii="宋体" w:hAnsi="宋体" w:eastAsia="宋体" w:cs="Times New Roman"/>
          <w:b/>
          <w:bCs/>
          <w:color w:val="auto"/>
          <w:sz w:val="28"/>
          <w:szCs w:val="28"/>
          <w:highlight w:val="none"/>
          <w:lang w:val="en-US" w:eastAsia="zh-CN"/>
        </w:rPr>
      </w:pPr>
      <w:r>
        <w:rPr>
          <w:rFonts w:hint="eastAsia" w:ascii="宋体" w:hAnsi="宋体" w:eastAsia="宋体" w:cs="Times New Roman"/>
          <w:b/>
          <w:bCs/>
          <w:color w:val="auto"/>
          <w:sz w:val="28"/>
          <w:szCs w:val="28"/>
          <w:highlight w:val="none"/>
        </w:rPr>
        <w:t>采   购   人：</w:t>
      </w:r>
      <w:r>
        <w:rPr>
          <w:rFonts w:hint="eastAsia" w:ascii="宋体" w:hAnsi="宋体" w:cs="Times New Roman"/>
          <w:b/>
          <w:bCs/>
          <w:color w:val="auto"/>
          <w:sz w:val="28"/>
          <w:szCs w:val="28"/>
          <w:highlight w:val="none"/>
          <w:lang w:eastAsia="zh-CN"/>
        </w:rPr>
        <w:t>焦作市第四中学</w:t>
      </w:r>
    </w:p>
    <w:p w14:paraId="6EEE3243">
      <w:pPr>
        <w:spacing w:line="560" w:lineRule="exact"/>
        <w:ind w:firstLine="1405" w:firstLineChars="500"/>
        <w:rPr>
          <w:rFonts w:hint="eastAsia" w:ascii="宋体" w:hAnsi="宋体" w:eastAsia="宋体" w:cs="Times New Roman"/>
          <w:b/>
          <w:bCs/>
          <w:color w:val="auto"/>
          <w:sz w:val="28"/>
          <w:szCs w:val="28"/>
          <w:highlight w:val="none"/>
        </w:rPr>
      </w:pPr>
      <w:r>
        <w:rPr>
          <w:rFonts w:hint="eastAsia" w:ascii="宋体" w:hAnsi="宋体" w:eastAsia="宋体" w:cs="Times New Roman"/>
          <w:b/>
          <w:bCs/>
          <w:color w:val="auto"/>
          <w:sz w:val="28"/>
          <w:szCs w:val="28"/>
          <w:highlight w:val="none"/>
        </w:rPr>
        <w:t>采购代理机构：焦作市公共资源项目服务有限责任公司</w:t>
      </w:r>
    </w:p>
    <w:p w14:paraId="295F40C6">
      <w:pPr>
        <w:spacing w:line="560" w:lineRule="exact"/>
        <w:ind w:firstLine="1405" w:firstLineChars="500"/>
        <w:rPr>
          <w:rFonts w:hint="eastAsia" w:ascii="宋体" w:hAnsi="宋体" w:eastAsia="宋体" w:cs="Times New Roman"/>
          <w:b/>
          <w:bCs/>
          <w:color w:val="auto"/>
          <w:sz w:val="28"/>
          <w:szCs w:val="28"/>
          <w:highlight w:val="none"/>
          <w:lang w:eastAsia="zh-CN"/>
        </w:rPr>
        <w:sectPr>
          <w:headerReference r:id="rId3" w:type="default"/>
          <w:footerReference r:id="rId4" w:type="default"/>
          <w:pgSz w:w="11907" w:h="16840"/>
          <w:pgMar w:top="1271" w:right="1474" w:bottom="1489" w:left="1588"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宋体" w:hAnsi="宋体" w:eastAsia="宋体" w:cs="Times New Roman"/>
          <w:b/>
          <w:bCs/>
          <w:color w:val="auto"/>
          <w:sz w:val="28"/>
          <w:szCs w:val="28"/>
          <w:highlight w:val="none"/>
        </w:rPr>
        <w:t>日        期：二〇二</w:t>
      </w:r>
      <w:r>
        <w:rPr>
          <w:rFonts w:hint="eastAsia" w:ascii="宋体" w:hAnsi="宋体" w:cs="Times New Roman"/>
          <w:b/>
          <w:bCs/>
          <w:color w:val="auto"/>
          <w:sz w:val="28"/>
          <w:szCs w:val="28"/>
          <w:highlight w:val="none"/>
          <w:lang w:val="en-US" w:eastAsia="zh-CN"/>
        </w:rPr>
        <w:t>六</w:t>
      </w:r>
      <w:r>
        <w:rPr>
          <w:rFonts w:hint="eastAsia" w:ascii="宋体" w:hAnsi="宋体" w:eastAsia="宋体" w:cs="Times New Roman"/>
          <w:b/>
          <w:bCs/>
          <w:color w:val="auto"/>
          <w:sz w:val="28"/>
          <w:szCs w:val="28"/>
          <w:highlight w:val="none"/>
        </w:rPr>
        <w:t>年</w:t>
      </w:r>
      <w:r>
        <w:rPr>
          <w:rFonts w:hint="eastAsia" w:ascii="宋体" w:hAnsi="宋体" w:cs="Times New Roman"/>
          <w:b/>
          <w:bCs/>
          <w:color w:val="auto"/>
          <w:sz w:val="28"/>
          <w:szCs w:val="28"/>
          <w:highlight w:val="none"/>
          <w:lang w:val="en-US" w:eastAsia="zh-CN"/>
        </w:rPr>
        <w:t>八</w:t>
      </w:r>
      <w:r>
        <w:rPr>
          <w:rFonts w:hint="eastAsia" w:ascii="宋体" w:hAnsi="宋体" w:eastAsia="宋体" w:cs="Times New Roman"/>
          <w:b/>
          <w:bCs/>
          <w:color w:val="auto"/>
          <w:sz w:val="28"/>
          <w:szCs w:val="28"/>
          <w:highlight w:val="none"/>
        </w:rPr>
        <w:t>月</w:t>
      </w:r>
    </w:p>
    <w:p w14:paraId="02F48FE1">
      <w:pPr>
        <w:rPr>
          <w:rFonts w:hint="eastAsia" w:ascii="方正小标宋简体" w:hAnsi="方正小标宋简体" w:eastAsia="方正小标宋简体" w:cs="方正小标宋简体"/>
          <w:color w:val="auto"/>
          <w:sz w:val="44"/>
          <w:szCs w:val="44"/>
          <w:highlight w:val="none"/>
          <w:lang w:val="en-US" w:eastAsia="zh-CN"/>
        </w:rPr>
      </w:pPr>
    </w:p>
    <w:p w14:paraId="7FFAE061">
      <w:pPr>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drawing>
          <wp:inline distT="0" distB="0" distL="114300" distR="114300">
            <wp:extent cx="5268595" cy="7450455"/>
            <wp:effectExtent l="0" t="0" r="8255" b="17145"/>
            <wp:docPr id="2" name="图片 2" descr="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Page0001"/>
                    <pic:cNvPicPr>
                      <a:picLocks noChangeAspect="1"/>
                    </pic:cNvPicPr>
                  </pic:nvPicPr>
                  <pic:blipFill>
                    <a:blip r:embed="rId14"/>
                    <a:stretch>
                      <a:fillRect/>
                    </a:stretch>
                  </pic:blipFill>
                  <pic:spPr>
                    <a:xfrm>
                      <a:off x="0" y="0"/>
                      <a:ext cx="5268595" cy="7450455"/>
                    </a:xfrm>
                    <a:prstGeom prst="rect">
                      <a:avLst/>
                    </a:prstGeom>
                  </pic:spPr>
                </pic:pic>
              </a:graphicData>
            </a:graphic>
          </wp:inline>
        </w:drawing>
      </w:r>
      <w:r>
        <w:rPr>
          <w:rFonts w:hint="eastAsia" w:ascii="方正小标宋简体" w:hAnsi="方正小标宋简体" w:eastAsia="方正小标宋简体" w:cs="方正小标宋简体"/>
          <w:color w:val="auto"/>
          <w:sz w:val="44"/>
          <w:szCs w:val="44"/>
          <w:highlight w:val="none"/>
          <w:lang w:val="en-US" w:eastAsia="zh-CN"/>
        </w:rPr>
        <w:br w:type="page"/>
      </w:r>
      <w:r>
        <w:rPr>
          <w:rFonts w:hint="eastAsia" w:ascii="方正小标宋简体" w:hAnsi="方正小标宋简体" w:eastAsia="方正小标宋简体" w:cs="方正小标宋简体"/>
          <w:color w:val="auto"/>
          <w:sz w:val="44"/>
          <w:szCs w:val="44"/>
          <w:highlight w:val="none"/>
          <w:lang w:val="en-US" w:eastAsia="zh-CN"/>
        </w:rPr>
        <w:drawing>
          <wp:inline distT="0" distB="0" distL="114300" distR="114300">
            <wp:extent cx="5268595" cy="7450455"/>
            <wp:effectExtent l="0" t="0" r="8255" b="17145"/>
            <wp:docPr id="8" name="图片 8" descr="Page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Page0002"/>
                    <pic:cNvPicPr>
                      <a:picLocks noChangeAspect="1"/>
                    </pic:cNvPicPr>
                  </pic:nvPicPr>
                  <pic:blipFill>
                    <a:blip r:embed="rId15"/>
                    <a:stretch>
                      <a:fillRect/>
                    </a:stretch>
                  </pic:blipFill>
                  <pic:spPr>
                    <a:xfrm>
                      <a:off x="0" y="0"/>
                      <a:ext cx="5268595" cy="7450455"/>
                    </a:xfrm>
                    <a:prstGeom prst="rect">
                      <a:avLst/>
                    </a:prstGeom>
                  </pic:spPr>
                </pic:pic>
              </a:graphicData>
            </a:graphic>
          </wp:inline>
        </w:drawing>
      </w:r>
    </w:p>
    <w:p w14:paraId="7306D979">
      <w:pPr>
        <w:rPr>
          <w:rFonts w:hint="eastAsia" w:ascii="方正小标宋简体" w:hAnsi="方正小标宋简体" w:eastAsia="方正小标宋简体" w:cs="方正小标宋简体"/>
          <w:color w:val="auto"/>
          <w:sz w:val="44"/>
          <w:szCs w:val="44"/>
          <w:highlight w:val="none"/>
          <w:lang w:val="en-US" w:eastAsia="zh-CN"/>
        </w:rPr>
      </w:pPr>
    </w:p>
    <w:p w14:paraId="5B1CDFF0">
      <w:pPr>
        <w:rPr>
          <w:rFonts w:hint="eastAsia" w:ascii="方正小标宋简体" w:hAnsi="方正小标宋简体" w:eastAsia="方正小标宋简体" w:cs="方正小标宋简体"/>
          <w:color w:val="auto"/>
          <w:sz w:val="44"/>
          <w:szCs w:val="44"/>
          <w:highlight w:val="none"/>
          <w:lang w:val="en-US" w:eastAsia="zh-CN"/>
        </w:rPr>
      </w:pPr>
    </w:p>
    <w:p w14:paraId="649F48E4">
      <w:pPr>
        <w:jc w:val="center"/>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优化和提升政府采购营商环境政策</w:t>
      </w:r>
    </w:p>
    <w:p w14:paraId="35E94073">
      <w:pPr>
        <w:jc w:val="center"/>
        <w:rPr>
          <w:rFonts w:hint="eastAsia" w:ascii="楷体" w:hAnsi="楷体" w:eastAsia="楷体" w:cs="楷体"/>
          <w:color w:val="auto"/>
          <w:sz w:val="36"/>
          <w:szCs w:val="36"/>
          <w:highlight w:val="none"/>
          <w:lang w:val="en-US" w:eastAsia="zh-CN"/>
        </w:rPr>
      </w:pPr>
      <w:r>
        <w:rPr>
          <w:rFonts w:hint="eastAsia" w:ascii="楷体" w:hAnsi="楷体" w:eastAsia="楷体" w:cs="楷体"/>
          <w:color w:val="auto"/>
          <w:sz w:val="36"/>
          <w:szCs w:val="36"/>
          <w:highlight w:val="none"/>
          <w:lang w:val="en-US" w:eastAsia="zh-CN"/>
        </w:rPr>
        <w:t>（2025年12月30日修订版）</w:t>
      </w:r>
    </w:p>
    <w:p w14:paraId="5ED2BEBF">
      <w:pPr>
        <w:rPr>
          <w:rFonts w:hint="eastAsia" w:ascii="仿宋_GB2312" w:hAnsi="仿宋_GB2312" w:eastAsia="仿宋_GB2312" w:cs="仿宋_GB2312"/>
          <w:color w:val="auto"/>
          <w:sz w:val="32"/>
          <w:szCs w:val="32"/>
          <w:highlight w:val="none"/>
          <w:lang w:val="en-US" w:eastAsia="zh-CN"/>
        </w:rPr>
      </w:pPr>
    </w:p>
    <w:p w14:paraId="762AF59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一、免收采购文件费，全面取消投标保证金。</w:t>
      </w:r>
    </w:p>
    <w:p w14:paraId="3323CE0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二、履约保证金。结合项目性质和特点决定是否收取，原则上不收取履约保证金，确需收取的不超3%，且不得收取现金，</w:t>
      </w:r>
      <w:r>
        <w:rPr>
          <w:rFonts w:hint="eastAsia" w:ascii="仿宋" w:hAnsi="仿宋" w:eastAsia="仿宋" w:cs="仿宋"/>
          <w:color w:val="auto"/>
          <w:sz w:val="32"/>
          <w:szCs w:val="32"/>
          <w:highlight w:val="none"/>
        </w:rPr>
        <w:t>应当以支票、汇票、本票或者金融机构、担保机构出具的保函等非现金形式提交。</w:t>
      </w:r>
    </w:p>
    <w:p w14:paraId="23D6826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pacing w:val="0"/>
          <w:sz w:val="32"/>
          <w:szCs w:val="32"/>
          <w:highlight w:val="none"/>
          <w:lang w:eastAsia="zh-CN"/>
        </w:rPr>
        <w:t>三、质量保证金。</w:t>
      </w:r>
      <w:r>
        <w:rPr>
          <w:rFonts w:hint="eastAsia" w:ascii="仿宋" w:hAnsi="仿宋" w:eastAsia="仿宋" w:cs="仿宋"/>
          <w:color w:val="auto"/>
          <w:spacing w:val="0"/>
          <w:sz w:val="32"/>
          <w:szCs w:val="32"/>
          <w:highlight w:val="none"/>
        </w:rPr>
        <w:t>政府采购货物和服务项目，不得收取质量保证金或将未支付款项作为质量保证金。工程项目收取不得超3%，且不得以现金形式收取。</w:t>
      </w:r>
    </w:p>
    <w:p w14:paraId="57E43EF8">
      <w:pPr>
        <w:keepNext w:val="0"/>
        <w:keepLines w:val="0"/>
        <w:pageBreakBefore w:val="0"/>
        <w:widowControl w:val="0"/>
        <w:kinsoku/>
        <w:wordWrap/>
        <w:overflowPunct/>
        <w:topLinePunct w:val="0"/>
        <w:autoSpaceDE/>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*四、在政府采购中落实本国产品标准及相关政策。</w:t>
      </w:r>
    </w:p>
    <w:p w14:paraId="4A5CB56C">
      <w:pPr>
        <w:keepNext w:val="0"/>
        <w:keepLines w:val="0"/>
        <w:pageBreakBefore w:val="0"/>
        <w:widowControl w:val="0"/>
        <w:kinsoku/>
        <w:wordWrap/>
        <w:overflowPunct/>
        <w:topLinePunct w:val="0"/>
        <w:autoSpaceDE/>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（一）采购人、采购代理机构应当在采购文件中明确要求供应商对其提供的产品出具《关于符合本国产品标准的声明函》或财政部会同有关部门规定的有关证明文件。</w:t>
      </w:r>
    </w:p>
    <w:p w14:paraId="5BF50AFE">
      <w:pPr>
        <w:keepNext w:val="0"/>
        <w:keepLines w:val="0"/>
        <w:pageBreakBefore w:val="0"/>
        <w:widowControl w:val="0"/>
        <w:kinsoku/>
        <w:wordWrap/>
        <w:overflowPunct/>
        <w:topLinePunct w:val="0"/>
        <w:autoSpaceDE/>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（二）采购人、采购代理机构应当随中标、成交结果同时公告中标、成交供应商提供的《声明函》或有关证明文件。</w:t>
      </w:r>
    </w:p>
    <w:p w14:paraId="0490F9C0">
      <w:pPr>
        <w:keepNext w:val="0"/>
        <w:keepLines w:val="0"/>
        <w:pageBreakBefore w:val="0"/>
        <w:widowControl w:val="0"/>
        <w:kinsoku/>
        <w:wordWrap/>
        <w:overflowPunct/>
        <w:topLinePunct w:val="0"/>
        <w:autoSpaceDE/>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五、落实政府采购促进中小企业发展政策。</w:t>
      </w:r>
      <w:r>
        <w:rPr>
          <w:rFonts w:hint="eastAsia" w:ascii="仿宋" w:hAnsi="仿宋" w:eastAsia="仿宋" w:cs="仿宋"/>
          <w:color w:val="auto"/>
          <w:sz w:val="32"/>
          <w:szCs w:val="32"/>
          <w:highlight w:val="none"/>
        </w:rPr>
        <w:t>200万元以下的货物、服务采购项目，400万元以下的工程采购项目，适宜由中小企业提供的，原则上全部预留给中小企业；对于超过前述金额的采购项目，预留该部分采购项目预算总额的</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0%以上专门面向中小企业采购</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kern w:val="0"/>
          <w:sz w:val="32"/>
          <w:szCs w:val="32"/>
          <w:highlight w:val="none"/>
          <w:lang w:val="en-US" w:eastAsia="zh-CN" w:bidi="ar"/>
        </w:rPr>
        <w:t xml:space="preserve">预留份额通过下列措施进行： </w:t>
      </w:r>
    </w:p>
    <w:p w14:paraId="1143C9F1">
      <w:pPr>
        <w:keepNext w:val="0"/>
        <w:keepLines w:val="0"/>
        <w:pageBreakBefore w:val="0"/>
        <w:widowControl w:val="0"/>
        <w:kinsoku/>
        <w:wordWrap/>
        <w:overflowPunct/>
        <w:topLinePunct w:val="0"/>
        <w:autoSpaceDE/>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（一）将采购项目整体或者设置采购包专门面向中小企业采购；</w:t>
      </w:r>
    </w:p>
    <w:p w14:paraId="2A64B914">
      <w:pPr>
        <w:keepNext w:val="0"/>
        <w:keepLines w:val="0"/>
        <w:pageBreakBefore w:val="0"/>
        <w:widowControl w:val="0"/>
        <w:kinsoku/>
        <w:wordWrap/>
        <w:overflowPunct/>
        <w:topLinePunct w:val="0"/>
        <w:autoSpaceDE/>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 xml:space="preserve">（二）要求供应商以联合体形式参加采购活动，且联合体中中小企业承担的部分达到一定比例； </w:t>
      </w:r>
    </w:p>
    <w:p w14:paraId="6C48A125">
      <w:pPr>
        <w:keepNext w:val="0"/>
        <w:keepLines w:val="0"/>
        <w:pageBreakBefore w:val="0"/>
        <w:widowControl w:val="0"/>
        <w:kinsoku/>
        <w:wordWrap/>
        <w:overflowPunct/>
        <w:topLinePunct w:val="0"/>
        <w:autoSpaceDE/>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（三）要求获得采购合同的供应商将采购项目中的一定比例分包给一家或者多家中小企业。</w:t>
      </w:r>
    </w:p>
    <w:p w14:paraId="01145E62">
      <w:pPr>
        <w:keepNext w:val="0"/>
        <w:keepLines w:val="0"/>
        <w:pageBreakBefore w:val="0"/>
        <w:widowControl w:val="0"/>
        <w:kinsoku/>
        <w:wordWrap/>
        <w:overflowPunct/>
        <w:topLinePunct w:val="0"/>
        <w:autoSpaceDE/>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对非专门面向中小企业采购的项目，实施评审价格扣除支持小微企业。</w:t>
      </w:r>
      <w:r>
        <w:rPr>
          <w:rFonts w:hint="eastAsia" w:ascii="仿宋" w:hAnsi="仿宋" w:eastAsia="仿宋" w:cs="仿宋"/>
          <w:b w:val="0"/>
          <w:bCs w:val="0"/>
          <w:color w:val="auto"/>
          <w:sz w:val="32"/>
          <w:szCs w:val="32"/>
          <w:highlight w:val="none"/>
        </w:rPr>
        <w:t>货物服务</w:t>
      </w:r>
      <w:r>
        <w:rPr>
          <w:rFonts w:hint="eastAsia" w:ascii="仿宋" w:hAnsi="仿宋" w:eastAsia="仿宋" w:cs="仿宋"/>
          <w:b w:val="0"/>
          <w:bCs w:val="0"/>
          <w:color w:val="auto"/>
          <w:sz w:val="32"/>
          <w:szCs w:val="32"/>
          <w:highlight w:val="none"/>
          <w:lang w:eastAsia="zh-CN"/>
        </w:rPr>
        <w:t>类</w:t>
      </w:r>
      <w:r>
        <w:rPr>
          <w:rFonts w:hint="eastAsia" w:ascii="仿宋" w:hAnsi="仿宋" w:eastAsia="仿宋" w:cs="仿宋"/>
          <w:b w:val="0"/>
          <w:bCs w:val="0"/>
          <w:color w:val="auto"/>
          <w:sz w:val="32"/>
          <w:szCs w:val="32"/>
          <w:highlight w:val="none"/>
        </w:rPr>
        <w:t>项目</w:t>
      </w:r>
      <w:r>
        <w:rPr>
          <w:rFonts w:hint="eastAsia" w:ascii="仿宋" w:hAnsi="仿宋" w:eastAsia="仿宋" w:cs="仿宋"/>
          <w:b w:val="0"/>
          <w:bCs w:val="0"/>
          <w:color w:val="auto"/>
          <w:sz w:val="32"/>
          <w:szCs w:val="32"/>
          <w:highlight w:val="none"/>
          <w:lang w:val="en-US" w:eastAsia="zh-CN"/>
        </w:rPr>
        <w:t>的价格扣除提高至20%，大中型企业与小微企业组成联合体或者大中型企业向小微企业分包的，价格扣除提高至6%。</w:t>
      </w:r>
    </w:p>
    <w:p w14:paraId="321ED2FF">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六、落实政府采购支持创新产品政策，加大首台（套）重大技术装备、首批次重点新材料、首版次软件等创新产品和服务的采购支持力度，采购人可依法采用单一来源采购方式。</w:t>
      </w:r>
    </w:p>
    <w:p w14:paraId="7508DED1">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七、落实促进中小企业、监狱企业、残疾人福利性单位发展等政府采购政策;节能环保产品优先采购和强制采购;支持绿色建材和绿色建筑发展；优化高校和科研院所科研仪器设备采购流程。</w:t>
      </w:r>
    </w:p>
    <w:p w14:paraId="1F32A629">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八、严格执行政府采购负面清单制度，供应商资格、采购需求及商务条款、评审因素等不得有影响公平、公正和充分竞争的行为。</w:t>
      </w:r>
    </w:p>
    <w:p w14:paraId="064B4B5B">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*九、落实“两个公平竞争审查制度”。</w:t>
      </w:r>
    </w:p>
    <w:p w14:paraId="0F898DD6">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（一）落实《关于进一步完善政府采购文件公平竞争审查制度的通知》，将《焦作市政府采购文件公平竞争审查自查表》编入采购文件扉页；</w:t>
      </w:r>
    </w:p>
    <w:p w14:paraId="6777F61F">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（二）落实《关于开展政府采购中标结果公平性审查工作的通知（焦财采购函〔2025〕</w:t>
      </w:r>
      <w:r>
        <w:rPr>
          <w:rFonts w:hint="default" w:ascii="仿宋" w:hAnsi="仿宋" w:eastAsia="仿宋" w:cs="仿宋"/>
          <w:color w:val="auto"/>
          <w:sz w:val="32"/>
          <w:szCs w:val="32"/>
          <w:highlight w:val="none"/>
          <w:lang w:val="en-US" w:eastAsia="zh-CN"/>
        </w:rPr>
        <w:t>13</w:t>
      </w:r>
      <w:r>
        <w:rPr>
          <w:rFonts w:hint="eastAsia" w:ascii="仿宋" w:hAnsi="仿宋" w:eastAsia="仿宋" w:cs="仿宋"/>
          <w:color w:val="auto"/>
          <w:sz w:val="32"/>
          <w:szCs w:val="32"/>
          <w:highlight w:val="none"/>
          <w:lang w:val="en-US" w:eastAsia="zh-CN"/>
        </w:rPr>
        <w:t>号）》，将《焦作市政府采购中标结果公平性审查自查表》作为中标结果公示及合同备案的必备材料。</w:t>
      </w:r>
    </w:p>
    <w:p w14:paraId="534BEB12">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十、评标结果确认时限。鼓励自评标（评审）结束后应 1 个工作日内确定中标（成交） 供应商，鼓励1 个工作日内公告结果，同时发送中标（成交）通知书。</w:t>
      </w:r>
    </w:p>
    <w:p w14:paraId="35F95B2F">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十一、合同签订时限。</w:t>
      </w:r>
      <w:r>
        <w:rPr>
          <w:rFonts w:hint="eastAsia" w:ascii="仿宋" w:hAnsi="仿宋" w:eastAsia="仿宋" w:cs="仿宋"/>
          <w:b w:val="0"/>
          <w:bCs w:val="0"/>
          <w:color w:val="auto"/>
          <w:sz w:val="32"/>
          <w:szCs w:val="32"/>
          <w:highlight w:val="none"/>
          <w:lang w:val="en-US" w:eastAsia="zh-CN"/>
        </w:rPr>
        <w:t>鼓励</w:t>
      </w:r>
      <w:r>
        <w:rPr>
          <w:rFonts w:hint="eastAsia" w:ascii="仿宋" w:hAnsi="仿宋" w:eastAsia="仿宋" w:cs="仿宋"/>
          <w:color w:val="auto"/>
          <w:sz w:val="32"/>
          <w:szCs w:val="32"/>
          <w:highlight w:val="none"/>
          <w:lang w:val="en-US" w:eastAsia="zh-CN"/>
        </w:rPr>
        <w:t>自中标（成交）通知书发出之日起5个工作日内，按照采购文件和投标（响应性）文件确定的事项签订政府采购合同。</w:t>
      </w:r>
    </w:p>
    <w:p w14:paraId="5B1BE948">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十二、合同公告和备案时限。鼓励自合同签订之日起 1 个工作日内完成。</w:t>
      </w:r>
    </w:p>
    <w:p w14:paraId="2B2E4869">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十三、项目验收。鼓励自收到供应商项目验收建议之日起1个工作日内组织验收；鼓励验收结束后1个工作日内出具《验收报告》，并在焦作市政府采购网公告验收结果。</w:t>
      </w:r>
    </w:p>
    <w:p w14:paraId="7977E375">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十四、资金支付。按照合同约定的条件及时支付资金，不得因机构变更、人员更替、政策调整等原因拒绝或延迟资金支付。</w:t>
      </w:r>
    </w:p>
    <w:p w14:paraId="05BC3E59">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color w:val="auto"/>
          <w:sz w:val="32"/>
          <w:szCs w:val="32"/>
          <w:highlight w:val="none"/>
          <w:lang w:val="en-US" w:eastAsia="zh-CN"/>
        </w:rPr>
      </w:pPr>
    </w:p>
    <w:tbl>
      <w:tblPr>
        <w:tblStyle w:val="21"/>
        <w:tblpPr w:leftFromText="180" w:rightFromText="180" w:vertAnchor="text" w:horzAnchor="page" w:tblpX="2349" w:tblpY="2242"/>
        <w:tblOverlap w:val="never"/>
        <w:tblW w:w="78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7"/>
        <w:gridCol w:w="3305"/>
        <w:gridCol w:w="2810"/>
      </w:tblGrid>
      <w:tr w14:paraId="55895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707" w:type="dxa"/>
            <w:tcBorders>
              <w:top w:val="single" w:color="000000" w:sz="4" w:space="0"/>
              <w:left w:val="single" w:color="000000" w:sz="4" w:space="0"/>
              <w:bottom w:val="single" w:color="000000" w:sz="4" w:space="0"/>
              <w:right w:val="single" w:color="000000" w:sz="4" w:space="0"/>
            </w:tcBorders>
            <w:noWrap w:val="0"/>
            <w:vAlign w:val="center"/>
          </w:tcPr>
          <w:p w14:paraId="44D5F58C">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监督单位</w:t>
            </w:r>
          </w:p>
        </w:tc>
        <w:tc>
          <w:tcPr>
            <w:tcW w:w="3305" w:type="dxa"/>
            <w:tcBorders>
              <w:top w:val="single" w:color="000000" w:sz="4" w:space="0"/>
              <w:left w:val="single" w:color="000000" w:sz="4" w:space="0"/>
              <w:bottom w:val="single" w:color="000000" w:sz="4" w:space="0"/>
              <w:right w:val="single" w:color="000000" w:sz="4" w:space="0"/>
            </w:tcBorders>
            <w:noWrap w:val="0"/>
            <w:vAlign w:val="center"/>
          </w:tcPr>
          <w:p w14:paraId="721DF228">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监督电话</w:t>
            </w:r>
          </w:p>
        </w:tc>
        <w:tc>
          <w:tcPr>
            <w:tcW w:w="2810" w:type="dxa"/>
            <w:tcBorders>
              <w:top w:val="single" w:color="000000" w:sz="4" w:space="0"/>
              <w:left w:val="single" w:color="000000" w:sz="4" w:space="0"/>
              <w:bottom w:val="single" w:color="000000" w:sz="4" w:space="0"/>
              <w:right w:val="single" w:color="000000" w:sz="4" w:space="0"/>
            </w:tcBorders>
            <w:noWrap w:val="0"/>
            <w:vAlign w:val="center"/>
          </w:tcPr>
          <w:p w14:paraId="4B60C6DF">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电子邮箱</w:t>
            </w:r>
          </w:p>
        </w:tc>
      </w:tr>
      <w:tr w14:paraId="4DDFB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707" w:type="dxa"/>
            <w:tcBorders>
              <w:top w:val="single" w:color="000000" w:sz="4" w:space="0"/>
              <w:left w:val="single" w:color="000000" w:sz="4" w:space="0"/>
              <w:bottom w:val="single" w:color="000000" w:sz="4" w:space="0"/>
              <w:right w:val="single" w:color="000000" w:sz="4" w:space="0"/>
            </w:tcBorders>
            <w:noWrap w:val="0"/>
            <w:vAlign w:val="center"/>
          </w:tcPr>
          <w:p w14:paraId="4A73E33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焦作市财政局</w:t>
            </w:r>
          </w:p>
        </w:tc>
        <w:tc>
          <w:tcPr>
            <w:tcW w:w="3305" w:type="dxa"/>
            <w:tcBorders>
              <w:top w:val="single" w:color="000000" w:sz="4" w:space="0"/>
              <w:left w:val="single" w:color="000000" w:sz="4" w:space="0"/>
              <w:bottom w:val="single" w:color="000000" w:sz="4" w:space="0"/>
              <w:right w:val="single" w:color="000000" w:sz="4" w:space="0"/>
            </w:tcBorders>
            <w:noWrap w:val="0"/>
            <w:vAlign w:val="center"/>
          </w:tcPr>
          <w:p w14:paraId="0BA0024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0391-8866638,8866636</w:t>
            </w:r>
          </w:p>
        </w:tc>
        <w:tc>
          <w:tcPr>
            <w:tcW w:w="2810" w:type="dxa"/>
            <w:tcBorders>
              <w:top w:val="single" w:color="000000" w:sz="4" w:space="0"/>
              <w:left w:val="single" w:color="000000" w:sz="4" w:space="0"/>
              <w:bottom w:val="single" w:color="000000" w:sz="4" w:space="0"/>
              <w:right w:val="single" w:color="000000" w:sz="4" w:space="0"/>
            </w:tcBorders>
            <w:noWrap w:val="0"/>
            <w:vAlign w:val="center"/>
          </w:tcPr>
          <w:p w14:paraId="52551C2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fldChar w:fldCharType="begin"/>
            </w:r>
            <w:r>
              <w:rPr>
                <w:rFonts w:hint="eastAsia" w:ascii="宋体" w:hAnsi="宋体" w:eastAsia="宋体" w:cs="宋体"/>
                <w:i w:val="0"/>
                <w:iCs w:val="0"/>
                <w:color w:val="auto"/>
                <w:kern w:val="0"/>
                <w:sz w:val="24"/>
                <w:szCs w:val="24"/>
                <w:highlight w:val="none"/>
                <w:u w:val="none"/>
                <w:lang w:val="en-US" w:eastAsia="zh-CN" w:bidi="ar"/>
              </w:rPr>
              <w:instrText xml:space="preserve"> HYPERLINK "mailto:jzscgb@163.com" \o "mailto:jzscgb@163.com" </w:instrText>
            </w:r>
            <w:r>
              <w:rPr>
                <w:rFonts w:hint="eastAsia" w:ascii="宋体" w:hAnsi="宋体" w:eastAsia="宋体" w:cs="宋体"/>
                <w:i w:val="0"/>
                <w:iCs w:val="0"/>
                <w:color w:val="auto"/>
                <w:kern w:val="0"/>
                <w:sz w:val="24"/>
                <w:szCs w:val="24"/>
                <w:highlight w:val="none"/>
                <w:u w:val="none"/>
                <w:lang w:val="en-US" w:eastAsia="zh-CN" w:bidi="ar"/>
              </w:rPr>
              <w:fldChar w:fldCharType="separate"/>
            </w:r>
            <w:r>
              <w:rPr>
                <w:rStyle w:val="31"/>
                <w:rFonts w:hint="eastAsia" w:ascii="宋体" w:hAnsi="宋体" w:eastAsia="宋体" w:cs="宋体"/>
                <w:i w:val="0"/>
                <w:iCs w:val="0"/>
                <w:color w:val="auto"/>
                <w:sz w:val="24"/>
                <w:szCs w:val="24"/>
                <w:highlight w:val="none"/>
                <w:u w:val="none"/>
              </w:rPr>
              <w:t>jzscgb@163.com</w:t>
            </w:r>
            <w:r>
              <w:rPr>
                <w:rFonts w:hint="eastAsia" w:ascii="宋体" w:hAnsi="宋体" w:eastAsia="宋体" w:cs="宋体"/>
                <w:i w:val="0"/>
                <w:iCs w:val="0"/>
                <w:color w:val="auto"/>
                <w:kern w:val="0"/>
                <w:sz w:val="24"/>
                <w:szCs w:val="24"/>
                <w:highlight w:val="none"/>
                <w:u w:val="none"/>
                <w:lang w:val="en-US" w:eastAsia="zh-CN" w:bidi="ar"/>
              </w:rPr>
              <w:fldChar w:fldCharType="end"/>
            </w:r>
          </w:p>
        </w:tc>
      </w:tr>
      <w:tr w14:paraId="454F6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707" w:type="dxa"/>
            <w:tcBorders>
              <w:top w:val="single" w:color="000000" w:sz="4" w:space="0"/>
              <w:left w:val="single" w:color="000000" w:sz="4" w:space="0"/>
              <w:bottom w:val="single" w:color="000000" w:sz="4" w:space="0"/>
              <w:right w:val="single" w:color="000000" w:sz="4" w:space="0"/>
            </w:tcBorders>
            <w:noWrap w:val="0"/>
            <w:vAlign w:val="center"/>
          </w:tcPr>
          <w:p w14:paraId="7842891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解放区财政局</w:t>
            </w:r>
          </w:p>
        </w:tc>
        <w:tc>
          <w:tcPr>
            <w:tcW w:w="3305" w:type="dxa"/>
            <w:tcBorders>
              <w:top w:val="single" w:color="000000" w:sz="4" w:space="0"/>
              <w:left w:val="single" w:color="000000" w:sz="4" w:space="0"/>
              <w:bottom w:val="single" w:color="000000" w:sz="4" w:space="0"/>
              <w:right w:val="single" w:color="000000" w:sz="4" w:space="0"/>
            </w:tcBorders>
            <w:noWrap w:val="0"/>
            <w:vAlign w:val="center"/>
          </w:tcPr>
          <w:p w14:paraId="6FA9226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0391-2519285</w:t>
            </w:r>
          </w:p>
        </w:tc>
        <w:tc>
          <w:tcPr>
            <w:tcW w:w="2810" w:type="dxa"/>
            <w:tcBorders>
              <w:top w:val="single" w:color="000000" w:sz="4" w:space="0"/>
              <w:left w:val="single" w:color="000000" w:sz="4" w:space="0"/>
              <w:bottom w:val="single" w:color="000000" w:sz="4" w:space="0"/>
              <w:right w:val="single" w:color="000000" w:sz="4" w:space="0"/>
            </w:tcBorders>
            <w:noWrap w:val="0"/>
            <w:vAlign w:val="center"/>
          </w:tcPr>
          <w:p w14:paraId="293402A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fldChar w:fldCharType="begin"/>
            </w:r>
            <w:r>
              <w:rPr>
                <w:rFonts w:hint="eastAsia" w:ascii="宋体" w:hAnsi="宋体" w:eastAsia="宋体" w:cs="宋体"/>
                <w:i w:val="0"/>
                <w:iCs w:val="0"/>
                <w:color w:val="auto"/>
                <w:kern w:val="0"/>
                <w:sz w:val="24"/>
                <w:szCs w:val="24"/>
                <w:highlight w:val="none"/>
                <w:u w:val="none"/>
                <w:lang w:val="en-US" w:eastAsia="zh-CN" w:bidi="ar"/>
              </w:rPr>
              <w:instrText xml:space="preserve"> HYPERLINK "mailto:jfcg2519285@126.com" </w:instrText>
            </w:r>
            <w:r>
              <w:rPr>
                <w:rFonts w:hint="eastAsia" w:ascii="宋体" w:hAnsi="宋体" w:eastAsia="宋体" w:cs="宋体"/>
                <w:i w:val="0"/>
                <w:iCs w:val="0"/>
                <w:color w:val="auto"/>
                <w:kern w:val="0"/>
                <w:sz w:val="24"/>
                <w:szCs w:val="24"/>
                <w:highlight w:val="none"/>
                <w:u w:val="none"/>
                <w:lang w:val="en-US" w:eastAsia="zh-CN" w:bidi="ar"/>
              </w:rPr>
              <w:fldChar w:fldCharType="separate"/>
            </w:r>
            <w:r>
              <w:rPr>
                <w:rStyle w:val="31"/>
                <w:rFonts w:hint="eastAsia" w:ascii="宋体" w:hAnsi="宋体" w:eastAsia="宋体" w:cs="宋体"/>
                <w:i w:val="0"/>
                <w:iCs w:val="0"/>
                <w:color w:val="auto"/>
                <w:sz w:val="24"/>
                <w:szCs w:val="24"/>
                <w:highlight w:val="none"/>
                <w:u w:val="none"/>
              </w:rPr>
              <w:t>jfcg2519285@126.com</w:t>
            </w:r>
            <w:r>
              <w:rPr>
                <w:rFonts w:hint="eastAsia" w:ascii="宋体" w:hAnsi="宋体" w:eastAsia="宋体" w:cs="宋体"/>
                <w:i w:val="0"/>
                <w:iCs w:val="0"/>
                <w:color w:val="auto"/>
                <w:kern w:val="0"/>
                <w:sz w:val="24"/>
                <w:szCs w:val="24"/>
                <w:highlight w:val="none"/>
                <w:u w:val="none"/>
                <w:lang w:val="en-US" w:eastAsia="zh-CN" w:bidi="ar"/>
              </w:rPr>
              <w:fldChar w:fldCharType="end"/>
            </w:r>
          </w:p>
        </w:tc>
      </w:tr>
      <w:tr w14:paraId="7C11C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707" w:type="dxa"/>
            <w:tcBorders>
              <w:top w:val="single" w:color="000000" w:sz="4" w:space="0"/>
              <w:left w:val="single" w:color="000000" w:sz="4" w:space="0"/>
              <w:bottom w:val="single" w:color="000000" w:sz="4" w:space="0"/>
              <w:right w:val="single" w:color="000000" w:sz="4" w:space="0"/>
            </w:tcBorders>
            <w:noWrap w:val="0"/>
            <w:vAlign w:val="center"/>
          </w:tcPr>
          <w:p w14:paraId="72687E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中站区财政局</w:t>
            </w:r>
          </w:p>
        </w:tc>
        <w:tc>
          <w:tcPr>
            <w:tcW w:w="3305" w:type="dxa"/>
            <w:tcBorders>
              <w:top w:val="single" w:color="000000" w:sz="4" w:space="0"/>
              <w:left w:val="single" w:color="000000" w:sz="4" w:space="0"/>
              <w:bottom w:val="single" w:color="000000" w:sz="4" w:space="0"/>
              <w:right w:val="single" w:color="000000" w:sz="4" w:space="0"/>
            </w:tcBorders>
            <w:noWrap w:val="0"/>
            <w:vAlign w:val="center"/>
          </w:tcPr>
          <w:p w14:paraId="2315676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0391-2941311</w:t>
            </w:r>
          </w:p>
        </w:tc>
        <w:tc>
          <w:tcPr>
            <w:tcW w:w="2810" w:type="dxa"/>
            <w:tcBorders>
              <w:top w:val="single" w:color="000000" w:sz="4" w:space="0"/>
              <w:left w:val="single" w:color="000000" w:sz="4" w:space="0"/>
              <w:bottom w:val="single" w:color="000000" w:sz="4" w:space="0"/>
              <w:right w:val="single" w:color="000000" w:sz="4" w:space="0"/>
            </w:tcBorders>
            <w:noWrap w:val="0"/>
            <w:vAlign w:val="center"/>
          </w:tcPr>
          <w:p w14:paraId="623307F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fldChar w:fldCharType="begin"/>
            </w:r>
            <w:r>
              <w:rPr>
                <w:rFonts w:hint="eastAsia" w:ascii="宋体" w:hAnsi="宋体" w:eastAsia="宋体" w:cs="宋体"/>
                <w:i w:val="0"/>
                <w:iCs w:val="0"/>
                <w:color w:val="auto"/>
                <w:kern w:val="0"/>
                <w:sz w:val="24"/>
                <w:szCs w:val="24"/>
                <w:highlight w:val="none"/>
                <w:u w:val="none"/>
                <w:lang w:val="en-US" w:eastAsia="zh-CN" w:bidi="ar"/>
              </w:rPr>
              <w:instrText xml:space="preserve"> HYPERLINK "mailto:zzzfcg@126.com" \o "mailto:zzzfcg@126.com" </w:instrText>
            </w:r>
            <w:r>
              <w:rPr>
                <w:rFonts w:hint="eastAsia" w:ascii="宋体" w:hAnsi="宋体" w:eastAsia="宋体" w:cs="宋体"/>
                <w:i w:val="0"/>
                <w:iCs w:val="0"/>
                <w:color w:val="auto"/>
                <w:kern w:val="0"/>
                <w:sz w:val="24"/>
                <w:szCs w:val="24"/>
                <w:highlight w:val="none"/>
                <w:u w:val="none"/>
                <w:lang w:val="en-US" w:eastAsia="zh-CN" w:bidi="ar"/>
              </w:rPr>
              <w:fldChar w:fldCharType="separate"/>
            </w:r>
            <w:r>
              <w:rPr>
                <w:rStyle w:val="31"/>
                <w:rFonts w:hint="eastAsia" w:ascii="宋体" w:hAnsi="宋体" w:eastAsia="宋体" w:cs="宋体"/>
                <w:i w:val="0"/>
                <w:iCs w:val="0"/>
                <w:color w:val="auto"/>
                <w:sz w:val="24"/>
                <w:szCs w:val="24"/>
                <w:highlight w:val="none"/>
                <w:u w:val="none"/>
              </w:rPr>
              <w:t>zzzfcg@126.com</w:t>
            </w:r>
            <w:r>
              <w:rPr>
                <w:rFonts w:hint="eastAsia" w:ascii="宋体" w:hAnsi="宋体" w:eastAsia="宋体" w:cs="宋体"/>
                <w:i w:val="0"/>
                <w:iCs w:val="0"/>
                <w:color w:val="auto"/>
                <w:kern w:val="0"/>
                <w:sz w:val="24"/>
                <w:szCs w:val="24"/>
                <w:highlight w:val="none"/>
                <w:u w:val="none"/>
                <w:lang w:val="en-US" w:eastAsia="zh-CN" w:bidi="ar"/>
              </w:rPr>
              <w:fldChar w:fldCharType="end"/>
            </w:r>
          </w:p>
        </w:tc>
      </w:tr>
      <w:tr w14:paraId="0A6D2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707" w:type="dxa"/>
            <w:tcBorders>
              <w:top w:val="single" w:color="000000" w:sz="4" w:space="0"/>
              <w:left w:val="single" w:color="000000" w:sz="4" w:space="0"/>
              <w:bottom w:val="single" w:color="000000" w:sz="4" w:space="0"/>
              <w:right w:val="single" w:color="000000" w:sz="4" w:space="0"/>
            </w:tcBorders>
            <w:noWrap w:val="0"/>
            <w:vAlign w:val="center"/>
          </w:tcPr>
          <w:p w14:paraId="1B4694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马村区财政局</w:t>
            </w:r>
          </w:p>
        </w:tc>
        <w:tc>
          <w:tcPr>
            <w:tcW w:w="3305" w:type="dxa"/>
            <w:tcBorders>
              <w:top w:val="single" w:color="000000" w:sz="4" w:space="0"/>
              <w:left w:val="single" w:color="000000" w:sz="4" w:space="0"/>
              <w:bottom w:val="single" w:color="000000" w:sz="4" w:space="0"/>
              <w:right w:val="single" w:color="000000" w:sz="4" w:space="0"/>
            </w:tcBorders>
            <w:noWrap w:val="0"/>
            <w:vAlign w:val="center"/>
          </w:tcPr>
          <w:p w14:paraId="424EA79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0391-3958812，13569188516</w:t>
            </w:r>
          </w:p>
        </w:tc>
        <w:tc>
          <w:tcPr>
            <w:tcW w:w="2810" w:type="dxa"/>
            <w:tcBorders>
              <w:top w:val="single" w:color="000000" w:sz="4" w:space="0"/>
              <w:left w:val="single" w:color="000000" w:sz="4" w:space="0"/>
              <w:bottom w:val="single" w:color="000000" w:sz="4" w:space="0"/>
              <w:right w:val="single" w:color="000000" w:sz="4" w:space="0"/>
            </w:tcBorders>
            <w:noWrap w:val="0"/>
            <w:vAlign w:val="center"/>
          </w:tcPr>
          <w:p w14:paraId="481F046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fldChar w:fldCharType="begin"/>
            </w:r>
            <w:r>
              <w:rPr>
                <w:rFonts w:hint="eastAsia" w:ascii="宋体" w:hAnsi="宋体" w:eastAsia="宋体" w:cs="宋体"/>
                <w:i w:val="0"/>
                <w:iCs w:val="0"/>
                <w:color w:val="auto"/>
                <w:kern w:val="0"/>
                <w:sz w:val="24"/>
                <w:szCs w:val="24"/>
                <w:highlight w:val="none"/>
                <w:u w:val="none"/>
                <w:lang w:val="en-US" w:eastAsia="zh-CN" w:bidi="ar"/>
              </w:rPr>
              <w:instrText xml:space="preserve"> HYPERLINK "mailto:mczfcg@163.com" \o "mailto:mczfcg@163.com" </w:instrText>
            </w:r>
            <w:r>
              <w:rPr>
                <w:rFonts w:hint="eastAsia" w:ascii="宋体" w:hAnsi="宋体" w:eastAsia="宋体" w:cs="宋体"/>
                <w:i w:val="0"/>
                <w:iCs w:val="0"/>
                <w:color w:val="auto"/>
                <w:kern w:val="0"/>
                <w:sz w:val="24"/>
                <w:szCs w:val="24"/>
                <w:highlight w:val="none"/>
                <w:u w:val="none"/>
                <w:lang w:val="en-US" w:eastAsia="zh-CN" w:bidi="ar"/>
              </w:rPr>
              <w:fldChar w:fldCharType="separate"/>
            </w:r>
            <w:r>
              <w:rPr>
                <w:rStyle w:val="31"/>
                <w:rFonts w:hint="eastAsia" w:ascii="宋体" w:hAnsi="宋体" w:eastAsia="宋体" w:cs="宋体"/>
                <w:i w:val="0"/>
                <w:iCs w:val="0"/>
                <w:color w:val="auto"/>
                <w:sz w:val="24"/>
                <w:szCs w:val="24"/>
                <w:highlight w:val="none"/>
                <w:u w:val="none"/>
              </w:rPr>
              <w:t>mczfcg@163.com</w:t>
            </w:r>
            <w:r>
              <w:rPr>
                <w:rFonts w:hint="eastAsia" w:ascii="宋体" w:hAnsi="宋体" w:eastAsia="宋体" w:cs="宋体"/>
                <w:i w:val="0"/>
                <w:iCs w:val="0"/>
                <w:color w:val="auto"/>
                <w:kern w:val="0"/>
                <w:sz w:val="24"/>
                <w:szCs w:val="24"/>
                <w:highlight w:val="none"/>
                <w:u w:val="none"/>
                <w:lang w:val="en-US" w:eastAsia="zh-CN" w:bidi="ar"/>
              </w:rPr>
              <w:fldChar w:fldCharType="end"/>
            </w:r>
          </w:p>
        </w:tc>
      </w:tr>
      <w:tr w14:paraId="597E1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707" w:type="dxa"/>
            <w:tcBorders>
              <w:top w:val="single" w:color="000000" w:sz="4" w:space="0"/>
              <w:left w:val="single" w:color="000000" w:sz="4" w:space="0"/>
              <w:bottom w:val="single" w:color="000000" w:sz="4" w:space="0"/>
              <w:right w:val="single" w:color="000000" w:sz="4" w:space="0"/>
            </w:tcBorders>
            <w:noWrap w:val="0"/>
            <w:vAlign w:val="center"/>
          </w:tcPr>
          <w:p w14:paraId="159339C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山阳区财政局</w:t>
            </w:r>
          </w:p>
        </w:tc>
        <w:tc>
          <w:tcPr>
            <w:tcW w:w="3305" w:type="dxa"/>
            <w:tcBorders>
              <w:top w:val="single" w:color="000000" w:sz="4" w:space="0"/>
              <w:left w:val="single" w:color="000000" w:sz="4" w:space="0"/>
              <w:bottom w:val="single" w:color="000000" w:sz="4" w:space="0"/>
              <w:right w:val="single" w:color="000000" w:sz="4" w:space="0"/>
            </w:tcBorders>
            <w:noWrap w:val="0"/>
            <w:vAlign w:val="center"/>
          </w:tcPr>
          <w:p w14:paraId="353D1B2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0391-2996117，2111675</w:t>
            </w:r>
          </w:p>
        </w:tc>
        <w:tc>
          <w:tcPr>
            <w:tcW w:w="2810" w:type="dxa"/>
            <w:tcBorders>
              <w:top w:val="single" w:color="000000" w:sz="4" w:space="0"/>
              <w:left w:val="single" w:color="000000" w:sz="4" w:space="0"/>
              <w:bottom w:val="single" w:color="000000" w:sz="4" w:space="0"/>
              <w:right w:val="single" w:color="000000" w:sz="4" w:space="0"/>
            </w:tcBorders>
            <w:noWrap w:val="0"/>
            <w:vAlign w:val="center"/>
          </w:tcPr>
          <w:p w14:paraId="63DBE10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fldChar w:fldCharType="begin"/>
            </w:r>
            <w:r>
              <w:rPr>
                <w:rFonts w:hint="eastAsia" w:ascii="宋体" w:hAnsi="宋体" w:eastAsia="宋体" w:cs="宋体"/>
                <w:i w:val="0"/>
                <w:iCs w:val="0"/>
                <w:color w:val="auto"/>
                <w:kern w:val="0"/>
                <w:sz w:val="24"/>
                <w:szCs w:val="24"/>
                <w:highlight w:val="none"/>
                <w:u w:val="none"/>
                <w:lang w:val="en-US" w:eastAsia="zh-CN" w:bidi="ar"/>
              </w:rPr>
              <w:instrText xml:space="preserve"> HYPERLINK "mailto:syqcgb@163.com" \o "mailto:syqcgb@163.com" </w:instrText>
            </w:r>
            <w:r>
              <w:rPr>
                <w:rFonts w:hint="eastAsia" w:ascii="宋体" w:hAnsi="宋体" w:eastAsia="宋体" w:cs="宋体"/>
                <w:i w:val="0"/>
                <w:iCs w:val="0"/>
                <w:color w:val="auto"/>
                <w:kern w:val="0"/>
                <w:sz w:val="24"/>
                <w:szCs w:val="24"/>
                <w:highlight w:val="none"/>
                <w:u w:val="none"/>
                <w:lang w:val="en-US" w:eastAsia="zh-CN" w:bidi="ar"/>
              </w:rPr>
              <w:fldChar w:fldCharType="separate"/>
            </w:r>
            <w:r>
              <w:rPr>
                <w:rStyle w:val="31"/>
                <w:rFonts w:hint="eastAsia" w:ascii="宋体" w:hAnsi="宋体" w:eastAsia="宋体" w:cs="宋体"/>
                <w:i w:val="0"/>
                <w:iCs w:val="0"/>
                <w:color w:val="auto"/>
                <w:sz w:val="24"/>
                <w:szCs w:val="24"/>
                <w:highlight w:val="none"/>
                <w:u w:val="none"/>
              </w:rPr>
              <w:t>syqcgb@163.com</w:t>
            </w:r>
            <w:r>
              <w:rPr>
                <w:rFonts w:hint="eastAsia" w:ascii="宋体" w:hAnsi="宋体" w:eastAsia="宋体" w:cs="宋体"/>
                <w:i w:val="0"/>
                <w:iCs w:val="0"/>
                <w:color w:val="auto"/>
                <w:kern w:val="0"/>
                <w:sz w:val="24"/>
                <w:szCs w:val="24"/>
                <w:highlight w:val="none"/>
                <w:u w:val="none"/>
                <w:lang w:val="en-US" w:eastAsia="zh-CN" w:bidi="ar"/>
              </w:rPr>
              <w:fldChar w:fldCharType="end"/>
            </w:r>
          </w:p>
        </w:tc>
      </w:tr>
      <w:tr w14:paraId="671BC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707" w:type="dxa"/>
            <w:tcBorders>
              <w:top w:val="single" w:color="000000" w:sz="4" w:space="0"/>
              <w:left w:val="single" w:color="000000" w:sz="4" w:space="0"/>
              <w:bottom w:val="single" w:color="000000" w:sz="4" w:space="0"/>
              <w:right w:val="single" w:color="000000" w:sz="4" w:space="0"/>
            </w:tcBorders>
            <w:noWrap w:val="0"/>
            <w:vAlign w:val="center"/>
          </w:tcPr>
          <w:p w14:paraId="7F4017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高新区财政局</w:t>
            </w:r>
          </w:p>
        </w:tc>
        <w:tc>
          <w:tcPr>
            <w:tcW w:w="3305" w:type="dxa"/>
            <w:tcBorders>
              <w:top w:val="single" w:color="000000" w:sz="4" w:space="0"/>
              <w:left w:val="single" w:color="000000" w:sz="4" w:space="0"/>
              <w:bottom w:val="single" w:color="000000" w:sz="4" w:space="0"/>
              <w:right w:val="single" w:color="000000" w:sz="4" w:space="0"/>
            </w:tcBorders>
            <w:noWrap w:val="0"/>
            <w:vAlign w:val="center"/>
          </w:tcPr>
          <w:p w14:paraId="5FCC595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0391-3566505，3566015</w:t>
            </w:r>
          </w:p>
        </w:tc>
        <w:tc>
          <w:tcPr>
            <w:tcW w:w="2810" w:type="dxa"/>
            <w:tcBorders>
              <w:top w:val="single" w:color="000000" w:sz="4" w:space="0"/>
              <w:left w:val="single" w:color="000000" w:sz="4" w:space="0"/>
              <w:bottom w:val="single" w:color="000000" w:sz="4" w:space="0"/>
              <w:right w:val="single" w:color="000000" w:sz="4" w:space="0"/>
            </w:tcBorders>
            <w:noWrap w:val="0"/>
            <w:vAlign w:val="center"/>
          </w:tcPr>
          <w:p w14:paraId="4472D36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fldChar w:fldCharType="begin"/>
            </w:r>
            <w:r>
              <w:rPr>
                <w:rFonts w:hint="eastAsia" w:ascii="宋体" w:hAnsi="宋体" w:eastAsia="宋体" w:cs="宋体"/>
                <w:i w:val="0"/>
                <w:iCs w:val="0"/>
                <w:color w:val="auto"/>
                <w:kern w:val="0"/>
                <w:sz w:val="24"/>
                <w:szCs w:val="24"/>
                <w:highlight w:val="none"/>
                <w:u w:val="none"/>
                <w:lang w:val="en-US" w:eastAsia="zh-CN" w:bidi="ar"/>
              </w:rPr>
              <w:instrText xml:space="preserve"> HYPERLINK "mailto:jzgxqczj01@126.com" </w:instrText>
            </w:r>
            <w:r>
              <w:rPr>
                <w:rFonts w:hint="eastAsia" w:ascii="宋体" w:hAnsi="宋体" w:eastAsia="宋体" w:cs="宋体"/>
                <w:i w:val="0"/>
                <w:iCs w:val="0"/>
                <w:color w:val="auto"/>
                <w:kern w:val="0"/>
                <w:sz w:val="24"/>
                <w:szCs w:val="24"/>
                <w:highlight w:val="none"/>
                <w:u w:val="none"/>
                <w:lang w:val="en-US" w:eastAsia="zh-CN" w:bidi="ar"/>
              </w:rPr>
              <w:fldChar w:fldCharType="separate"/>
            </w:r>
            <w:r>
              <w:rPr>
                <w:rStyle w:val="31"/>
                <w:rFonts w:hint="eastAsia" w:ascii="宋体" w:hAnsi="宋体" w:eastAsia="宋体" w:cs="宋体"/>
                <w:i w:val="0"/>
                <w:iCs w:val="0"/>
                <w:color w:val="auto"/>
                <w:sz w:val="24"/>
                <w:szCs w:val="24"/>
                <w:highlight w:val="none"/>
                <w:u w:val="none"/>
              </w:rPr>
              <w:t>jzgxqczj01@126.com</w:t>
            </w:r>
            <w:r>
              <w:rPr>
                <w:rFonts w:hint="eastAsia" w:ascii="宋体" w:hAnsi="宋体" w:eastAsia="宋体" w:cs="宋体"/>
                <w:i w:val="0"/>
                <w:iCs w:val="0"/>
                <w:color w:val="auto"/>
                <w:kern w:val="0"/>
                <w:sz w:val="24"/>
                <w:szCs w:val="24"/>
                <w:highlight w:val="none"/>
                <w:u w:val="none"/>
                <w:lang w:val="en-US" w:eastAsia="zh-CN" w:bidi="ar"/>
              </w:rPr>
              <w:fldChar w:fldCharType="end"/>
            </w:r>
          </w:p>
        </w:tc>
      </w:tr>
      <w:tr w14:paraId="3EEF1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707" w:type="dxa"/>
            <w:tcBorders>
              <w:top w:val="single" w:color="000000" w:sz="4" w:space="0"/>
              <w:left w:val="single" w:color="000000" w:sz="4" w:space="0"/>
              <w:bottom w:val="single" w:color="000000" w:sz="4" w:space="0"/>
              <w:right w:val="single" w:color="000000" w:sz="4" w:space="0"/>
            </w:tcBorders>
            <w:noWrap w:val="0"/>
            <w:vAlign w:val="center"/>
          </w:tcPr>
          <w:p w14:paraId="7536A13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修武县财政局</w:t>
            </w:r>
          </w:p>
        </w:tc>
        <w:tc>
          <w:tcPr>
            <w:tcW w:w="3305" w:type="dxa"/>
            <w:tcBorders>
              <w:top w:val="single" w:color="000000" w:sz="4" w:space="0"/>
              <w:left w:val="single" w:color="000000" w:sz="4" w:space="0"/>
              <w:bottom w:val="single" w:color="000000" w:sz="4" w:space="0"/>
              <w:right w:val="single" w:color="000000" w:sz="4" w:space="0"/>
            </w:tcBorders>
            <w:noWrap w:val="0"/>
            <w:vAlign w:val="center"/>
          </w:tcPr>
          <w:p w14:paraId="434792A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0391-7188950</w:t>
            </w:r>
          </w:p>
        </w:tc>
        <w:tc>
          <w:tcPr>
            <w:tcW w:w="2810" w:type="dxa"/>
            <w:tcBorders>
              <w:top w:val="single" w:color="000000" w:sz="4" w:space="0"/>
              <w:left w:val="single" w:color="000000" w:sz="4" w:space="0"/>
              <w:bottom w:val="single" w:color="000000" w:sz="4" w:space="0"/>
              <w:right w:val="single" w:color="000000" w:sz="4" w:space="0"/>
            </w:tcBorders>
            <w:noWrap w:val="0"/>
            <w:vAlign w:val="center"/>
          </w:tcPr>
          <w:p w14:paraId="3D9E5E9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fldChar w:fldCharType="begin"/>
            </w:r>
            <w:r>
              <w:rPr>
                <w:rFonts w:hint="eastAsia" w:ascii="宋体" w:hAnsi="宋体" w:eastAsia="宋体" w:cs="宋体"/>
                <w:i w:val="0"/>
                <w:iCs w:val="0"/>
                <w:color w:val="auto"/>
                <w:kern w:val="0"/>
                <w:sz w:val="24"/>
                <w:szCs w:val="24"/>
                <w:highlight w:val="none"/>
                <w:u w:val="none"/>
                <w:lang w:val="en-US" w:eastAsia="zh-CN" w:bidi="ar"/>
              </w:rPr>
              <w:instrText xml:space="preserve"> HYPERLINK "mailto:jiaozuo018@163.com" \o "mailto:jiaozuo018@163.com" </w:instrText>
            </w:r>
            <w:r>
              <w:rPr>
                <w:rFonts w:hint="eastAsia" w:ascii="宋体" w:hAnsi="宋体" w:eastAsia="宋体" w:cs="宋体"/>
                <w:i w:val="0"/>
                <w:iCs w:val="0"/>
                <w:color w:val="auto"/>
                <w:kern w:val="0"/>
                <w:sz w:val="24"/>
                <w:szCs w:val="24"/>
                <w:highlight w:val="none"/>
                <w:u w:val="none"/>
                <w:lang w:val="en-US" w:eastAsia="zh-CN" w:bidi="ar"/>
              </w:rPr>
              <w:fldChar w:fldCharType="separate"/>
            </w:r>
            <w:r>
              <w:rPr>
                <w:rStyle w:val="31"/>
                <w:rFonts w:hint="eastAsia" w:ascii="宋体" w:hAnsi="宋体" w:eastAsia="宋体" w:cs="宋体"/>
                <w:i w:val="0"/>
                <w:iCs w:val="0"/>
                <w:color w:val="auto"/>
                <w:sz w:val="24"/>
                <w:szCs w:val="24"/>
                <w:highlight w:val="none"/>
                <w:u w:val="none"/>
              </w:rPr>
              <w:t>jiaozuo018@163.com</w:t>
            </w:r>
            <w:r>
              <w:rPr>
                <w:rFonts w:hint="eastAsia" w:ascii="宋体" w:hAnsi="宋体" w:eastAsia="宋体" w:cs="宋体"/>
                <w:i w:val="0"/>
                <w:iCs w:val="0"/>
                <w:color w:val="auto"/>
                <w:kern w:val="0"/>
                <w:sz w:val="24"/>
                <w:szCs w:val="24"/>
                <w:highlight w:val="none"/>
                <w:u w:val="none"/>
                <w:lang w:val="en-US" w:eastAsia="zh-CN" w:bidi="ar"/>
              </w:rPr>
              <w:fldChar w:fldCharType="end"/>
            </w:r>
          </w:p>
        </w:tc>
      </w:tr>
      <w:tr w14:paraId="2DE33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707" w:type="dxa"/>
            <w:tcBorders>
              <w:top w:val="single" w:color="000000" w:sz="4" w:space="0"/>
              <w:left w:val="single" w:color="000000" w:sz="4" w:space="0"/>
              <w:bottom w:val="single" w:color="000000" w:sz="4" w:space="0"/>
              <w:right w:val="single" w:color="000000" w:sz="4" w:space="0"/>
            </w:tcBorders>
            <w:noWrap w:val="0"/>
            <w:vAlign w:val="center"/>
          </w:tcPr>
          <w:p w14:paraId="599F80A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博爱县财政局</w:t>
            </w:r>
          </w:p>
        </w:tc>
        <w:tc>
          <w:tcPr>
            <w:tcW w:w="3305" w:type="dxa"/>
            <w:tcBorders>
              <w:top w:val="single" w:color="000000" w:sz="4" w:space="0"/>
              <w:left w:val="single" w:color="000000" w:sz="4" w:space="0"/>
              <w:bottom w:val="single" w:color="000000" w:sz="4" w:space="0"/>
              <w:right w:val="single" w:color="000000" w:sz="4" w:space="0"/>
            </w:tcBorders>
            <w:noWrap w:val="0"/>
            <w:vAlign w:val="center"/>
          </w:tcPr>
          <w:p w14:paraId="2292FD6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0391-8683273</w:t>
            </w:r>
          </w:p>
        </w:tc>
        <w:tc>
          <w:tcPr>
            <w:tcW w:w="2810" w:type="dxa"/>
            <w:tcBorders>
              <w:top w:val="single" w:color="000000" w:sz="4" w:space="0"/>
              <w:left w:val="single" w:color="000000" w:sz="4" w:space="0"/>
              <w:bottom w:val="single" w:color="000000" w:sz="4" w:space="0"/>
              <w:right w:val="single" w:color="000000" w:sz="4" w:space="0"/>
            </w:tcBorders>
            <w:noWrap w:val="0"/>
            <w:vAlign w:val="center"/>
          </w:tcPr>
          <w:p w14:paraId="01433D4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fldChar w:fldCharType="begin"/>
            </w:r>
            <w:r>
              <w:rPr>
                <w:rFonts w:hint="eastAsia" w:ascii="宋体" w:hAnsi="宋体" w:eastAsia="宋体" w:cs="宋体"/>
                <w:i w:val="0"/>
                <w:iCs w:val="0"/>
                <w:color w:val="auto"/>
                <w:kern w:val="0"/>
                <w:sz w:val="24"/>
                <w:szCs w:val="24"/>
                <w:highlight w:val="none"/>
                <w:u w:val="none"/>
                <w:lang w:val="en-US" w:eastAsia="zh-CN" w:bidi="ar"/>
              </w:rPr>
              <w:instrText xml:space="preserve"> HYPERLINK "mailto:zfcg2000@126.com" </w:instrText>
            </w:r>
            <w:r>
              <w:rPr>
                <w:rFonts w:hint="eastAsia" w:ascii="宋体" w:hAnsi="宋体" w:eastAsia="宋体" w:cs="宋体"/>
                <w:i w:val="0"/>
                <w:iCs w:val="0"/>
                <w:color w:val="auto"/>
                <w:kern w:val="0"/>
                <w:sz w:val="24"/>
                <w:szCs w:val="24"/>
                <w:highlight w:val="none"/>
                <w:u w:val="none"/>
                <w:lang w:val="en-US" w:eastAsia="zh-CN" w:bidi="ar"/>
              </w:rPr>
              <w:fldChar w:fldCharType="separate"/>
            </w:r>
            <w:r>
              <w:rPr>
                <w:rStyle w:val="31"/>
                <w:rFonts w:hint="eastAsia" w:ascii="宋体" w:hAnsi="宋体" w:eastAsia="宋体" w:cs="宋体"/>
                <w:i w:val="0"/>
                <w:iCs w:val="0"/>
                <w:color w:val="auto"/>
                <w:sz w:val="24"/>
                <w:szCs w:val="24"/>
                <w:highlight w:val="none"/>
                <w:u w:val="none"/>
              </w:rPr>
              <w:t>zfcg2000@126.com</w:t>
            </w:r>
            <w:r>
              <w:rPr>
                <w:rFonts w:hint="eastAsia" w:ascii="宋体" w:hAnsi="宋体" w:eastAsia="宋体" w:cs="宋体"/>
                <w:i w:val="0"/>
                <w:iCs w:val="0"/>
                <w:color w:val="auto"/>
                <w:kern w:val="0"/>
                <w:sz w:val="24"/>
                <w:szCs w:val="24"/>
                <w:highlight w:val="none"/>
                <w:u w:val="none"/>
                <w:lang w:val="en-US" w:eastAsia="zh-CN" w:bidi="ar"/>
              </w:rPr>
              <w:fldChar w:fldCharType="end"/>
            </w:r>
          </w:p>
        </w:tc>
      </w:tr>
      <w:tr w14:paraId="05D8D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707" w:type="dxa"/>
            <w:tcBorders>
              <w:top w:val="single" w:color="000000" w:sz="4" w:space="0"/>
              <w:left w:val="single" w:color="000000" w:sz="4" w:space="0"/>
              <w:bottom w:val="single" w:color="000000" w:sz="4" w:space="0"/>
              <w:right w:val="single" w:color="000000" w:sz="4" w:space="0"/>
            </w:tcBorders>
            <w:noWrap w:val="0"/>
            <w:vAlign w:val="center"/>
          </w:tcPr>
          <w:p w14:paraId="051424D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沁阳市财政局</w:t>
            </w:r>
          </w:p>
        </w:tc>
        <w:tc>
          <w:tcPr>
            <w:tcW w:w="3305" w:type="dxa"/>
            <w:tcBorders>
              <w:top w:val="single" w:color="000000" w:sz="4" w:space="0"/>
              <w:left w:val="single" w:color="000000" w:sz="4" w:space="0"/>
              <w:bottom w:val="single" w:color="000000" w:sz="4" w:space="0"/>
              <w:right w:val="single" w:color="000000" w:sz="4" w:space="0"/>
            </w:tcBorders>
            <w:noWrap w:val="0"/>
            <w:vAlign w:val="center"/>
          </w:tcPr>
          <w:p w14:paraId="06A278B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0391-5611799，5637651</w:t>
            </w:r>
          </w:p>
        </w:tc>
        <w:tc>
          <w:tcPr>
            <w:tcW w:w="2810" w:type="dxa"/>
            <w:tcBorders>
              <w:top w:val="single" w:color="000000" w:sz="4" w:space="0"/>
              <w:left w:val="single" w:color="000000" w:sz="4" w:space="0"/>
              <w:bottom w:val="single" w:color="000000" w:sz="4" w:space="0"/>
              <w:right w:val="single" w:color="000000" w:sz="4" w:space="0"/>
            </w:tcBorders>
            <w:noWrap w:val="0"/>
            <w:vAlign w:val="center"/>
          </w:tcPr>
          <w:p w14:paraId="05AFA14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fldChar w:fldCharType="begin"/>
            </w:r>
            <w:r>
              <w:rPr>
                <w:rFonts w:hint="eastAsia" w:ascii="宋体" w:hAnsi="宋体" w:eastAsia="宋体" w:cs="宋体"/>
                <w:i w:val="0"/>
                <w:iCs w:val="0"/>
                <w:color w:val="auto"/>
                <w:kern w:val="0"/>
                <w:sz w:val="24"/>
                <w:szCs w:val="24"/>
                <w:highlight w:val="none"/>
                <w:u w:val="none"/>
                <w:lang w:val="en-US" w:eastAsia="zh-CN" w:bidi="ar"/>
              </w:rPr>
              <w:instrText xml:space="preserve"> HYPERLINK "mailto:qycgb@163.com" \o "mailto:qycgb@163.com" </w:instrText>
            </w:r>
            <w:r>
              <w:rPr>
                <w:rFonts w:hint="eastAsia" w:ascii="宋体" w:hAnsi="宋体" w:eastAsia="宋体" w:cs="宋体"/>
                <w:i w:val="0"/>
                <w:iCs w:val="0"/>
                <w:color w:val="auto"/>
                <w:kern w:val="0"/>
                <w:sz w:val="24"/>
                <w:szCs w:val="24"/>
                <w:highlight w:val="none"/>
                <w:u w:val="none"/>
                <w:lang w:val="en-US" w:eastAsia="zh-CN" w:bidi="ar"/>
              </w:rPr>
              <w:fldChar w:fldCharType="separate"/>
            </w:r>
            <w:r>
              <w:rPr>
                <w:rStyle w:val="31"/>
                <w:rFonts w:hint="eastAsia" w:ascii="宋体" w:hAnsi="宋体" w:eastAsia="宋体" w:cs="宋体"/>
                <w:i w:val="0"/>
                <w:iCs w:val="0"/>
                <w:color w:val="auto"/>
                <w:sz w:val="24"/>
                <w:szCs w:val="24"/>
                <w:highlight w:val="none"/>
                <w:u w:val="none"/>
              </w:rPr>
              <w:t>qycgb@163.com</w:t>
            </w:r>
            <w:r>
              <w:rPr>
                <w:rFonts w:hint="eastAsia" w:ascii="宋体" w:hAnsi="宋体" w:eastAsia="宋体" w:cs="宋体"/>
                <w:i w:val="0"/>
                <w:iCs w:val="0"/>
                <w:color w:val="auto"/>
                <w:kern w:val="0"/>
                <w:sz w:val="24"/>
                <w:szCs w:val="24"/>
                <w:highlight w:val="none"/>
                <w:u w:val="none"/>
                <w:lang w:val="en-US" w:eastAsia="zh-CN" w:bidi="ar"/>
              </w:rPr>
              <w:fldChar w:fldCharType="end"/>
            </w:r>
          </w:p>
        </w:tc>
      </w:tr>
      <w:tr w14:paraId="62415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707" w:type="dxa"/>
            <w:tcBorders>
              <w:top w:val="single" w:color="000000" w:sz="4" w:space="0"/>
              <w:left w:val="single" w:color="000000" w:sz="4" w:space="0"/>
              <w:bottom w:val="single" w:color="000000" w:sz="4" w:space="0"/>
              <w:right w:val="single" w:color="000000" w:sz="4" w:space="0"/>
            </w:tcBorders>
            <w:noWrap w:val="0"/>
            <w:vAlign w:val="center"/>
          </w:tcPr>
          <w:p w14:paraId="21C8632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温县财政局</w:t>
            </w:r>
          </w:p>
        </w:tc>
        <w:tc>
          <w:tcPr>
            <w:tcW w:w="3305" w:type="dxa"/>
            <w:tcBorders>
              <w:top w:val="single" w:color="000000" w:sz="4" w:space="0"/>
              <w:left w:val="single" w:color="000000" w:sz="4" w:space="0"/>
              <w:bottom w:val="single" w:color="000000" w:sz="4" w:space="0"/>
              <w:right w:val="single" w:color="000000" w:sz="4" w:space="0"/>
            </w:tcBorders>
            <w:noWrap w:val="0"/>
            <w:vAlign w:val="center"/>
          </w:tcPr>
          <w:p w14:paraId="70AA959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0391-6197778</w:t>
            </w:r>
          </w:p>
        </w:tc>
        <w:tc>
          <w:tcPr>
            <w:tcW w:w="2810" w:type="dxa"/>
            <w:tcBorders>
              <w:top w:val="single" w:color="000000" w:sz="4" w:space="0"/>
              <w:left w:val="single" w:color="000000" w:sz="4" w:space="0"/>
              <w:bottom w:val="single" w:color="000000" w:sz="4" w:space="0"/>
              <w:right w:val="single" w:color="000000" w:sz="4" w:space="0"/>
            </w:tcBorders>
            <w:noWrap w:val="0"/>
            <w:vAlign w:val="center"/>
          </w:tcPr>
          <w:p w14:paraId="675E4B5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fldChar w:fldCharType="begin"/>
            </w:r>
            <w:r>
              <w:rPr>
                <w:rFonts w:hint="eastAsia" w:ascii="宋体" w:hAnsi="宋体" w:eastAsia="宋体" w:cs="宋体"/>
                <w:i w:val="0"/>
                <w:iCs w:val="0"/>
                <w:color w:val="auto"/>
                <w:kern w:val="0"/>
                <w:sz w:val="24"/>
                <w:szCs w:val="24"/>
                <w:highlight w:val="none"/>
                <w:u w:val="none"/>
                <w:lang w:val="en-US" w:eastAsia="zh-CN" w:bidi="ar"/>
              </w:rPr>
              <w:instrText xml:space="preserve"> HYPERLINK "mailto:wxzfcgb@126.com" \o "mailto:wxzfcgb@126.com" </w:instrText>
            </w:r>
            <w:r>
              <w:rPr>
                <w:rFonts w:hint="eastAsia" w:ascii="宋体" w:hAnsi="宋体" w:eastAsia="宋体" w:cs="宋体"/>
                <w:i w:val="0"/>
                <w:iCs w:val="0"/>
                <w:color w:val="auto"/>
                <w:kern w:val="0"/>
                <w:sz w:val="24"/>
                <w:szCs w:val="24"/>
                <w:highlight w:val="none"/>
                <w:u w:val="none"/>
                <w:lang w:val="en-US" w:eastAsia="zh-CN" w:bidi="ar"/>
              </w:rPr>
              <w:fldChar w:fldCharType="separate"/>
            </w:r>
            <w:r>
              <w:rPr>
                <w:rStyle w:val="31"/>
                <w:rFonts w:hint="eastAsia" w:ascii="宋体" w:hAnsi="宋体" w:eastAsia="宋体" w:cs="宋体"/>
                <w:i w:val="0"/>
                <w:iCs w:val="0"/>
                <w:color w:val="auto"/>
                <w:sz w:val="24"/>
                <w:szCs w:val="24"/>
                <w:highlight w:val="none"/>
                <w:u w:val="none"/>
              </w:rPr>
              <w:t>wxzfcgb@126.com</w:t>
            </w:r>
            <w:r>
              <w:rPr>
                <w:rFonts w:hint="eastAsia" w:ascii="宋体" w:hAnsi="宋体" w:eastAsia="宋体" w:cs="宋体"/>
                <w:i w:val="0"/>
                <w:iCs w:val="0"/>
                <w:color w:val="auto"/>
                <w:kern w:val="0"/>
                <w:sz w:val="24"/>
                <w:szCs w:val="24"/>
                <w:highlight w:val="none"/>
                <w:u w:val="none"/>
                <w:lang w:val="en-US" w:eastAsia="zh-CN" w:bidi="ar"/>
              </w:rPr>
              <w:fldChar w:fldCharType="end"/>
            </w:r>
          </w:p>
        </w:tc>
      </w:tr>
      <w:tr w14:paraId="6AFCE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707" w:type="dxa"/>
            <w:tcBorders>
              <w:top w:val="single" w:color="000000" w:sz="4" w:space="0"/>
              <w:left w:val="single" w:color="000000" w:sz="4" w:space="0"/>
              <w:bottom w:val="single" w:color="000000" w:sz="4" w:space="0"/>
              <w:right w:val="single" w:color="000000" w:sz="4" w:space="0"/>
            </w:tcBorders>
            <w:noWrap w:val="0"/>
            <w:vAlign w:val="center"/>
          </w:tcPr>
          <w:p w14:paraId="4DD1DC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孟州市财政局</w:t>
            </w:r>
          </w:p>
        </w:tc>
        <w:tc>
          <w:tcPr>
            <w:tcW w:w="3305" w:type="dxa"/>
            <w:tcBorders>
              <w:top w:val="single" w:color="000000" w:sz="4" w:space="0"/>
              <w:left w:val="single" w:color="000000" w:sz="4" w:space="0"/>
              <w:bottom w:val="single" w:color="000000" w:sz="4" w:space="0"/>
              <w:right w:val="single" w:color="000000" w:sz="4" w:space="0"/>
            </w:tcBorders>
            <w:noWrap w:val="0"/>
            <w:vAlign w:val="center"/>
          </w:tcPr>
          <w:p w14:paraId="505CA7C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0391-8156680</w:t>
            </w:r>
          </w:p>
        </w:tc>
        <w:tc>
          <w:tcPr>
            <w:tcW w:w="2810" w:type="dxa"/>
            <w:tcBorders>
              <w:top w:val="single" w:color="000000" w:sz="4" w:space="0"/>
              <w:left w:val="single" w:color="000000" w:sz="4" w:space="0"/>
              <w:bottom w:val="single" w:color="000000" w:sz="4" w:space="0"/>
              <w:right w:val="single" w:color="000000" w:sz="4" w:space="0"/>
            </w:tcBorders>
            <w:noWrap w:val="0"/>
            <w:vAlign w:val="center"/>
          </w:tcPr>
          <w:p w14:paraId="1893418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fldChar w:fldCharType="begin"/>
            </w:r>
            <w:r>
              <w:rPr>
                <w:rFonts w:hint="eastAsia" w:ascii="宋体" w:hAnsi="宋体" w:eastAsia="宋体" w:cs="宋体"/>
                <w:i w:val="0"/>
                <w:iCs w:val="0"/>
                <w:color w:val="auto"/>
                <w:kern w:val="0"/>
                <w:sz w:val="24"/>
                <w:szCs w:val="24"/>
                <w:highlight w:val="none"/>
                <w:u w:val="none"/>
                <w:lang w:val="en-US" w:eastAsia="zh-CN" w:bidi="ar"/>
              </w:rPr>
              <w:instrText xml:space="preserve"> HYPERLINK "mailto:mzscgb@163.com" \o "mailto:mzscgb@163.com" </w:instrText>
            </w:r>
            <w:r>
              <w:rPr>
                <w:rFonts w:hint="eastAsia" w:ascii="宋体" w:hAnsi="宋体" w:eastAsia="宋体" w:cs="宋体"/>
                <w:i w:val="0"/>
                <w:iCs w:val="0"/>
                <w:color w:val="auto"/>
                <w:kern w:val="0"/>
                <w:sz w:val="24"/>
                <w:szCs w:val="24"/>
                <w:highlight w:val="none"/>
                <w:u w:val="none"/>
                <w:lang w:val="en-US" w:eastAsia="zh-CN" w:bidi="ar"/>
              </w:rPr>
              <w:fldChar w:fldCharType="separate"/>
            </w:r>
            <w:r>
              <w:rPr>
                <w:rStyle w:val="31"/>
                <w:rFonts w:hint="eastAsia" w:ascii="宋体" w:hAnsi="宋体" w:eastAsia="宋体" w:cs="宋体"/>
                <w:i w:val="0"/>
                <w:iCs w:val="0"/>
                <w:color w:val="auto"/>
                <w:sz w:val="24"/>
                <w:szCs w:val="24"/>
                <w:highlight w:val="none"/>
                <w:u w:val="none"/>
              </w:rPr>
              <w:t>mzscgb@163.com</w:t>
            </w:r>
            <w:r>
              <w:rPr>
                <w:rFonts w:hint="eastAsia" w:ascii="宋体" w:hAnsi="宋体" w:eastAsia="宋体" w:cs="宋体"/>
                <w:i w:val="0"/>
                <w:iCs w:val="0"/>
                <w:color w:val="auto"/>
                <w:kern w:val="0"/>
                <w:sz w:val="24"/>
                <w:szCs w:val="24"/>
                <w:highlight w:val="none"/>
                <w:u w:val="none"/>
                <w:lang w:val="en-US" w:eastAsia="zh-CN" w:bidi="ar"/>
              </w:rPr>
              <w:fldChar w:fldCharType="end"/>
            </w:r>
          </w:p>
        </w:tc>
      </w:tr>
      <w:tr w14:paraId="15654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707" w:type="dxa"/>
            <w:tcBorders>
              <w:top w:val="single" w:color="000000" w:sz="4" w:space="0"/>
              <w:left w:val="single" w:color="000000" w:sz="4" w:space="0"/>
              <w:bottom w:val="single" w:color="000000" w:sz="4" w:space="0"/>
              <w:right w:val="single" w:color="000000" w:sz="4" w:space="0"/>
            </w:tcBorders>
            <w:noWrap w:val="0"/>
            <w:vAlign w:val="center"/>
          </w:tcPr>
          <w:p w14:paraId="2BC3B6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武陟县财政局</w:t>
            </w:r>
          </w:p>
        </w:tc>
        <w:tc>
          <w:tcPr>
            <w:tcW w:w="3305" w:type="dxa"/>
            <w:tcBorders>
              <w:top w:val="single" w:color="000000" w:sz="4" w:space="0"/>
              <w:left w:val="single" w:color="000000" w:sz="4" w:space="0"/>
              <w:bottom w:val="single" w:color="000000" w:sz="4" w:space="0"/>
              <w:right w:val="single" w:color="000000" w:sz="4" w:space="0"/>
            </w:tcBorders>
            <w:noWrap w:val="0"/>
            <w:vAlign w:val="center"/>
          </w:tcPr>
          <w:p w14:paraId="4EC12D6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0391-7290461</w:t>
            </w:r>
          </w:p>
        </w:tc>
        <w:tc>
          <w:tcPr>
            <w:tcW w:w="2810" w:type="dxa"/>
            <w:tcBorders>
              <w:top w:val="single" w:color="000000" w:sz="4" w:space="0"/>
              <w:left w:val="single" w:color="000000" w:sz="4" w:space="0"/>
              <w:bottom w:val="single" w:color="000000" w:sz="4" w:space="0"/>
              <w:right w:val="single" w:color="000000" w:sz="4" w:space="0"/>
            </w:tcBorders>
            <w:noWrap w:val="0"/>
            <w:vAlign w:val="center"/>
          </w:tcPr>
          <w:p w14:paraId="3C90BF0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fldChar w:fldCharType="begin"/>
            </w:r>
            <w:r>
              <w:rPr>
                <w:rFonts w:hint="eastAsia" w:ascii="宋体" w:hAnsi="宋体" w:eastAsia="宋体" w:cs="宋体"/>
                <w:i w:val="0"/>
                <w:iCs w:val="0"/>
                <w:color w:val="auto"/>
                <w:kern w:val="0"/>
                <w:sz w:val="24"/>
                <w:szCs w:val="24"/>
                <w:highlight w:val="none"/>
                <w:u w:val="none"/>
                <w:lang w:val="en-US" w:eastAsia="zh-CN" w:bidi="ar"/>
              </w:rPr>
              <w:instrText xml:space="preserve"> HYPERLINK "mailto:wzxcgb7290461@163.com" </w:instrText>
            </w:r>
            <w:r>
              <w:rPr>
                <w:rFonts w:hint="eastAsia" w:ascii="宋体" w:hAnsi="宋体" w:eastAsia="宋体" w:cs="宋体"/>
                <w:i w:val="0"/>
                <w:iCs w:val="0"/>
                <w:color w:val="auto"/>
                <w:kern w:val="0"/>
                <w:sz w:val="24"/>
                <w:szCs w:val="24"/>
                <w:highlight w:val="none"/>
                <w:u w:val="none"/>
                <w:lang w:val="en-US" w:eastAsia="zh-CN" w:bidi="ar"/>
              </w:rPr>
              <w:fldChar w:fldCharType="separate"/>
            </w:r>
            <w:r>
              <w:rPr>
                <w:rStyle w:val="31"/>
                <w:rFonts w:hint="eastAsia" w:ascii="宋体" w:hAnsi="宋体" w:eastAsia="宋体" w:cs="宋体"/>
                <w:i w:val="0"/>
                <w:iCs w:val="0"/>
                <w:color w:val="auto"/>
                <w:sz w:val="24"/>
                <w:szCs w:val="24"/>
                <w:highlight w:val="none"/>
                <w:u w:val="none"/>
              </w:rPr>
              <w:t>wzxcgb7290461@163.com</w:t>
            </w:r>
            <w:r>
              <w:rPr>
                <w:rFonts w:hint="eastAsia" w:ascii="宋体" w:hAnsi="宋体" w:eastAsia="宋体" w:cs="宋体"/>
                <w:i w:val="0"/>
                <w:iCs w:val="0"/>
                <w:color w:val="auto"/>
                <w:kern w:val="0"/>
                <w:sz w:val="24"/>
                <w:szCs w:val="24"/>
                <w:highlight w:val="none"/>
                <w:u w:val="none"/>
                <w:lang w:val="en-US" w:eastAsia="zh-CN" w:bidi="ar"/>
              </w:rPr>
              <w:fldChar w:fldCharType="end"/>
            </w:r>
          </w:p>
        </w:tc>
      </w:tr>
    </w:tbl>
    <w:p w14:paraId="63FBC74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在政府采购活动中，若发现采购人或采购代理机构未按以上政策执行的，可按项目归属地向同级财政监督部门举报反映。</w:t>
      </w:r>
    </w:p>
    <w:p w14:paraId="3A6634D6">
      <w:pPr>
        <w:rPr>
          <w:rFonts w:hint="eastAsia" w:ascii="仿宋_GB2312" w:hAnsi="仿宋_GB2312" w:eastAsia="仿宋_GB2312" w:cs="仿宋_GB2312"/>
          <w:color w:val="auto"/>
          <w:sz w:val="32"/>
          <w:szCs w:val="32"/>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7FF27C4E">
      <w:pPr>
        <w:rPr>
          <w:rFonts w:hint="eastAsia" w:ascii="仿宋_GB2312" w:hAnsi="仿宋_GB2312" w:eastAsia="仿宋_GB2312" w:cs="仿宋_GB2312"/>
          <w:color w:val="auto"/>
          <w:sz w:val="32"/>
          <w:szCs w:val="32"/>
          <w:highlight w:val="none"/>
          <w:lang w:val="en-US" w:eastAsia="zh-CN"/>
        </w:rPr>
        <w:sectPr>
          <w:pgSz w:w="11906" w:h="16838"/>
          <w:pgMar w:top="1440" w:right="1803" w:bottom="1440" w:left="1803" w:header="851" w:footer="992" w:gutter="0"/>
          <w:pgBorders>
            <w:top w:val="none" w:sz="0" w:space="0"/>
            <w:left w:val="none" w:sz="0" w:space="0"/>
            <w:bottom w:val="none" w:sz="0" w:space="0"/>
            <w:right w:val="none" w:sz="0" w:space="0"/>
          </w:pgBorders>
          <w:cols w:space="720" w:num="1"/>
          <w:rtlGutter w:val="0"/>
          <w:docGrid w:type="lines" w:linePitch="319" w:charSpace="0"/>
        </w:sectPr>
      </w:pPr>
      <w:r>
        <w:rPr>
          <w:rFonts w:hint="eastAsia" w:ascii="仿宋_GB2312" w:hAnsi="仿宋_GB2312" w:eastAsia="仿宋_GB2312" w:cs="仿宋_GB2312"/>
          <w:color w:val="auto"/>
          <w:sz w:val="32"/>
          <w:szCs w:val="32"/>
          <w:highlight w:val="none"/>
          <w:lang w:val="en-US" w:eastAsia="zh-CN"/>
        </w:rPr>
        <w:drawing>
          <wp:anchor distT="0" distB="0" distL="114300" distR="114300" simplePos="0" relativeHeight="251660288" behindDoc="1" locked="0" layoutInCell="1" allowOverlap="1">
            <wp:simplePos x="0" y="0"/>
            <wp:positionH relativeFrom="column">
              <wp:posOffset>2895600</wp:posOffset>
            </wp:positionH>
            <wp:positionV relativeFrom="paragraph">
              <wp:posOffset>1564640</wp:posOffset>
            </wp:positionV>
            <wp:extent cx="2451100" cy="3275330"/>
            <wp:effectExtent l="0" t="0" r="6350" b="1270"/>
            <wp:wrapNone/>
            <wp:docPr id="5" name="图片 1" descr="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poster"/>
                    <pic:cNvPicPr>
                      <a:picLocks noChangeAspect="1"/>
                    </pic:cNvPicPr>
                  </pic:nvPicPr>
                  <pic:blipFill>
                    <a:blip r:embed="rId16"/>
                    <a:stretch>
                      <a:fillRect/>
                    </a:stretch>
                  </pic:blipFill>
                  <pic:spPr>
                    <a:xfrm>
                      <a:off x="0" y="0"/>
                      <a:ext cx="2451100" cy="3275330"/>
                    </a:xfrm>
                    <a:prstGeom prst="rect">
                      <a:avLst/>
                    </a:prstGeom>
                    <a:noFill/>
                    <a:ln>
                      <a:noFill/>
                    </a:ln>
                  </pic:spPr>
                </pic:pic>
              </a:graphicData>
            </a:graphic>
          </wp:anchor>
        </w:drawing>
      </w:r>
      <w:r>
        <w:rPr>
          <w:rFonts w:hint="eastAsia" w:ascii="仿宋_GB2312" w:hAnsi="仿宋_GB2312" w:eastAsia="仿宋_GB2312" w:cs="仿宋_GB2312"/>
          <w:color w:val="auto"/>
          <w:sz w:val="32"/>
          <w:szCs w:val="32"/>
          <w:highlight w:val="none"/>
          <w:lang w:val="en-US" w:eastAsia="zh-CN"/>
        </w:rPr>
        <w:drawing>
          <wp:anchor distT="0" distB="0" distL="114300" distR="114300" simplePos="0" relativeHeight="251661312" behindDoc="1" locked="0" layoutInCell="1" allowOverlap="1">
            <wp:simplePos x="0" y="0"/>
            <wp:positionH relativeFrom="column">
              <wp:posOffset>53975</wp:posOffset>
            </wp:positionH>
            <wp:positionV relativeFrom="paragraph">
              <wp:posOffset>207645</wp:posOffset>
            </wp:positionV>
            <wp:extent cx="2583180" cy="5167630"/>
            <wp:effectExtent l="0" t="0" r="7620" b="13970"/>
            <wp:wrapNone/>
            <wp:docPr id="6" name="图片 2" descr="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640"/>
                    <pic:cNvPicPr>
                      <a:picLocks noChangeAspect="1"/>
                    </pic:cNvPicPr>
                  </pic:nvPicPr>
                  <pic:blipFill>
                    <a:blip r:embed="rId17"/>
                    <a:stretch>
                      <a:fillRect/>
                    </a:stretch>
                  </pic:blipFill>
                  <pic:spPr>
                    <a:xfrm>
                      <a:off x="0" y="0"/>
                      <a:ext cx="2583180" cy="5167630"/>
                    </a:xfrm>
                    <a:prstGeom prst="rect">
                      <a:avLst/>
                    </a:prstGeom>
                    <a:noFill/>
                    <a:ln>
                      <a:noFill/>
                    </a:ln>
                  </pic:spPr>
                </pic:pic>
              </a:graphicData>
            </a:graphic>
          </wp:anchor>
        </w:drawing>
      </w:r>
    </w:p>
    <w:p w14:paraId="7A801BC4">
      <w:pPr>
        <w:jc w:val="center"/>
        <w:rPr>
          <w:color w:val="auto"/>
          <w:highlight w:val="none"/>
        </w:rPr>
      </w:pPr>
      <w:r>
        <w:rPr>
          <w:rFonts w:ascii="䅂䍄䕅⯋컌" w:hAnsi="䅂䍄䕅⯋컌" w:eastAsia="䅂䍄䕅⯋컌" w:cs="䅂䍄䕅⯋컌"/>
          <w:b/>
          <w:bCs/>
          <w:color w:val="auto"/>
          <w:kern w:val="0"/>
          <w:sz w:val="43"/>
          <w:szCs w:val="43"/>
          <w:highlight w:val="none"/>
          <w:lang w:val="en-US" w:eastAsia="zh-CN" w:bidi="ar"/>
        </w:rPr>
        <w:t>政府采购合同融资政策</w:t>
      </w:r>
    </w:p>
    <w:p w14:paraId="5812CC26">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仿宋_GB2312" w:hAnsi="仿宋_GB2312" w:eastAsia="仿宋_GB2312" w:cs="仿宋_GB2312"/>
          <w:color w:val="auto"/>
          <w:sz w:val="32"/>
          <w:szCs w:val="32"/>
          <w:highlight w:val="none"/>
          <w:lang w:val="en-US" w:eastAsia="zh-CN"/>
        </w:rPr>
      </w:pPr>
    </w:p>
    <w:p w14:paraId="2347718D">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 xml:space="preserve">为充分发挥政府采购合同资金支付有保障的优势，进一步优化我市营商环境，针对中小微企业融资难、融资贵问题，焦作市财政局联合有关部门推出了以政府采购合同预期支付能力为信用的融资政策。 </w:t>
      </w:r>
    </w:p>
    <w:p w14:paraId="3C28593D">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 xml:space="preserve">政府采购合同融资，是指参与政府采购并中标（成交）的中小微企业供应商，凭借政府采购合同向开展融资业务的服务机构申请融资贷款，融资服务机构以信贷政策为基础提供无抵押、免担保、低利率的融资产品。 </w:t>
      </w:r>
    </w:p>
    <w:p w14:paraId="5954FC6C">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政府采购项目中标（成交）的供应商，有融资意向的，可登陆“焦作市政府采购网”（网址：http://jiaozuo.hngp.gov.cn）的政府采购合同融资平台，查看各融资服务机构的融资产品，同时可在线向融资服务机构申请贷款，融资服务机构按照程序向您提供便捷、高效、优惠的贷款服务。</w:t>
      </w:r>
    </w:p>
    <w:p w14:paraId="551A32C3">
      <w:pPr>
        <w:rPr>
          <w:rFonts w:hint="eastAsia" w:ascii="䅂䍄䕅⯋컌" w:hAnsi="䅂䍄䕅⯋컌" w:eastAsia="䅂䍄䕅⯋컌" w:cs="䅂䍄䕅⯋컌"/>
          <w:color w:val="auto"/>
          <w:kern w:val="0"/>
          <w:sz w:val="28"/>
          <w:szCs w:val="28"/>
          <w:highlight w:val="none"/>
          <w:lang w:val="en-US" w:eastAsia="zh-CN" w:bidi="ar"/>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6FFE3A45">
      <w:pPr>
        <w:pStyle w:val="11"/>
        <w:rPr>
          <w:rFonts w:hint="eastAsia"/>
          <w:color w:val="auto"/>
          <w:highlight w:val="none"/>
          <w:lang w:val="en-US" w:eastAsia="zh-CN"/>
        </w:rPr>
      </w:pPr>
    </w:p>
    <w:p w14:paraId="3B20072E">
      <w:pPr>
        <w:widowControl/>
        <w:shd w:val="clear" w:color="auto" w:fill="FFFFFF"/>
        <w:tabs>
          <w:tab w:val="left" w:pos="0"/>
        </w:tabs>
        <w:ind w:left="0" w:leftChars="0" w:firstLine="2098" w:firstLineChars="477"/>
        <w:jc w:val="center"/>
        <w:rPr>
          <w:rFonts w:hint="eastAsia" w:ascii="方正小标宋简体" w:hAnsi="宋体" w:eastAsia="方正小标宋简体" w:cs="宋体"/>
          <w:color w:val="auto"/>
          <w:kern w:val="0"/>
          <w:sz w:val="44"/>
          <w:szCs w:val="44"/>
          <w:highlight w:val="none"/>
        </w:rPr>
      </w:pPr>
      <w:r>
        <w:rPr>
          <w:rFonts w:hint="eastAsia" w:ascii="方正小标宋简体" w:hAnsi="宋体" w:eastAsia="方正小标宋简体" w:cs="宋体"/>
          <w:color w:val="auto"/>
          <w:kern w:val="0"/>
          <w:sz w:val="44"/>
          <w:szCs w:val="44"/>
          <w:highlight w:val="none"/>
        </w:rPr>
        <w:t>政府采购合同融资操作流程图</w:t>
      </w:r>
    </w:p>
    <w:p w14:paraId="75B45F4B">
      <w:pPr>
        <w:widowControl/>
        <w:shd w:val="clear" w:color="auto" w:fill="FFFFFF"/>
        <w:tabs>
          <w:tab w:val="left" w:pos="0"/>
        </w:tabs>
        <w:ind w:left="0" w:leftChars="0" w:firstLine="0" w:firstLineChars="0"/>
        <w:rPr>
          <w:rFonts w:hint="eastAsia" w:ascii="仿宋_GB2312" w:hAnsi="宋体" w:eastAsia="仿宋_GB2312" w:cs="宋体"/>
          <w:color w:val="auto"/>
          <w:kern w:val="0"/>
          <w:sz w:val="32"/>
          <w:szCs w:val="32"/>
          <w:highlight w:val="none"/>
        </w:rPr>
      </w:pPr>
      <w:r>
        <w:rPr>
          <w:rFonts w:ascii="仿宋_GB2312" w:hAnsi="宋体" w:eastAsia="仿宋_GB2312" w:cs="宋体"/>
          <w:color w:val="auto"/>
          <w:kern w:val="0"/>
          <w:sz w:val="32"/>
          <w:szCs w:val="32"/>
          <w:highlight w:val="none"/>
        </w:rPr>
        <mc:AlternateContent>
          <mc:Choice Requires="wpc">
            <w:drawing>
              <wp:inline distT="0" distB="0" distL="114300" distR="114300">
                <wp:extent cx="5915660" cy="7372985"/>
                <wp:effectExtent l="0" t="0" r="27940" b="0"/>
                <wp:docPr id="1" name="画布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5" name="矩形 85"/>
                        <wps:cNvSpPr/>
                        <wps:spPr>
                          <a:xfrm>
                            <a:off x="394970" y="1102995"/>
                            <a:ext cx="1382395" cy="36766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3C3CF9D">
                              <w:pPr>
                                <w:jc w:val="center"/>
                                <w:rPr>
                                  <w:rFonts w:hint="eastAsia" w:ascii="宋体" w:hAnsi="宋体"/>
                                  <w:szCs w:val="21"/>
                                </w:rPr>
                              </w:pPr>
                              <w:r>
                                <w:rPr>
                                  <w:rFonts w:hint="eastAsia" w:ascii="宋体" w:hAnsi="宋体"/>
                                  <w:szCs w:val="21"/>
                                </w:rPr>
                                <w:t>中小微企业申请</w:t>
                              </w:r>
                            </w:p>
                            <w:p w14:paraId="63958AD5">
                              <w:pPr>
                                <w:jc w:val="center"/>
                                <w:rPr>
                                  <w:rFonts w:hint="eastAsia" w:ascii="宋体" w:hAnsi="宋体"/>
                                  <w:sz w:val="24"/>
                                </w:rPr>
                              </w:pPr>
                            </w:p>
                          </w:txbxContent>
                        </wps:txbx>
                        <wps:bodyPr upright="1"/>
                      </wps:wsp>
                      <wps:wsp>
                        <wps:cNvPr id="86" name="矩形 86"/>
                        <wps:cNvSpPr/>
                        <wps:spPr>
                          <a:xfrm>
                            <a:off x="2172335" y="883920"/>
                            <a:ext cx="3752216" cy="95440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C5AB3BC">
                              <w:pPr>
                                <w:rPr>
                                  <w:rFonts w:hint="eastAsia"/>
                                </w:rPr>
                              </w:pPr>
                              <w:r>
                                <w:rPr>
                                  <w:rFonts w:hint="eastAsia" w:ascii="宋体" w:hAnsi="宋体"/>
                                  <w:szCs w:val="21"/>
                                </w:rPr>
                                <w:t>依据中标（成交）通知书，</w:t>
                              </w:r>
                              <w:r>
                                <w:rPr>
                                  <w:rFonts w:hint="eastAsia"/>
                                </w:rPr>
                                <w:t>登陆焦作市政府采购网的“办事指南”栏，对照各融资服务机构融资方案，选择符合自身的融资产品，与融资机构对接，提供相关资料。</w:t>
                              </w:r>
                            </w:p>
                          </w:txbxContent>
                        </wps:txbx>
                        <wps:bodyPr upright="1"/>
                      </wps:wsp>
                      <wps:wsp>
                        <wps:cNvPr id="87" name="直接连接符 87"/>
                        <wps:cNvCnPr/>
                        <wps:spPr>
                          <a:xfrm>
                            <a:off x="1777365" y="1280160"/>
                            <a:ext cx="394970" cy="635"/>
                          </a:xfrm>
                          <a:prstGeom prst="line">
                            <a:avLst/>
                          </a:prstGeom>
                          <a:ln w="9525" cap="flat" cmpd="sng">
                            <a:solidFill>
                              <a:srgbClr val="000000"/>
                            </a:solidFill>
                            <a:prstDash val="solid"/>
                            <a:headEnd type="none" w="med" len="med"/>
                            <a:tailEnd type="triangle" w="med" len="med"/>
                          </a:ln>
                          <a:effectLst/>
                        </wps:spPr>
                        <wps:bodyPr upright="1"/>
                      </wps:wsp>
                      <wps:wsp>
                        <wps:cNvPr id="88" name="矩形 88"/>
                        <wps:cNvSpPr/>
                        <wps:spPr>
                          <a:xfrm>
                            <a:off x="394970" y="2941320"/>
                            <a:ext cx="1382395" cy="7353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38BD3ED">
                              <w:pPr>
                                <w:rPr>
                                  <w:rFonts w:hint="eastAsia"/>
                                </w:rPr>
                              </w:pPr>
                            </w:p>
                            <w:p w14:paraId="17608425">
                              <w:pPr>
                                <w:jc w:val="center"/>
                                <w:rPr>
                                  <w:rFonts w:hint="eastAsia"/>
                                </w:rPr>
                              </w:pPr>
                              <w:r>
                                <w:rPr>
                                  <w:rFonts w:hint="eastAsia"/>
                                </w:rPr>
                                <w:t>开设收款账户</w:t>
                              </w:r>
                            </w:p>
                            <w:p w14:paraId="1499FDF4">
                              <w:pPr>
                                <w:jc w:val="center"/>
                                <w:rPr>
                                  <w:rFonts w:hint="eastAsia"/>
                                </w:rPr>
                              </w:pPr>
                              <w:r>
                                <w:rPr>
                                  <w:rFonts w:hint="eastAsia"/>
                                </w:rPr>
                                <w:t>签订政府采购合同</w:t>
                              </w:r>
                            </w:p>
                          </w:txbxContent>
                        </wps:txbx>
                        <wps:bodyPr upright="1"/>
                      </wps:wsp>
                      <wps:wsp>
                        <wps:cNvPr id="89" name="直接连接符 89"/>
                        <wps:cNvCnPr/>
                        <wps:spPr>
                          <a:xfrm>
                            <a:off x="1777365" y="3308985"/>
                            <a:ext cx="394970" cy="635"/>
                          </a:xfrm>
                          <a:prstGeom prst="line">
                            <a:avLst/>
                          </a:prstGeom>
                          <a:ln w="9525" cap="flat" cmpd="sng">
                            <a:solidFill>
                              <a:srgbClr val="000000"/>
                            </a:solidFill>
                            <a:prstDash val="solid"/>
                            <a:headEnd type="none" w="med" len="med"/>
                            <a:tailEnd type="triangle" w="med" len="med"/>
                          </a:ln>
                          <a:effectLst/>
                        </wps:spPr>
                        <wps:bodyPr upright="1"/>
                      </wps:wsp>
                      <wps:wsp>
                        <wps:cNvPr id="90" name="矩形 90"/>
                        <wps:cNvSpPr/>
                        <wps:spPr>
                          <a:xfrm>
                            <a:off x="394970" y="6250305"/>
                            <a:ext cx="1382395" cy="7353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6E09CAB">
                              <w:pPr>
                                <w:jc w:val="center"/>
                                <w:rPr>
                                  <w:rFonts w:hint="eastAsia"/>
                                </w:rPr>
                              </w:pPr>
                            </w:p>
                            <w:p w14:paraId="3522904A">
                              <w:pPr>
                                <w:jc w:val="center"/>
                                <w:rPr>
                                  <w:rFonts w:hint="eastAsia"/>
                                </w:rPr>
                              </w:pPr>
                              <w:r>
                                <w:rPr>
                                  <w:rFonts w:hint="eastAsia"/>
                                </w:rPr>
                                <w:t>合同资金支付及还贷</w:t>
                              </w:r>
                            </w:p>
                          </w:txbxContent>
                        </wps:txbx>
                        <wps:bodyPr upright="1"/>
                      </wps:wsp>
                      <wps:wsp>
                        <wps:cNvPr id="91" name="直接连接符 91"/>
                        <wps:cNvCnPr/>
                        <wps:spPr>
                          <a:xfrm>
                            <a:off x="1777365" y="6617970"/>
                            <a:ext cx="394970" cy="635"/>
                          </a:xfrm>
                          <a:prstGeom prst="line">
                            <a:avLst/>
                          </a:prstGeom>
                          <a:ln w="9525" cap="flat" cmpd="sng">
                            <a:solidFill>
                              <a:srgbClr val="000000"/>
                            </a:solidFill>
                            <a:prstDash val="solid"/>
                            <a:headEnd type="none" w="med" len="med"/>
                            <a:tailEnd type="triangle" w="med" len="med"/>
                          </a:ln>
                          <a:effectLst/>
                        </wps:spPr>
                        <wps:bodyPr upright="1"/>
                      </wps:wsp>
                      <wps:wsp>
                        <wps:cNvPr id="92" name="矩形 92"/>
                        <wps:cNvSpPr/>
                        <wps:spPr>
                          <a:xfrm>
                            <a:off x="2172335" y="6250305"/>
                            <a:ext cx="3752216" cy="7353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C278897">
                              <w:pPr>
                                <w:rPr>
                                  <w:rFonts w:hint="eastAsia"/>
                                </w:rPr>
                              </w:pPr>
                              <w:r>
                                <w:rPr>
                                  <w:rFonts w:hint="eastAsia"/>
                                </w:rPr>
                                <w:t>中小微企业按照合同约定履约，采购人及时开展履约验收，融资服务机构加强管理，及时锁定合同回款资金。</w:t>
                              </w:r>
                            </w:p>
                          </w:txbxContent>
                        </wps:txbx>
                        <wps:bodyPr upright="1"/>
                      </wps:wsp>
                      <wps:wsp>
                        <wps:cNvPr id="93" name="矩形 93"/>
                        <wps:cNvSpPr/>
                        <wps:spPr>
                          <a:xfrm>
                            <a:off x="387350" y="39370"/>
                            <a:ext cx="1382395" cy="7353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201ED9B">
                              <w:pPr>
                                <w:jc w:val="center"/>
                                <w:rPr>
                                  <w:rFonts w:hint="eastAsia" w:ascii="宋体" w:hAnsi="宋体"/>
                                  <w:sz w:val="24"/>
                                </w:rPr>
                              </w:pPr>
                              <w:r>
                                <w:rPr>
                                  <w:rFonts w:hint="eastAsia" w:ascii="宋体" w:hAnsi="宋体"/>
                                  <w:szCs w:val="21"/>
                                </w:rPr>
                                <w:t>中小微企业领取中标（成交）通知书</w:t>
                              </w:r>
                            </w:p>
                          </w:txbxContent>
                        </wps:txbx>
                        <wps:bodyPr upright="1"/>
                      </wps:wsp>
                      <wps:wsp>
                        <wps:cNvPr id="94" name="直接连接符 94"/>
                        <wps:cNvCnPr/>
                        <wps:spPr>
                          <a:xfrm>
                            <a:off x="1777365" y="367665"/>
                            <a:ext cx="394970" cy="635"/>
                          </a:xfrm>
                          <a:prstGeom prst="line">
                            <a:avLst/>
                          </a:prstGeom>
                          <a:ln w="9525" cap="flat" cmpd="sng">
                            <a:solidFill>
                              <a:srgbClr val="000000"/>
                            </a:solidFill>
                            <a:prstDash val="solid"/>
                            <a:headEnd type="none" w="med" len="med"/>
                            <a:tailEnd type="triangle" w="med" len="med"/>
                          </a:ln>
                          <a:effectLst/>
                        </wps:spPr>
                        <wps:bodyPr upright="1"/>
                      </wps:wsp>
                      <wps:wsp>
                        <wps:cNvPr id="95" name="矩形 95"/>
                        <wps:cNvSpPr/>
                        <wps:spPr>
                          <a:xfrm>
                            <a:off x="2148205" y="55880"/>
                            <a:ext cx="3752216" cy="7353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790CAD6">
                              <w:pPr>
                                <w:rPr>
                                  <w:rFonts w:hint="eastAsia" w:ascii="宋体" w:hAnsi="宋体"/>
                                  <w:szCs w:val="21"/>
                                </w:rPr>
                              </w:pPr>
                              <w:r>
                                <w:rPr>
                                  <w:rFonts w:hint="eastAsia" w:ascii="宋体" w:hAnsi="宋体"/>
                                  <w:szCs w:val="21"/>
                                </w:rPr>
                                <w:t>采购人或采购代理机构在焦作市政府采购网发布中标（成交）结果公告，同时发出中标（成交）通知书。</w:t>
                              </w:r>
                            </w:p>
                          </w:txbxContent>
                        </wps:txbx>
                        <wps:bodyPr upright="1"/>
                      </wps:wsp>
                      <wps:wsp>
                        <wps:cNvPr id="96" name="直接连接符 96"/>
                        <wps:cNvCnPr/>
                        <wps:spPr>
                          <a:xfrm>
                            <a:off x="1092200" y="774700"/>
                            <a:ext cx="635" cy="328295"/>
                          </a:xfrm>
                          <a:prstGeom prst="line">
                            <a:avLst/>
                          </a:prstGeom>
                          <a:ln w="9525" cap="flat" cmpd="sng">
                            <a:solidFill>
                              <a:srgbClr val="000000"/>
                            </a:solidFill>
                            <a:prstDash val="solid"/>
                            <a:headEnd type="none" w="med" len="med"/>
                            <a:tailEnd type="triangle" w="med" len="med"/>
                          </a:ln>
                          <a:effectLst/>
                        </wps:spPr>
                        <wps:bodyPr upright="1"/>
                      </wps:wsp>
                      <wps:wsp>
                        <wps:cNvPr id="97" name="矩形 97"/>
                        <wps:cNvSpPr/>
                        <wps:spPr>
                          <a:xfrm>
                            <a:off x="394970" y="1838325"/>
                            <a:ext cx="1382395" cy="7353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2A9052F">
                              <w:pPr>
                                <w:rPr>
                                  <w:rFonts w:hint="eastAsia"/>
                                </w:rPr>
                              </w:pPr>
                            </w:p>
                            <w:p w14:paraId="7507A4BA">
                              <w:pPr>
                                <w:jc w:val="center"/>
                                <w:rPr>
                                  <w:rFonts w:hint="eastAsia"/>
                                </w:rPr>
                              </w:pPr>
                              <w:r>
                                <w:rPr>
                                  <w:rFonts w:hint="eastAsia"/>
                                </w:rPr>
                                <w:t>融资服务机构审查</w:t>
                              </w:r>
                            </w:p>
                          </w:txbxContent>
                        </wps:txbx>
                        <wps:bodyPr upright="1"/>
                      </wps:wsp>
                      <wps:wsp>
                        <wps:cNvPr id="98" name="直接连接符 98"/>
                        <wps:cNvCnPr/>
                        <wps:spPr>
                          <a:xfrm>
                            <a:off x="1092200" y="1470660"/>
                            <a:ext cx="635" cy="367665"/>
                          </a:xfrm>
                          <a:prstGeom prst="line">
                            <a:avLst/>
                          </a:prstGeom>
                          <a:ln w="9525" cap="flat" cmpd="sng">
                            <a:solidFill>
                              <a:srgbClr val="000000"/>
                            </a:solidFill>
                            <a:prstDash val="solid"/>
                            <a:headEnd type="none" w="med" len="med"/>
                            <a:tailEnd type="triangle" w="med" len="med"/>
                          </a:ln>
                          <a:effectLst/>
                        </wps:spPr>
                        <wps:bodyPr upright="1"/>
                      </wps:wsp>
                      <wps:wsp>
                        <wps:cNvPr id="99" name="直接连接符 99"/>
                        <wps:cNvCnPr/>
                        <wps:spPr>
                          <a:xfrm>
                            <a:off x="1777365" y="2278380"/>
                            <a:ext cx="394970" cy="635"/>
                          </a:xfrm>
                          <a:prstGeom prst="line">
                            <a:avLst/>
                          </a:prstGeom>
                          <a:ln w="9525" cap="flat" cmpd="sng">
                            <a:solidFill>
                              <a:srgbClr val="000000"/>
                            </a:solidFill>
                            <a:prstDash val="solid"/>
                            <a:headEnd type="none" w="med" len="med"/>
                            <a:tailEnd type="triangle" w="med" len="med"/>
                          </a:ln>
                          <a:effectLst/>
                        </wps:spPr>
                        <wps:bodyPr upright="1"/>
                      </wps:wsp>
                      <wps:wsp>
                        <wps:cNvPr id="100" name="矩形 100"/>
                        <wps:cNvSpPr/>
                        <wps:spPr>
                          <a:xfrm>
                            <a:off x="2172335" y="1958340"/>
                            <a:ext cx="3752216" cy="61531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4992770">
                              <w:pPr>
                                <w:rPr>
                                  <w:rFonts w:hint="eastAsia"/>
                                </w:rPr>
                              </w:pPr>
                              <w:r>
                                <w:rPr>
                                  <w:rFonts w:hint="eastAsia" w:ascii="宋体" w:hAnsi="宋体"/>
                                  <w:szCs w:val="21"/>
                                </w:rPr>
                                <w:t>对有融资意向的中小微企业，按规定开展审查，申请材料齐全完备的，一般在7个工作日内完成审批</w:t>
                              </w:r>
                              <w:r>
                                <w:rPr>
                                  <w:rFonts w:hint="eastAsia"/>
                                </w:rPr>
                                <w:t>。</w:t>
                              </w:r>
                            </w:p>
                          </w:txbxContent>
                        </wps:txbx>
                        <wps:bodyPr upright="1"/>
                      </wps:wsp>
                      <wps:wsp>
                        <wps:cNvPr id="101" name="直接连接符 101"/>
                        <wps:cNvCnPr/>
                        <wps:spPr>
                          <a:xfrm>
                            <a:off x="1073150" y="2573655"/>
                            <a:ext cx="635" cy="367665"/>
                          </a:xfrm>
                          <a:prstGeom prst="line">
                            <a:avLst/>
                          </a:prstGeom>
                          <a:ln w="9525" cap="flat" cmpd="sng">
                            <a:solidFill>
                              <a:srgbClr val="000000"/>
                            </a:solidFill>
                            <a:prstDash val="solid"/>
                            <a:headEnd type="none" w="med" len="med"/>
                            <a:tailEnd type="triangle" w="med" len="med"/>
                          </a:ln>
                          <a:effectLst/>
                        </wps:spPr>
                        <wps:bodyPr upright="1"/>
                      </wps:wsp>
                      <wps:wsp>
                        <wps:cNvPr id="102" name="矩形 102"/>
                        <wps:cNvSpPr/>
                        <wps:spPr>
                          <a:xfrm>
                            <a:off x="2172335" y="2884170"/>
                            <a:ext cx="3752216" cy="8877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3E88808">
                              <w:pPr>
                                <w:rPr>
                                  <w:rFonts w:hint="eastAsia"/>
                                </w:rPr>
                              </w:pPr>
                              <w:r>
                                <w:rPr>
                                  <w:rFonts w:hint="eastAsia" w:ascii="宋体" w:hAnsi="宋体"/>
                                  <w:szCs w:val="21"/>
                                </w:rPr>
                                <w:t>中小微企业按照融资服务机构要求，开设收款账户，并在中标（成交）通知书发出</w:t>
                              </w:r>
                              <w:r>
                                <w:rPr>
                                  <w:rFonts w:hint="eastAsia" w:ascii="宋体" w:hAnsi="宋体"/>
                                  <w:szCs w:val="21"/>
                                  <w:lang w:eastAsia="zh-CN"/>
                                </w:rPr>
                                <w:t>后及时</w:t>
                              </w:r>
                              <w:r>
                                <w:rPr>
                                  <w:rFonts w:hint="eastAsia" w:ascii="宋体" w:hAnsi="宋体"/>
                                  <w:szCs w:val="21"/>
                                </w:rPr>
                                <w:t>签订政府采购合同（政府采购合同已签订的，需变更约定收款账户的，中小微企业向采购人申请，变更收款账户）。</w:t>
                              </w:r>
                            </w:p>
                          </w:txbxContent>
                        </wps:txbx>
                        <wps:bodyPr upright="1"/>
                      </wps:wsp>
                      <wps:wsp>
                        <wps:cNvPr id="103" name="矩形 103"/>
                        <wps:cNvSpPr/>
                        <wps:spPr>
                          <a:xfrm>
                            <a:off x="394970" y="4044315"/>
                            <a:ext cx="1382395" cy="7353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8F971B0">
                              <w:pPr>
                                <w:rPr>
                                  <w:rFonts w:hint="eastAsia"/>
                                </w:rPr>
                              </w:pPr>
                            </w:p>
                            <w:p w14:paraId="772D6326">
                              <w:pPr>
                                <w:jc w:val="center"/>
                                <w:rPr>
                                  <w:rFonts w:hint="eastAsia"/>
                                </w:rPr>
                              </w:pPr>
                              <w:r>
                                <w:rPr>
                                  <w:rFonts w:hint="eastAsia"/>
                                </w:rPr>
                                <w:t>政府采购合同备案</w:t>
                              </w:r>
                            </w:p>
                          </w:txbxContent>
                        </wps:txbx>
                        <wps:bodyPr upright="1"/>
                      </wps:wsp>
                      <wps:wsp>
                        <wps:cNvPr id="104" name="直接连接符 104"/>
                        <wps:cNvCnPr/>
                        <wps:spPr>
                          <a:xfrm>
                            <a:off x="1777365" y="4411980"/>
                            <a:ext cx="394970" cy="635"/>
                          </a:xfrm>
                          <a:prstGeom prst="line">
                            <a:avLst/>
                          </a:prstGeom>
                          <a:ln w="9525" cap="flat" cmpd="sng">
                            <a:solidFill>
                              <a:srgbClr val="000000"/>
                            </a:solidFill>
                            <a:prstDash val="solid"/>
                            <a:headEnd type="none" w="med" len="med"/>
                            <a:tailEnd type="triangle" w="med" len="med"/>
                          </a:ln>
                          <a:effectLst/>
                        </wps:spPr>
                        <wps:bodyPr upright="1"/>
                      </wps:wsp>
                      <wps:wsp>
                        <wps:cNvPr id="105" name="矩形 105"/>
                        <wps:cNvSpPr/>
                        <wps:spPr>
                          <a:xfrm>
                            <a:off x="2172335" y="5147310"/>
                            <a:ext cx="3752216" cy="7353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647ED9E">
                              <w:pPr>
                                <w:rPr>
                                  <w:rFonts w:hint="eastAsia"/>
                                </w:rPr>
                              </w:pPr>
                            </w:p>
                            <w:p w14:paraId="6B4C5D96">
                              <w:pPr>
                                <w:rPr>
                                  <w:rFonts w:hint="eastAsia"/>
                                </w:rPr>
                              </w:pPr>
                              <w:r>
                                <w:rPr>
                                  <w:rFonts w:hint="eastAsia"/>
                                </w:rPr>
                                <w:t>融资服务机构确认合同的真实性后，5个工作日内完成放款。</w:t>
                              </w:r>
                            </w:p>
                          </w:txbxContent>
                        </wps:txbx>
                        <wps:bodyPr upright="1"/>
                      </wps:wsp>
                      <wps:wsp>
                        <wps:cNvPr id="106" name="矩形 106"/>
                        <wps:cNvSpPr/>
                        <wps:spPr>
                          <a:xfrm>
                            <a:off x="394970" y="5147310"/>
                            <a:ext cx="1382395" cy="7353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4A60C4D">
                              <w:pPr>
                                <w:rPr>
                                  <w:rFonts w:hint="eastAsia"/>
                                </w:rPr>
                              </w:pPr>
                            </w:p>
                            <w:p w14:paraId="748AD70C">
                              <w:pPr>
                                <w:jc w:val="center"/>
                                <w:rPr>
                                  <w:rFonts w:hint="eastAsia"/>
                                </w:rPr>
                              </w:pPr>
                              <w:r>
                                <w:rPr>
                                  <w:rFonts w:hint="eastAsia"/>
                                </w:rPr>
                                <w:t>融资服务机构放贷</w:t>
                              </w:r>
                            </w:p>
                          </w:txbxContent>
                        </wps:txbx>
                        <wps:bodyPr upright="1"/>
                      </wps:wsp>
                      <wps:wsp>
                        <wps:cNvPr id="107" name="矩形 107"/>
                        <wps:cNvSpPr/>
                        <wps:spPr>
                          <a:xfrm>
                            <a:off x="2172335" y="4044315"/>
                            <a:ext cx="3752216" cy="7353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9E680C8">
                              <w:pPr>
                                <w:rPr>
                                  <w:rFonts w:hint="eastAsia"/>
                                </w:rPr>
                              </w:pPr>
                              <w:r>
                                <w:rPr>
                                  <w:rFonts w:hint="eastAsia"/>
                                </w:rPr>
                                <w:t>签订合同后</w:t>
                              </w:r>
                              <w:r>
                                <w:rPr>
                                  <w:rFonts w:hint="eastAsia"/>
                                  <w:lang w:val="en-US" w:eastAsia="zh-CN"/>
                                </w:rPr>
                                <w:t>1</w:t>
                              </w:r>
                              <w:r>
                                <w:rPr>
                                  <w:rFonts w:hint="eastAsia"/>
                                </w:rPr>
                                <w:t>个工作日内完成备案；实行线上服务的融资机构登陆河南省电子化政府采购系统核对合同真实性，实行线下服务的融资机构到财政部门核对合同真实性。</w:t>
                              </w:r>
                            </w:p>
                          </w:txbxContent>
                        </wps:txbx>
                        <wps:bodyPr upright="1"/>
                      </wps:wsp>
                      <wps:wsp>
                        <wps:cNvPr id="108" name="直接连接符 108"/>
                        <wps:cNvCnPr/>
                        <wps:spPr>
                          <a:xfrm>
                            <a:off x="1044575" y="3676650"/>
                            <a:ext cx="635" cy="367665"/>
                          </a:xfrm>
                          <a:prstGeom prst="line">
                            <a:avLst/>
                          </a:prstGeom>
                          <a:ln w="9525" cap="flat" cmpd="sng">
                            <a:solidFill>
                              <a:srgbClr val="000000"/>
                            </a:solidFill>
                            <a:prstDash val="solid"/>
                            <a:headEnd type="none" w="med" len="med"/>
                            <a:tailEnd type="triangle" w="med" len="med"/>
                          </a:ln>
                          <a:effectLst/>
                        </wps:spPr>
                        <wps:bodyPr upright="1"/>
                      </wps:wsp>
                      <wps:wsp>
                        <wps:cNvPr id="109" name="直接连接符 109"/>
                        <wps:cNvCnPr/>
                        <wps:spPr>
                          <a:xfrm>
                            <a:off x="1035050" y="4779645"/>
                            <a:ext cx="635" cy="367665"/>
                          </a:xfrm>
                          <a:prstGeom prst="line">
                            <a:avLst/>
                          </a:prstGeom>
                          <a:ln w="9525" cap="flat" cmpd="sng">
                            <a:solidFill>
                              <a:srgbClr val="000000"/>
                            </a:solidFill>
                            <a:prstDash val="solid"/>
                            <a:headEnd type="none" w="med" len="med"/>
                            <a:tailEnd type="triangle" w="med" len="med"/>
                          </a:ln>
                          <a:effectLst/>
                        </wps:spPr>
                        <wps:bodyPr upright="1"/>
                      </wps:wsp>
                      <wps:wsp>
                        <wps:cNvPr id="110" name="直接连接符 110"/>
                        <wps:cNvCnPr/>
                        <wps:spPr>
                          <a:xfrm>
                            <a:off x="1044575" y="5882640"/>
                            <a:ext cx="635" cy="367665"/>
                          </a:xfrm>
                          <a:prstGeom prst="line">
                            <a:avLst/>
                          </a:prstGeom>
                          <a:ln w="9525" cap="flat" cmpd="sng">
                            <a:solidFill>
                              <a:srgbClr val="000000"/>
                            </a:solidFill>
                            <a:prstDash val="solid"/>
                            <a:headEnd type="none" w="med" len="med"/>
                            <a:tailEnd type="triangle" w="med" len="med"/>
                          </a:ln>
                          <a:effectLst/>
                        </wps:spPr>
                        <wps:bodyPr upright="1"/>
                      </wps:wsp>
                      <wps:wsp>
                        <wps:cNvPr id="111" name="直接连接符 111"/>
                        <wps:cNvCnPr/>
                        <wps:spPr>
                          <a:xfrm>
                            <a:off x="1777365" y="5514975"/>
                            <a:ext cx="394970" cy="635"/>
                          </a:xfrm>
                          <a:prstGeom prst="line">
                            <a:avLst/>
                          </a:prstGeom>
                          <a:ln w="9525" cap="flat" cmpd="sng">
                            <a:solidFill>
                              <a:srgbClr val="000000"/>
                            </a:solidFill>
                            <a:prstDash val="solid"/>
                            <a:headEnd type="none" w="med" len="med"/>
                            <a:tailEnd type="triangle" w="med" len="med"/>
                          </a:ln>
                          <a:effectLst/>
                        </wps:spPr>
                        <wps:bodyPr upright="1"/>
                      </wps:wsp>
                    </wpc:wpc>
                  </a:graphicData>
                </a:graphic>
              </wp:inline>
            </w:drawing>
          </mc:Choice>
          <mc:Fallback>
            <w:pict>
              <v:group id="_x0000_s1026" o:spid="_x0000_s1026" o:spt="203" style="height:580.55pt;width:465.8pt;" coordsize="5915660,7372985" editas="canvas" o:gfxdata="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">
                <o:lock v:ext="edit" aspectratio="f"/>
                <v:shape id="_x0000_s1026" o:spid="_x0000_s1026" style="position:absolute;left:0;top:0;height:7372985;width:5915660;" filled="f" stroked="f" coordsize="21600,21600" o:gfxdata="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">
                  <v:fill on="f" focussize="0,0"/>
                  <v:stroke on="f"/>
                  <v:imagedata o:title=""/>
                  <o:lock v:ext="edit" aspectratio="t"/>
                </v:shape>
                <v:rect id="_x0000_s1026" o:spid="_x0000_s1026" o:spt="1" style="position:absolute;left:394970;top:1102995;height:367665;width:1382395;" fillcolor="#FFFFFF" filled="t" stroked="t" coordsize="21600,21600" o:gfxdata="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u6ScZ1AAAAAYBAAAPAAAAAAAA&#10;AAEAIAAAACIAAABkcnMvZG93bnJldi54bWxQSwECFAAUAAAACACHTuJARskesxYCAABEBAAADgAA&#10;AAAAAAABACAAAAAjAQAAZHJzL2Uyb0RvYy54bWxQSwUGAAAAAAYABgBZAQAAqwUAAAAA&#10;">
                  <v:fill on="t" focussize="0,0"/>
                  <v:stroke color="#000000" joinstyle="miter"/>
                  <v:imagedata o:title=""/>
                  <o:lock v:ext="edit" aspectratio="f"/>
                  <v:textbox>
                    <w:txbxContent>
                      <w:p w14:paraId="13C3CF9D">
                        <w:pPr>
                          <w:jc w:val="center"/>
                          <w:rPr>
                            <w:rFonts w:hint="eastAsia" w:ascii="宋体" w:hAnsi="宋体"/>
                            <w:szCs w:val="21"/>
                          </w:rPr>
                        </w:pPr>
                        <w:r>
                          <w:rPr>
                            <w:rFonts w:hint="eastAsia" w:ascii="宋体" w:hAnsi="宋体"/>
                            <w:szCs w:val="21"/>
                          </w:rPr>
                          <w:t>中小微企业申请</w:t>
                        </w:r>
                      </w:p>
                      <w:p w14:paraId="63958AD5">
                        <w:pPr>
                          <w:jc w:val="center"/>
                          <w:rPr>
                            <w:rFonts w:hint="eastAsia" w:ascii="宋体" w:hAnsi="宋体"/>
                            <w:sz w:val="24"/>
                          </w:rPr>
                        </w:pPr>
                      </w:p>
                    </w:txbxContent>
                  </v:textbox>
                </v:rect>
                <v:rect id="_x0000_s1026" o:spid="_x0000_s1026" o:spt="1" style="position:absolute;left:2172335;top:883920;height:954405;width:3752216;" fillcolor="#FFFFFF" filled="t" stroked="t" coordsize="21600,21600" o:gfxdata="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7pJxnUAAAABgEAAA8AAAAAAAAAAQAg&#10;AAAAIgAAAGRycy9kb3ducmV2LnhtbFBLAQIUABQAAAAIAIdO4kCuvanGEgIAAEQEAAAOAAAAAAAA&#10;AAEAIAAAACMBAABkcnMvZTJvRG9jLnhtbFBLBQYAAAAABgAGAFkBAACnBQAAAAA=&#10;">
                  <v:fill on="t" focussize="0,0"/>
                  <v:stroke color="#000000" joinstyle="miter"/>
                  <v:imagedata o:title=""/>
                  <o:lock v:ext="edit" aspectratio="f"/>
                  <v:textbox>
                    <w:txbxContent>
                      <w:p w14:paraId="0C5AB3BC">
                        <w:pPr>
                          <w:rPr>
                            <w:rFonts w:hint="eastAsia"/>
                          </w:rPr>
                        </w:pPr>
                        <w:r>
                          <w:rPr>
                            <w:rFonts w:hint="eastAsia" w:ascii="宋体" w:hAnsi="宋体"/>
                            <w:szCs w:val="21"/>
                          </w:rPr>
                          <w:t>依据中标（成交）通知书，</w:t>
                        </w:r>
                        <w:r>
                          <w:rPr>
                            <w:rFonts w:hint="eastAsia"/>
                          </w:rPr>
                          <w:t>登陆焦作市政府采购网的“办事指南”栏，对照各融资服务机构融资方案，选择符合自身的融资产品，与融资机构对接，提供相关资料。</w:t>
                        </w:r>
                      </w:p>
                    </w:txbxContent>
                  </v:textbox>
                </v:rect>
                <v:line id="_x0000_s1026" o:spid="_x0000_s1026" o:spt="20" style="position:absolute;left:1777365;top:1280160;height:635;width:394970;" filled="f" stroked="t" coordsize="21600,21600" o:gfxdata="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cp+ph1gAAAAYBAAAPAAAAAAAAAAEAIAAA&#10;ACIAAABkcnMvZG93bnJldi54bWxQSwECFAAUAAAACACHTuJADNvZCw4CAAAFBAAADgAAAAAAAAAB&#10;ACAAAAAlAQAAZHJzL2Uyb0RvYy54bWxQSwUGAAAAAAYABgBZAQAApQUAAAAA&#10;">
                  <v:fill on="f" focussize="0,0"/>
                  <v:stroke color="#000000" joinstyle="round" endarrow="block"/>
                  <v:imagedata o:title=""/>
                  <o:lock v:ext="edit" aspectratio="f"/>
                </v:line>
                <v:rect id="_x0000_s1026" o:spid="_x0000_s1026" o:spt="1" style="position:absolute;left:394970;top:2941320;height:735330;width:1382395;" fillcolor="#FFFFFF" filled="t" stroked="t" coordsize="21600,21600" o:gfxdata="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u6ScZ1AAAAAYBAAAPAAAAAAAA&#10;AAEAIAAAACIAAABkcnMvZG93bnJldi54bWxQSwECFAAUAAAACACHTuJA+oLWyBYCAABEBAAADgAA&#10;AAAAAAABACAAAAAjAQAAZHJzL2Uyb0RvYy54bWxQSwUGAAAAAAYABgBZAQAAqwUAAAAA&#10;">
                  <v:fill on="t" focussize="0,0"/>
                  <v:stroke color="#000000" joinstyle="miter"/>
                  <v:imagedata o:title=""/>
                  <o:lock v:ext="edit" aspectratio="f"/>
                  <v:textbox>
                    <w:txbxContent>
                      <w:p w14:paraId="038BD3ED">
                        <w:pPr>
                          <w:rPr>
                            <w:rFonts w:hint="eastAsia"/>
                          </w:rPr>
                        </w:pPr>
                      </w:p>
                      <w:p w14:paraId="17608425">
                        <w:pPr>
                          <w:jc w:val="center"/>
                          <w:rPr>
                            <w:rFonts w:hint="eastAsia"/>
                          </w:rPr>
                        </w:pPr>
                        <w:r>
                          <w:rPr>
                            <w:rFonts w:hint="eastAsia"/>
                          </w:rPr>
                          <w:t>开设收款账户</w:t>
                        </w:r>
                      </w:p>
                      <w:p w14:paraId="1499FDF4">
                        <w:pPr>
                          <w:jc w:val="center"/>
                          <w:rPr>
                            <w:rFonts w:hint="eastAsia"/>
                          </w:rPr>
                        </w:pPr>
                        <w:r>
                          <w:rPr>
                            <w:rFonts w:hint="eastAsia"/>
                          </w:rPr>
                          <w:t>签订政府采购合同</w:t>
                        </w:r>
                      </w:p>
                    </w:txbxContent>
                  </v:textbox>
                </v:rect>
                <v:line id="_x0000_s1026" o:spid="_x0000_s1026" o:spt="20" style="position:absolute;left:1777365;top:3308985;height:635;width:394970;" filled="f" stroked="t" coordsize="21600,21600" o:gfxdata="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nKfqYdYAAAAGAQAADwAAAAAAAAAB&#10;ACAAAAAiAAAAZHJzL2Rvd25yZXYueG1sUEsBAhQAFAAAAAgAh07iQOMmZmISAgAABQQAAA4AAAAA&#10;AAAAAQAgAAAAJQEAAGRycy9lMm9Eb2MueG1sUEsFBgAAAAAGAAYAWQEAAKkFAAAAAA==&#10;">
                  <v:fill on="f" focussize="0,0"/>
                  <v:stroke color="#000000" joinstyle="round" endarrow="block"/>
                  <v:imagedata o:title=""/>
                  <o:lock v:ext="edit" aspectratio="f"/>
                </v:line>
                <v:rect id="_x0000_s1026" o:spid="_x0000_s1026" o:spt="1" style="position:absolute;left:394970;top:6250305;height:735330;width:1382395;" fillcolor="#FFFFFF" filled="t" stroked="t" coordsize="21600,21600" o:gfxdata="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C7pJxnUAAAABgEAAA8AAAAAAAAA&#10;AQAgAAAAIgAAAGRycy9kb3ducmV2LnhtbFBLAQIUABQAAAAIAIdO4kDMrsD+FQIAAEQEAAAOAAAA&#10;AAAAAAEAIAAAACMBAABkcnMvZTJvRG9jLnhtbFBLBQYAAAAABgAGAFkBAACqBQAAAAA=&#10;">
                  <v:fill on="t" focussize="0,0"/>
                  <v:stroke color="#000000" joinstyle="miter"/>
                  <v:imagedata o:title=""/>
                  <o:lock v:ext="edit" aspectratio="f"/>
                  <v:textbox>
                    <w:txbxContent>
                      <w:p w14:paraId="46E09CAB">
                        <w:pPr>
                          <w:jc w:val="center"/>
                          <w:rPr>
                            <w:rFonts w:hint="eastAsia"/>
                          </w:rPr>
                        </w:pPr>
                      </w:p>
                      <w:p w14:paraId="3522904A">
                        <w:pPr>
                          <w:jc w:val="center"/>
                          <w:rPr>
                            <w:rFonts w:hint="eastAsia"/>
                          </w:rPr>
                        </w:pPr>
                        <w:r>
                          <w:rPr>
                            <w:rFonts w:hint="eastAsia"/>
                          </w:rPr>
                          <w:t>合同资金支付及还贷</w:t>
                        </w:r>
                      </w:p>
                    </w:txbxContent>
                  </v:textbox>
                </v:rect>
                <v:line id="_x0000_s1026" o:spid="_x0000_s1026" o:spt="20" style="position:absolute;left:1777365;top:6617970;height:635;width:394970;" filled="f" stroked="t" coordsize="21600,21600" o:gfxdata="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yn6mHWAAAABgEAAA8AAAAAAAAAAQAgAAAA&#10;IgAAAGRycy9kb3ducmV2LnhtbFBLAQIUABQAAAAIAIdO4kAgYBCRDQIAAAUEAAAOAAAAAAAAAAEA&#10;IAAAACUBAABkcnMvZTJvRG9jLnhtbFBLBQYAAAAABgAGAFkBAACkBQAAAAA=&#10;">
                  <v:fill on="f" focussize="0,0"/>
                  <v:stroke color="#000000" joinstyle="round" endarrow="block"/>
                  <v:imagedata o:title=""/>
                  <o:lock v:ext="edit" aspectratio="f"/>
                </v:line>
                <v:rect id="_x0000_s1026" o:spid="_x0000_s1026" o:spt="1" style="position:absolute;left:2172335;top:6250305;height:735330;width:3752216;" fillcolor="#FFFFFF" filled="t" stroked="t" coordsize="21600,21600" o:gfxdata="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u6ScZ1AAAAAYBAAAPAAAAAAAA&#10;AAEAIAAAACIAAABkcnMvZG93bnJldi54bWxQSwECFAAUAAAACACHTuJAAd22HxYCAABFBAAADgAA&#10;AAAAAAABACAAAAAjAQAAZHJzL2Uyb0RvYy54bWxQSwUGAAAAAAYABgBZAQAAqwUAAAAA&#10;">
                  <v:fill on="t" focussize="0,0"/>
                  <v:stroke color="#000000" joinstyle="miter"/>
                  <v:imagedata o:title=""/>
                  <o:lock v:ext="edit" aspectratio="f"/>
                  <v:textbox>
                    <w:txbxContent>
                      <w:p w14:paraId="0C278897">
                        <w:pPr>
                          <w:rPr>
                            <w:rFonts w:hint="eastAsia"/>
                          </w:rPr>
                        </w:pPr>
                        <w:r>
                          <w:rPr>
                            <w:rFonts w:hint="eastAsia"/>
                          </w:rPr>
                          <w:t>中小微企业按照合同约定履约，采购人及时开展履约验收，融资服务机构加强管理，及时锁定合同回款资金。</w:t>
                        </w:r>
                      </w:p>
                    </w:txbxContent>
                  </v:textbox>
                </v:rect>
                <v:rect id="_x0000_s1026" o:spid="_x0000_s1026" o:spt="1" style="position:absolute;left:387350;top:39370;height:735330;width:1382395;" fillcolor="#FFFFFF" filled="t" stroked="t" coordsize="21600,21600" o:gfxdata="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u6ScZ1AAAAAYBAAAPAAAAAAAAAAEAIAAA&#10;ACIAAABkcnMvZG93bnJldi54bWxQSwECFAAUAAAACACHTuJA6l+tBxACAABCBAAADgAAAAAAAAAB&#10;ACAAAAAjAQAAZHJzL2Uyb0RvYy54bWxQSwUGAAAAAAYABgBZAQAApQUAAAAA&#10;">
                  <v:fill on="t" focussize="0,0"/>
                  <v:stroke color="#000000" joinstyle="miter"/>
                  <v:imagedata o:title=""/>
                  <o:lock v:ext="edit" aspectratio="f"/>
                  <v:textbox>
                    <w:txbxContent>
                      <w:p w14:paraId="6201ED9B">
                        <w:pPr>
                          <w:jc w:val="center"/>
                          <w:rPr>
                            <w:rFonts w:hint="eastAsia" w:ascii="宋体" w:hAnsi="宋体"/>
                            <w:sz w:val="24"/>
                          </w:rPr>
                        </w:pPr>
                        <w:r>
                          <w:rPr>
                            <w:rFonts w:hint="eastAsia" w:ascii="宋体" w:hAnsi="宋体"/>
                            <w:szCs w:val="21"/>
                          </w:rPr>
                          <w:t>中小微企业领取中标（成交）通知书</w:t>
                        </w:r>
                      </w:p>
                    </w:txbxContent>
                  </v:textbox>
                </v:rect>
                <v:line id="_x0000_s1026" o:spid="_x0000_s1026" o:spt="20" style="position:absolute;left:1777365;top:367665;height:635;width:394970;" filled="f" stroked="t" coordsize="21600,21600" o:gfxdata="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yn6mHWAAAABgEAAA8AAAAAAAAAAQAg&#10;AAAAIgAAAGRycy9kb3ducmV2LnhtbFBLAQIUABQAAAAIAIdO4kBzvUX1EAIAAAQEAAAOAAAAAAAA&#10;AAEAIAAAACUBAABkcnMvZTJvRG9jLnhtbFBLBQYAAAAABgAGAFkBAACnBQAAAAA=&#10;">
                  <v:fill on="f" focussize="0,0"/>
                  <v:stroke color="#000000" joinstyle="round" endarrow="block"/>
                  <v:imagedata o:title=""/>
                  <o:lock v:ext="edit" aspectratio="f"/>
                </v:line>
                <v:rect id="_x0000_s1026" o:spid="_x0000_s1026" o:spt="1" style="position:absolute;left:2148205;top:55880;height:735330;width:3752216;" fillcolor="#FFFFFF" filled="t" stroked="t" coordsize="21600,21600" o:gfxdata="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LuknGdQAAAAGAQAADwAAAAAAAAAB&#10;ACAAAAAiAAAAZHJzL2Rvd25yZXYueG1sUEsBAhQAFAAAAAgAh07iQENl4aEUAgAAQwQAAA4AAAAA&#10;AAAAAQAgAAAAIwEAAGRycy9lMm9Eb2MueG1sUEsFBgAAAAAGAAYAWQEAAKkFAAAAAA==&#10;">
                  <v:fill on="t" focussize="0,0"/>
                  <v:stroke color="#000000" joinstyle="miter"/>
                  <v:imagedata o:title=""/>
                  <o:lock v:ext="edit" aspectratio="f"/>
                  <v:textbox>
                    <w:txbxContent>
                      <w:p w14:paraId="0790CAD6">
                        <w:pPr>
                          <w:rPr>
                            <w:rFonts w:hint="eastAsia" w:ascii="宋体" w:hAnsi="宋体"/>
                            <w:szCs w:val="21"/>
                          </w:rPr>
                        </w:pPr>
                        <w:r>
                          <w:rPr>
                            <w:rFonts w:hint="eastAsia" w:ascii="宋体" w:hAnsi="宋体"/>
                            <w:szCs w:val="21"/>
                          </w:rPr>
                          <w:t>采购人或采购代理机构在焦作市政府采购网发布中标（成交）结果公告，同时发出中标（成交）通知书。</w:t>
                        </w:r>
                      </w:p>
                    </w:txbxContent>
                  </v:textbox>
                </v:rect>
                <v:line id="_x0000_s1026" o:spid="_x0000_s1026" o:spt="20" style="position:absolute;left:1092200;top:774700;height:328295;width:635;" filled="f" stroked="t" coordsize="21600,21600" o:gfxdata="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yn6mHWAAAABgEAAA8AAAAAAAAAAQAgAAAA&#10;IgAAAGRycy9kb3ducmV2LnhtbFBLAQIUABQAAAAIAIdO4kDsbwU8DQIAAAQEAAAOAAAAAAAAAAEA&#10;IAAAACUBAABkcnMvZTJvRG9jLnhtbFBLBQYAAAAABgAGAFkBAACkBQAAAAA=&#10;">
                  <v:fill on="f" focussize="0,0"/>
                  <v:stroke color="#000000" joinstyle="round" endarrow="block"/>
                  <v:imagedata o:title=""/>
                  <o:lock v:ext="edit" aspectratio="f"/>
                </v:line>
                <v:rect id="_x0000_s1026" o:spid="_x0000_s1026" o:spt="1" style="position:absolute;left:394970;top:1838325;height:735330;width:1382395;" fillcolor="#FFFFFF" filled="t" stroked="t" coordsize="21600,21600" o:gfxdata="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u6ScZ1AAAAAYBAAAPAAAAAAAA&#10;AAEAIAAAACIAAABkcnMvZG93bnJldi54bWxQSwECFAAUAAAACACHTuJAH067bxYCAABEBAAADgAA&#10;AAAAAAABACAAAAAjAQAAZHJzL2Uyb0RvYy54bWxQSwUGAAAAAAYABgBZAQAAqwUAAAAA&#10;">
                  <v:fill on="t" focussize="0,0"/>
                  <v:stroke color="#000000" joinstyle="miter"/>
                  <v:imagedata o:title=""/>
                  <o:lock v:ext="edit" aspectratio="f"/>
                  <v:textbox>
                    <w:txbxContent>
                      <w:p w14:paraId="72A9052F">
                        <w:pPr>
                          <w:rPr>
                            <w:rFonts w:hint="eastAsia"/>
                          </w:rPr>
                        </w:pPr>
                      </w:p>
                      <w:p w14:paraId="7507A4BA">
                        <w:pPr>
                          <w:jc w:val="center"/>
                          <w:rPr>
                            <w:rFonts w:hint="eastAsia"/>
                          </w:rPr>
                        </w:pPr>
                        <w:r>
                          <w:rPr>
                            <w:rFonts w:hint="eastAsia"/>
                          </w:rPr>
                          <w:t>融资服务机构审查</w:t>
                        </w:r>
                      </w:p>
                    </w:txbxContent>
                  </v:textbox>
                </v:rect>
                <v:line id="_x0000_s1026" o:spid="_x0000_s1026" o:spt="20" style="position:absolute;left:1092200;top:1470660;height:367665;width:635;" filled="f" stroked="t" coordsize="21600,21600" o:gfxdata="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yn6mHWAAAABgEAAA8AAAAAAAAAAQAgAAAA&#10;IgAAAGRycy9kb3ducmV2LnhtbFBLAQIUABQAAAAIAIdO4kBZ6R2fDQIAAAUEAAAOAAAAAAAAAAEA&#10;IAAAACUBAABkcnMvZTJvRG9jLnhtbFBLBQYAAAAABgAGAFkBAACkBQAAAAA=&#10;">
                  <v:fill on="f" focussize="0,0"/>
                  <v:stroke color="#000000" joinstyle="round" endarrow="block"/>
                  <v:imagedata o:title=""/>
                  <o:lock v:ext="edit" aspectratio="f"/>
                </v:line>
                <v:line id="_x0000_s1026" o:spid="_x0000_s1026" o:spt="20" style="position:absolute;left:1777365;top:2278380;height:635;width:394970;" filled="f" stroked="t" coordsize="21600,21600" o:gfxdata="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nKfqYdYAAAAGAQAADwAAAAAAAAABACAA&#10;AAAiAAAAZHJzL2Rvd25yZXYueG1sUEsBAhQAFAAAAAgAh07iQPXM4j4PAgAABQQAAA4AAAAAAAAA&#10;AQAgAAAAJQEAAGRycy9lMm9Eb2MueG1sUEsFBgAAAAAGAAYAWQEAAKYFAAAAAA==&#10;">
                  <v:fill on="f" focussize="0,0"/>
                  <v:stroke color="#000000" joinstyle="round" endarrow="block"/>
                  <v:imagedata o:title=""/>
                  <o:lock v:ext="edit" aspectratio="f"/>
                </v:line>
                <v:rect id="_x0000_s1026" o:spid="_x0000_s1026" o:spt="1" style="position:absolute;left:2172335;top:1958340;height:615315;width:3752216;" fillcolor="#FFFFFF" filled="t" stroked="t" coordsize="21600,21600" o:gfxdata="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LuknGdQAAAAGAQAADwAAAAAAAAAB&#10;ACAAAAAiAAAAZHJzL2Rvd25yZXYueG1sUEsBAhQAFAAAAAgAh07iQAqPZ6IUAgAARwQAAA4AAAAA&#10;AAAAAQAgAAAAIwEAAGRycy9lMm9Eb2MueG1sUEsFBgAAAAAGAAYAWQEAAKkFAAAAAA==&#10;">
                  <v:fill on="t" focussize="0,0"/>
                  <v:stroke color="#000000" joinstyle="miter"/>
                  <v:imagedata o:title=""/>
                  <o:lock v:ext="edit" aspectratio="f"/>
                  <v:textbox>
                    <w:txbxContent>
                      <w:p w14:paraId="14992770">
                        <w:pPr>
                          <w:rPr>
                            <w:rFonts w:hint="eastAsia"/>
                          </w:rPr>
                        </w:pPr>
                        <w:r>
                          <w:rPr>
                            <w:rFonts w:hint="eastAsia" w:ascii="宋体" w:hAnsi="宋体"/>
                            <w:szCs w:val="21"/>
                          </w:rPr>
                          <w:t>对有融资意向的中小微企业，按规定开展审查，申请材料齐全完备的，一般在7个工作日内完成审批</w:t>
                        </w:r>
                        <w:r>
                          <w:rPr>
                            <w:rFonts w:hint="eastAsia"/>
                          </w:rPr>
                          <w:t>。</w:t>
                        </w:r>
                      </w:p>
                    </w:txbxContent>
                  </v:textbox>
                </v:rect>
                <v:line id="_x0000_s1026" o:spid="_x0000_s1026" o:spt="20" style="position:absolute;left:1073150;top:2573655;height:367665;width:635;" filled="f" stroked="t" coordsize="21600,21600" o:gfxdata="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cp+ph1gAAAAYBAAAPAAAAAAAAAAEA&#10;IAAAACIAAABkcnMvZG93bnJldi54bWxQSwECFAAUAAAACACHTuJAqjwV9hECAAAHBAAADgAAAAAA&#10;AAABACAAAAAlAQAAZHJzL2Uyb0RvYy54bWxQSwUGAAAAAAYABgBZAQAAqAUAAAAA&#10;">
                  <v:fill on="f" focussize="0,0"/>
                  <v:stroke color="#000000" joinstyle="round" endarrow="block"/>
                  <v:imagedata o:title=""/>
                  <o:lock v:ext="edit" aspectratio="f"/>
                </v:line>
                <v:rect id="_x0000_s1026" o:spid="_x0000_s1026" o:spt="1" style="position:absolute;left:2172335;top:2884170;height:887730;width:3752216;" fillcolor="#FFFFFF" filled="t" stroked="t" coordsize="21600,21600" o:gfxdata="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LuknGdQAAAAGAQAADwAAAAAA&#10;AAABACAAAAAiAAAAZHJzL2Rvd25yZXYueG1sUEsBAhQAFAAAAAgAh07iQAtekYgXAgAARwQAAA4A&#10;AAAAAAAAAQAgAAAAIwEAAGRycy9lMm9Eb2MueG1sUEsFBgAAAAAGAAYAWQEAAKwFAAAAAA==&#10;">
                  <v:fill on="t" focussize="0,0"/>
                  <v:stroke color="#000000" joinstyle="miter"/>
                  <v:imagedata o:title=""/>
                  <o:lock v:ext="edit" aspectratio="f"/>
                  <v:textbox>
                    <w:txbxContent>
                      <w:p w14:paraId="13E88808">
                        <w:pPr>
                          <w:rPr>
                            <w:rFonts w:hint="eastAsia"/>
                          </w:rPr>
                        </w:pPr>
                        <w:r>
                          <w:rPr>
                            <w:rFonts w:hint="eastAsia" w:ascii="宋体" w:hAnsi="宋体"/>
                            <w:szCs w:val="21"/>
                          </w:rPr>
                          <w:t>中小微企业按照融资服务机构要求，开设收款账户，并在中标（成交）通知书发出</w:t>
                        </w:r>
                        <w:r>
                          <w:rPr>
                            <w:rFonts w:hint="eastAsia" w:ascii="宋体" w:hAnsi="宋体"/>
                            <w:szCs w:val="21"/>
                            <w:lang w:eastAsia="zh-CN"/>
                          </w:rPr>
                          <w:t>后及时</w:t>
                        </w:r>
                        <w:r>
                          <w:rPr>
                            <w:rFonts w:hint="eastAsia" w:ascii="宋体" w:hAnsi="宋体"/>
                            <w:szCs w:val="21"/>
                          </w:rPr>
                          <w:t>签订政府采购合同（政府采购合同已签订的，需变更约定收款账户的，中小微企业向采购人申请，变更收款账户）。</w:t>
                        </w:r>
                      </w:p>
                    </w:txbxContent>
                  </v:textbox>
                </v:rect>
                <v:rect id="_x0000_s1026" o:spid="_x0000_s1026" o:spt="1" style="position:absolute;left:394970;top:4044315;height:735330;width:1382395;" fillcolor="#FFFFFF" filled="t" stroked="t" coordsize="21600,21600" o:gfxdata="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LuknGdQAAAAGAQAADwAAAAAA&#10;AAABACAAAAAiAAAAZHJzL2Rvd25yZXYueG1sUEsBAhQAFAAAAAgAh07iQBDvXvUXAgAARgQAAA4A&#10;AAAAAAAAAQAgAAAAIwEAAGRycy9lMm9Eb2MueG1sUEsFBgAAAAAGAAYAWQEAAKwFAAAAAA==&#10;">
                  <v:fill on="t" focussize="0,0"/>
                  <v:stroke color="#000000" joinstyle="miter"/>
                  <v:imagedata o:title=""/>
                  <o:lock v:ext="edit" aspectratio="f"/>
                  <v:textbox>
                    <w:txbxContent>
                      <w:p w14:paraId="28F971B0">
                        <w:pPr>
                          <w:rPr>
                            <w:rFonts w:hint="eastAsia"/>
                          </w:rPr>
                        </w:pPr>
                      </w:p>
                      <w:p w14:paraId="772D6326">
                        <w:pPr>
                          <w:jc w:val="center"/>
                          <w:rPr>
                            <w:rFonts w:hint="eastAsia"/>
                          </w:rPr>
                        </w:pPr>
                        <w:r>
                          <w:rPr>
                            <w:rFonts w:hint="eastAsia"/>
                          </w:rPr>
                          <w:t>政府采购合同备案</w:t>
                        </w:r>
                      </w:p>
                    </w:txbxContent>
                  </v:textbox>
                </v:rect>
                <v:line id="_x0000_s1026" o:spid="_x0000_s1026" o:spt="20" style="position:absolute;left:1777365;top:4411980;height:635;width:394970;" filled="f" stroked="t" coordsize="21600,21600" o:gfxdata="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yn6mHWAAAABgEAAA8AAAAAAAAAAQAg&#10;AAAAIgAAAGRycy9kb3ducmV2LnhtbFBLAQIUABQAAAAIAIdO4kDMzpSiEAIAAAcEAAAOAAAAAAAA&#10;AAEAIAAAACUBAABkcnMvZTJvRG9jLnhtbFBLBQYAAAAABgAGAFkBAACnBQAAAAA=&#10;">
                  <v:fill on="f" focussize="0,0"/>
                  <v:stroke color="#000000" joinstyle="round" endarrow="block"/>
                  <v:imagedata o:title=""/>
                  <o:lock v:ext="edit" aspectratio="f"/>
                </v:line>
                <v:rect id="_x0000_s1026" o:spid="_x0000_s1026" o:spt="1" style="position:absolute;left:2172335;top:5147310;height:735330;width:3752216;" fillcolor="#FFFFFF" filled="t" stroked="t" coordsize="21600,21600" o:gfxdata="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u6ScZ1AAAAAYBAAAPAAAAAAAA&#10;AAEAIAAAACIAAABkcnMvZG93bnJldi54bWxQSwECFAAUAAAACACHTuJAzAxXWxYCAABHBAAADgAA&#10;AAAAAAABACAAAAAjAQAAZHJzL2Uyb0RvYy54bWxQSwUGAAAAAAYABgBZAQAAqwUAAAAA&#10;">
                  <v:fill on="t" focussize="0,0"/>
                  <v:stroke color="#000000" joinstyle="miter"/>
                  <v:imagedata o:title=""/>
                  <o:lock v:ext="edit" aspectratio="f"/>
                  <v:textbox>
                    <w:txbxContent>
                      <w:p w14:paraId="5647ED9E">
                        <w:pPr>
                          <w:rPr>
                            <w:rFonts w:hint="eastAsia"/>
                          </w:rPr>
                        </w:pPr>
                      </w:p>
                      <w:p w14:paraId="6B4C5D96">
                        <w:pPr>
                          <w:rPr>
                            <w:rFonts w:hint="eastAsia"/>
                          </w:rPr>
                        </w:pPr>
                        <w:r>
                          <w:rPr>
                            <w:rFonts w:hint="eastAsia"/>
                          </w:rPr>
                          <w:t>融资服务机构确认合同的真实性后，5个工作日内完成放款。</w:t>
                        </w:r>
                      </w:p>
                    </w:txbxContent>
                  </v:textbox>
                </v:rect>
                <v:rect id="_x0000_s1026" o:spid="_x0000_s1026" o:spt="1" style="position:absolute;left:394970;top:5147310;height:735330;width:1382395;" fillcolor="#FFFFFF" filled="t" stroked="t" coordsize="21600,21600" o:gfxdata="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LuknGdQAAAAGAQAADwAAAAAA&#10;AAABACAAAAAiAAAAZHJzL2Rvd25yZXYueG1sUEsBAhQAFAAAAAgAh07iQLZd48AXAgAARgQAAA4A&#10;AAAAAAAAAQAgAAAAIwEAAGRycy9lMm9Eb2MueG1sUEsFBgAAAAAGAAYAWQEAAKwFAAAAAA==&#10;">
                  <v:fill on="t" focussize="0,0"/>
                  <v:stroke color="#000000" joinstyle="miter"/>
                  <v:imagedata o:title=""/>
                  <o:lock v:ext="edit" aspectratio="f"/>
                  <v:textbox>
                    <w:txbxContent>
                      <w:p w14:paraId="24A60C4D">
                        <w:pPr>
                          <w:rPr>
                            <w:rFonts w:hint="eastAsia"/>
                          </w:rPr>
                        </w:pPr>
                      </w:p>
                      <w:p w14:paraId="748AD70C">
                        <w:pPr>
                          <w:jc w:val="center"/>
                          <w:rPr>
                            <w:rFonts w:hint="eastAsia"/>
                          </w:rPr>
                        </w:pPr>
                        <w:r>
                          <w:rPr>
                            <w:rFonts w:hint="eastAsia"/>
                          </w:rPr>
                          <w:t>融资服务机构放贷</w:t>
                        </w:r>
                      </w:p>
                    </w:txbxContent>
                  </v:textbox>
                </v:rect>
                <v:rect id="_x0000_s1026" o:spid="_x0000_s1026" o:spt="1" style="position:absolute;left:2172335;top:4044315;height:735330;width:3752216;" fillcolor="#FFFFFF" filled="t" stroked="t" coordsize="21600,21600" o:gfxdata="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7pJxnUAAAABgEAAA8AAAAA&#10;AAAAAQAgAAAAIgAAAGRycy9kb3ducmV2LnhtbFBLAQIUABQAAAAIAIdO4kAFVPFrGAIAAEcEAAAO&#10;AAAAAAAAAAEAIAAAACMBAABkcnMvZTJvRG9jLnhtbFBLBQYAAAAABgAGAFkBAACtBQAAAAA=&#10;">
                  <v:fill on="t" focussize="0,0"/>
                  <v:stroke color="#000000" joinstyle="miter"/>
                  <v:imagedata o:title=""/>
                  <o:lock v:ext="edit" aspectratio="f"/>
                  <v:textbox>
                    <w:txbxContent>
                      <w:p w14:paraId="59E680C8">
                        <w:pPr>
                          <w:rPr>
                            <w:rFonts w:hint="eastAsia"/>
                          </w:rPr>
                        </w:pPr>
                        <w:r>
                          <w:rPr>
                            <w:rFonts w:hint="eastAsia"/>
                          </w:rPr>
                          <w:t>签订合同后</w:t>
                        </w:r>
                        <w:r>
                          <w:rPr>
                            <w:rFonts w:hint="eastAsia"/>
                            <w:lang w:val="en-US" w:eastAsia="zh-CN"/>
                          </w:rPr>
                          <w:t>1</w:t>
                        </w:r>
                        <w:r>
                          <w:rPr>
                            <w:rFonts w:hint="eastAsia"/>
                          </w:rPr>
                          <w:t>个工作日内完成备案；实行线上服务的融资机构登陆河南省电子化政府采购系统核对合同真实性，实行线下服务的融资机构到财政部门核对合同真实性。</w:t>
                        </w:r>
                      </w:p>
                    </w:txbxContent>
                  </v:textbox>
                </v:rect>
                <v:line id="_x0000_s1026" o:spid="_x0000_s1026" o:spt="20" style="position:absolute;left:1044575;top:3676650;height:367665;width:635;" filled="f" stroked="t" coordsize="21600,21600" o:gfxdata="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nKfqYdYAAAAGAQAADwAAAAAAAAABACAAAAAiAAAA&#10;ZHJzL2Rvd25yZXYueG1sUEsBAhQAFAAAAAgAh07iQDdpw8MJAgAABwQAAA4AAAAAAAAAAQAgAAAA&#10;JQEAAGRycy9lMm9Eb2MueG1sUEsFBgAAAAAGAAYAWQEAAKAFAAAAAA==&#10;">
                  <v:fill on="f" focussize="0,0"/>
                  <v:stroke color="#000000" joinstyle="round" endarrow="block"/>
                  <v:imagedata o:title=""/>
                  <o:lock v:ext="edit" aspectratio="f"/>
                </v:line>
                <v:line id="_x0000_s1026" o:spid="_x0000_s1026" o:spt="20" style="position:absolute;left:1035050;top:4779645;height:367665;width:635;" filled="f" stroked="t" coordsize="21600,21600" o:gfxdata="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nKfqYdYAAAAGAQAADwAAAAAAAAAB&#10;ACAAAAAiAAAAZHJzL2Rvd25yZXYueG1sUEsBAhQAFAAAAAgAh07iQElNAYcSAgAABwQAAA4AAAAA&#10;AAAAAQAgAAAAJQEAAGRycy9lMm9Eb2MueG1sUEsFBgAAAAAGAAYAWQEAAKkFAAAAAA==&#10;">
                  <v:fill on="f" focussize="0,0"/>
                  <v:stroke color="#000000" joinstyle="round" endarrow="block"/>
                  <v:imagedata o:title=""/>
                  <o:lock v:ext="edit" aspectratio="f"/>
                </v:line>
                <v:line id="_x0000_s1026" o:spid="_x0000_s1026" o:spt="20" style="position:absolute;left:1044575;top:5882640;height:367665;width:635;" filled="f" stroked="t" coordsize="21600,21600" o:gfxdata="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nKfqYdYAAAAGAQAADwAAAAAAAAABACAA&#10;AAAiAAAAZHJzL2Rvd25yZXYueG1sUEsBAhQAFAAAAAgAh07iQLNwA9UPAgAABwQAAA4AAAAAAAAA&#10;AQAgAAAAJQEAAGRycy9lMm9Eb2MueG1sUEsFBgAAAAAGAAYAWQEAAKYFAAAAAA==&#10;">
                  <v:fill on="f" focussize="0,0"/>
                  <v:stroke color="#000000" joinstyle="round" endarrow="block"/>
                  <v:imagedata o:title=""/>
                  <o:lock v:ext="edit" aspectratio="f"/>
                </v:line>
                <v:line id="_x0000_s1026" o:spid="_x0000_s1026" o:spt="20" style="position:absolute;left:1777365;top:5514975;height:635;width:394970;" filled="f" stroked="t" coordsize="21600,21600" o:gfxdata="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nKfqYdYAAAAGAQAADwAAAAAAAAAB&#10;ACAAAAAiAAAAZHJzL2Rvd25yZXYueG1sUEsBAhQAFAAAAAgAh07iQOTmW/oSAgAABwQAAA4AAAAA&#10;AAAAAQAgAAAAJQEAAGRycy9lMm9Eb2MueG1sUEsFBgAAAAAGAAYAWQEAAKkFAAAAAA==&#10;">
                  <v:fill on="f" focussize="0,0"/>
                  <v:stroke color="#000000" joinstyle="round" endarrow="block"/>
                  <v:imagedata o:title=""/>
                  <o:lock v:ext="edit" aspectratio="f"/>
                </v:line>
                <w10:wrap type="none"/>
                <w10:anchorlock/>
              </v:group>
            </w:pict>
          </mc:Fallback>
        </mc:AlternateContent>
      </w:r>
    </w:p>
    <w:p w14:paraId="1F76BFEC">
      <w:pPr>
        <w:keepNext w:val="0"/>
        <w:keepLines w:val="0"/>
        <w:widowControl/>
        <w:suppressLineNumbers w:val="0"/>
        <w:ind w:left="0" w:leftChars="0" w:firstLine="635" w:firstLineChars="227"/>
        <w:jc w:val="left"/>
        <w:rPr>
          <w:rFonts w:hint="eastAsia" w:ascii="䅂䍄䕅⯋컌" w:hAnsi="䅂䍄䕅⯋컌" w:eastAsia="䅂䍄䕅⯋컌" w:cs="䅂䍄䕅⯋컌"/>
          <w:color w:val="auto"/>
          <w:kern w:val="0"/>
          <w:sz w:val="28"/>
          <w:szCs w:val="28"/>
          <w:highlight w:val="none"/>
          <w:lang w:val="en-US" w:eastAsia="zh-CN" w:bidi="ar"/>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6E6E6A54">
      <w:pPr>
        <w:pStyle w:val="11"/>
        <w:rPr>
          <w:rFonts w:hint="eastAsia"/>
          <w:color w:val="auto"/>
          <w:highlight w:val="none"/>
          <w:lang w:val="en-US" w:eastAsia="zh-CN"/>
        </w:rPr>
      </w:pPr>
    </w:p>
    <w:tbl>
      <w:tblPr>
        <w:tblStyle w:val="21"/>
        <w:tblW w:w="83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263"/>
        <w:gridCol w:w="1000"/>
        <w:gridCol w:w="1625"/>
        <w:gridCol w:w="2437"/>
      </w:tblGrid>
      <w:tr w14:paraId="667DE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325" w:type="dxa"/>
            <w:gridSpan w:val="4"/>
            <w:tcBorders>
              <w:top w:val="nil"/>
              <w:left w:val="nil"/>
              <w:bottom w:val="nil"/>
              <w:right w:val="nil"/>
            </w:tcBorders>
            <w:noWrap/>
            <w:vAlign w:val="center"/>
          </w:tcPr>
          <w:p w14:paraId="45543D63">
            <w:pPr>
              <w:keepNext w:val="0"/>
              <w:keepLines w:val="0"/>
              <w:widowControl/>
              <w:suppressLineNumbers w:val="0"/>
              <w:jc w:val="center"/>
              <w:textAlignment w:val="center"/>
              <w:rPr>
                <w:rFonts w:hint="eastAsia" w:ascii="宋体" w:hAnsi="宋体" w:eastAsia="宋体" w:cs="宋体"/>
                <w:i w:val="0"/>
                <w:iCs w:val="0"/>
                <w:color w:val="auto"/>
                <w:sz w:val="52"/>
                <w:szCs w:val="52"/>
                <w:highlight w:val="none"/>
                <w:u w:val="none"/>
              </w:rPr>
            </w:pPr>
            <w:r>
              <w:rPr>
                <w:rFonts w:hint="eastAsia" w:ascii="方正小标宋简体" w:hAnsi="宋体" w:eastAsia="方正小标宋简体" w:cs="宋体"/>
                <w:color w:val="auto"/>
                <w:kern w:val="0"/>
                <w:sz w:val="44"/>
                <w:szCs w:val="44"/>
                <w:highlight w:val="none"/>
                <w:lang w:val="en-US" w:eastAsia="zh-CN"/>
              </w:rPr>
              <w:t>融资服务机构名单</w:t>
            </w:r>
          </w:p>
        </w:tc>
      </w:tr>
      <w:tr w14:paraId="42D70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3263" w:type="dxa"/>
            <w:tcBorders>
              <w:top w:val="nil"/>
              <w:left w:val="nil"/>
              <w:bottom w:val="nil"/>
              <w:right w:val="nil"/>
            </w:tcBorders>
            <w:noWrap/>
            <w:vAlign w:val="center"/>
          </w:tcPr>
          <w:p w14:paraId="482D9006">
            <w:pPr>
              <w:jc w:val="center"/>
              <w:rPr>
                <w:rFonts w:hint="eastAsia" w:ascii="宋体" w:hAnsi="宋体" w:eastAsia="宋体" w:cs="宋体"/>
                <w:i w:val="0"/>
                <w:iCs w:val="0"/>
                <w:color w:val="auto"/>
                <w:sz w:val="18"/>
                <w:szCs w:val="18"/>
                <w:highlight w:val="none"/>
                <w:u w:val="none"/>
              </w:rPr>
            </w:pPr>
          </w:p>
        </w:tc>
        <w:tc>
          <w:tcPr>
            <w:tcW w:w="1000" w:type="dxa"/>
            <w:tcBorders>
              <w:top w:val="nil"/>
              <w:left w:val="nil"/>
              <w:bottom w:val="nil"/>
              <w:right w:val="nil"/>
            </w:tcBorders>
            <w:noWrap/>
            <w:vAlign w:val="center"/>
          </w:tcPr>
          <w:p w14:paraId="1CDBDDCC">
            <w:pPr>
              <w:rPr>
                <w:rFonts w:hint="eastAsia" w:ascii="宋体" w:hAnsi="宋体" w:eastAsia="宋体" w:cs="宋体"/>
                <w:i w:val="0"/>
                <w:iCs w:val="0"/>
                <w:color w:val="auto"/>
                <w:sz w:val="18"/>
                <w:szCs w:val="18"/>
                <w:highlight w:val="none"/>
                <w:u w:val="none"/>
              </w:rPr>
            </w:pPr>
          </w:p>
        </w:tc>
        <w:tc>
          <w:tcPr>
            <w:tcW w:w="1625" w:type="dxa"/>
            <w:tcBorders>
              <w:top w:val="nil"/>
              <w:left w:val="nil"/>
              <w:bottom w:val="nil"/>
              <w:right w:val="nil"/>
            </w:tcBorders>
            <w:noWrap/>
            <w:vAlign w:val="center"/>
          </w:tcPr>
          <w:p w14:paraId="74F9D8B4">
            <w:pPr>
              <w:rPr>
                <w:rFonts w:hint="eastAsia" w:ascii="宋体" w:hAnsi="宋体" w:eastAsia="宋体" w:cs="宋体"/>
                <w:i w:val="0"/>
                <w:iCs w:val="0"/>
                <w:color w:val="auto"/>
                <w:sz w:val="18"/>
                <w:szCs w:val="18"/>
                <w:highlight w:val="none"/>
                <w:u w:val="none"/>
              </w:rPr>
            </w:pPr>
          </w:p>
        </w:tc>
        <w:tc>
          <w:tcPr>
            <w:tcW w:w="2437" w:type="dxa"/>
            <w:tcBorders>
              <w:top w:val="nil"/>
              <w:left w:val="nil"/>
              <w:bottom w:val="nil"/>
              <w:right w:val="nil"/>
            </w:tcBorders>
            <w:noWrap/>
            <w:vAlign w:val="center"/>
          </w:tcPr>
          <w:p w14:paraId="762105A5">
            <w:pPr>
              <w:rPr>
                <w:rFonts w:hint="eastAsia" w:ascii="宋体" w:hAnsi="宋体" w:eastAsia="宋体" w:cs="宋体"/>
                <w:i w:val="0"/>
                <w:iCs w:val="0"/>
                <w:color w:val="auto"/>
                <w:sz w:val="18"/>
                <w:szCs w:val="18"/>
                <w:highlight w:val="none"/>
                <w:u w:val="none"/>
              </w:rPr>
            </w:pPr>
          </w:p>
        </w:tc>
      </w:tr>
      <w:tr w14:paraId="149DD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263" w:type="dxa"/>
            <w:tcBorders>
              <w:top w:val="single" w:color="000000" w:sz="4" w:space="0"/>
              <w:left w:val="single" w:color="000000" w:sz="4" w:space="0"/>
              <w:bottom w:val="single" w:color="000000" w:sz="4" w:space="0"/>
              <w:right w:val="single" w:color="000000" w:sz="4" w:space="0"/>
            </w:tcBorders>
            <w:noWrap/>
            <w:vAlign w:val="center"/>
          </w:tcPr>
          <w:p w14:paraId="6A6462D7">
            <w:pPr>
              <w:keepNext w:val="0"/>
              <w:keepLines w:val="0"/>
              <w:widowControl/>
              <w:suppressLineNumbers w:val="0"/>
              <w:jc w:val="center"/>
              <w:textAlignment w:val="center"/>
              <w:rPr>
                <w:rFonts w:hint="eastAsia" w:ascii="宋体" w:hAnsi="宋体" w:eastAsia="宋体" w:cs="宋体"/>
                <w:i w:val="0"/>
                <w:iCs w:val="0"/>
                <w:color w:val="auto"/>
                <w:sz w:val="30"/>
                <w:szCs w:val="30"/>
                <w:highlight w:val="none"/>
                <w:u w:val="none"/>
              </w:rPr>
            </w:pPr>
            <w:r>
              <w:rPr>
                <w:rFonts w:hint="eastAsia" w:ascii="宋体" w:hAnsi="宋体" w:eastAsia="宋体" w:cs="宋体"/>
                <w:i w:val="0"/>
                <w:iCs w:val="0"/>
                <w:color w:val="auto"/>
                <w:kern w:val="0"/>
                <w:sz w:val="30"/>
                <w:szCs w:val="30"/>
                <w:highlight w:val="none"/>
                <w:u w:val="none"/>
                <w:lang w:val="en-US" w:eastAsia="zh-CN" w:bidi="ar"/>
              </w:rPr>
              <w:t>名称</w:t>
            </w:r>
          </w:p>
        </w:tc>
        <w:tc>
          <w:tcPr>
            <w:tcW w:w="1000" w:type="dxa"/>
            <w:tcBorders>
              <w:top w:val="single" w:color="000000" w:sz="4" w:space="0"/>
              <w:left w:val="single" w:color="000000" w:sz="4" w:space="0"/>
              <w:bottom w:val="single" w:color="000000" w:sz="4" w:space="0"/>
              <w:right w:val="single" w:color="000000" w:sz="4" w:space="0"/>
            </w:tcBorders>
            <w:noWrap/>
            <w:vAlign w:val="center"/>
          </w:tcPr>
          <w:p w14:paraId="13E9309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联系人</w:t>
            </w:r>
          </w:p>
        </w:tc>
        <w:tc>
          <w:tcPr>
            <w:tcW w:w="1625" w:type="dxa"/>
            <w:tcBorders>
              <w:top w:val="single" w:color="000000" w:sz="4" w:space="0"/>
              <w:left w:val="single" w:color="000000" w:sz="4" w:space="0"/>
              <w:bottom w:val="single" w:color="000000" w:sz="4" w:space="0"/>
              <w:right w:val="single" w:color="000000" w:sz="4" w:space="0"/>
            </w:tcBorders>
            <w:noWrap/>
            <w:vAlign w:val="center"/>
          </w:tcPr>
          <w:p w14:paraId="334AC9E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联系电话</w:t>
            </w:r>
          </w:p>
        </w:tc>
        <w:tc>
          <w:tcPr>
            <w:tcW w:w="2437" w:type="dxa"/>
            <w:tcBorders>
              <w:top w:val="single" w:color="000000" w:sz="4" w:space="0"/>
              <w:left w:val="single" w:color="000000" w:sz="4" w:space="0"/>
              <w:bottom w:val="single" w:color="000000" w:sz="4" w:space="0"/>
              <w:right w:val="single" w:color="000000" w:sz="4" w:space="0"/>
            </w:tcBorders>
            <w:noWrap/>
            <w:vAlign w:val="center"/>
          </w:tcPr>
          <w:p w14:paraId="448E01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地址</w:t>
            </w:r>
          </w:p>
        </w:tc>
      </w:tr>
      <w:tr w14:paraId="6278D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263" w:type="dxa"/>
            <w:tcBorders>
              <w:top w:val="single" w:color="000000" w:sz="4" w:space="0"/>
              <w:left w:val="single" w:color="000000" w:sz="4" w:space="0"/>
              <w:bottom w:val="single" w:color="000000" w:sz="4" w:space="0"/>
              <w:right w:val="single" w:color="000000" w:sz="4" w:space="0"/>
            </w:tcBorders>
            <w:shd w:val="clear" w:color="auto" w:fill="FFF2CC"/>
            <w:noWrap/>
            <w:vAlign w:val="center"/>
          </w:tcPr>
          <w:p w14:paraId="41279CC7">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中国农业银行股份有限公司焦作分行</w:t>
            </w:r>
          </w:p>
        </w:tc>
        <w:tc>
          <w:tcPr>
            <w:tcW w:w="1000" w:type="dxa"/>
            <w:tcBorders>
              <w:top w:val="single" w:color="000000" w:sz="4" w:space="0"/>
              <w:left w:val="single" w:color="000000" w:sz="4" w:space="0"/>
              <w:bottom w:val="single" w:color="000000" w:sz="4" w:space="0"/>
              <w:right w:val="single" w:color="000000" w:sz="4" w:space="0"/>
            </w:tcBorders>
            <w:shd w:val="clear" w:color="auto" w:fill="FFF2CC"/>
            <w:noWrap/>
            <w:vAlign w:val="center"/>
          </w:tcPr>
          <w:p w14:paraId="7904B25B">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周文静 </w:t>
            </w:r>
          </w:p>
        </w:tc>
        <w:tc>
          <w:tcPr>
            <w:tcW w:w="1625" w:type="dxa"/>
            <w:tcBorders>
              <w:top w:val="single" w:color="000000" w:sz="4" w:space="0"/>
              <w:left w:val="single" w:color="000000" w:sz="4" w:space="0"/>
              <w:bottom w:val="single" w:color="000000" w:sz="4" w:space="0"/>
              <w:right w:val="single" w:color="000000" w:sz="4" w:space="0"/>
            </w:tcBorders>
            <w:shd w:val="clear" w:color="auto" w:fill="FFF2CC"/>
            <w:noWrap/>
            <w:vAlign w:val="center"/>
          </w:tcPr>
          <w:p w14:paraId="1FDBFC8A">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0391-2878135</w:t>
            </w:r>
          </w:p>
        </w:tc>
        <w:tc>
          <w:tcPr>
            <w:tcW w:w="2437" w:type="dxa"/>
            <w:tcBorders>
              <w:top w:val="single" w:color="000000" w:sz="4" w:space="0"/>
              <w:left w:val="single" w:color="000000" w:sz="4" w:space="0"/>
              <w:bottom w:val="single" w:color="000000" w:sz="4" w:space="0"/>
              <w:right w:val="single" w:color="000000" w:sz="4" w:space="0"/>
            </w:tcBorders>
            <w:shd w:val="clear" w:color="auto" w:fill="FFF2CC"/>
            <w:noWrap w:val="0"/>
            <w:vAlign w:val="center"/>
          </w:tcPr>
          <w:p w14:paraId="18B89420">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焦作市民主南路88 号</w:t>
            </w:r>
          </w:p>
        </w:tc>
      </w:tr>
      <w:tr w14:paraId="43290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263" w:type="dxa"/>
            <w:tcBorders>
              <w:top w:val="single" w:color="000000" w:sz="4" w:space="0"/>
              <w:left w:val="single" w:color="000000" w:sz="4" w:space="0"/>
              <w:bottom w:val="single" w:color="000000" w:sz="4" w:space="0"/>
              <w:right w:val="single" w:color="000000" w:sz="4" w:space="0"/>
            </w:tcBorders>
            <w:noWrap/>
            <w:vAlign w:val="center"/>
          </w:tcPr>
          <w:p w14:paraId="2BDA12A2">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中国银行股份有限公司焦作分行</w:t>
            </w:r>
          </w:p>
        </w:tc>
        <w:tc>
          <w:tcPr>
            <w:tcW w:w="1000" w:type="dxa"/>
            <w:tcBorders>
              <w:top w:val="single" w:color="000000" w:sz="4" w:space="0"/>
              <w:left w:val="single" w:color="000000" w:sz="4" w:space="0"/>
              <w:bottom w:val="single" w:color="000000" w:sz="4" w:space="0"/>
              <w:right w:val="single" w:color="000000" w:sz="4" w:space="0"/>
            </w:tcBorders>
            <w:noWrap/>
            <w:vAlign w:val="center"/>
          </w:tcPr>
          <w:p w14:paraId="08B9A623">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申长平</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7048B36">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0391-8825171</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13938195906</w:t>
            </w:r>
          </w:p>
        </w:tc>
        <w:tc>
          <w:tcPr>
            <w:tcW w:w="2437" w:type="dxa"/>
            <w:tcBorders>
              <w:top w:val="single" w:color="000000" w:sz="4" w:space="0"/>
              <w:left w:val="single" w:color="000000" w:sz="4" w:space="0"/>
              <w:bottom w:val="single" w:color="000000" w:sz="4" w:space="0"/>
              <w:right w:val="single" w:color="000000" w:sz="4" w:space="0"/>
            </w:tcBorders>
            <w:noWrap w:val="0"/>
            <w:vAlign w:val="center"/>
          </w:tcPr>
          <w:p w14:paraId="12CDF55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焦作市丰收路159号</w:t>
            </w:r>
          </w:p>
        </w:tc>
      </w:tr>
      <w:tr w14:paraId="67E10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263" w:type="dxa"/>
            <w:tcBorders>
              <w:top w:val="single" w:color="000000" w:sz="4" w:space="0"/>
              <w:left w:val="single" w:color="000000" w:sz="4" w:space="0"/>
              <w:bottom w:val="single" w:color="000000" w:sz="4" w:space="0"/>
              <w:right w:val="single" w:color="000000" w:sz="4" w:space="0"/>
            </w:tcBorders>
            <w:shd w:val="clear" w:color="auto" w:fill="FFF2CC"/>
            <w:noWrap/>
            <w:vAlign w:val="center"/>
          </w:tcPr>
          <w:p w14:paraId="299023C9">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中国建设银行股份有限公司焦作分行</w:t>
            </w:r>
          </w:p>
        </w:tc>
        <w:tc>
          <w:tcPr>
            <w:tcW w:w="1000" w:type="dxa"/>
            <w:tcBorders>
              <w:top w:val="single" w:color="000000" w:sz="4" w:space="0"/>
              <w:left w:val="single" w:color="000000" w:sz="4" w:space="0"/>
              <w:bottom w:val="single" w:color="000000" w:sz="4" w:space="0"/>
              <w:right w:val="single" w:color="000000" w:sz="4" w:space="0"/>
            </w:tcBorders>
            <w:shd w:val="clear" w:color="auto" w:fill="FFF2CC"/>
            <w:noWrap/>
            <w:vAlign w:val="center"/>
          </w:tcPr>
          <w:p w14:paraId="01649753">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黄炳杰</w:t>
            </w:r>
          </w:p>
        </w:tc>
        <w:tc>
          <w:tcPr>
            <w:tcW w:w="1625" w:type="dxa"/>
            <w:tcBorders>
              <w:top w:val="single" w:color="000000" w:sz="4" w:space="0"/>
              <w:left w:val="single" w:color="000000" w:sz="4" w:space="0"/>
              <w:bottom w:val="single" w:color="000000" w:sz="4" w:space="0"/>
              <w:right w:val="single" w:color="000000" w:sz="4" w:space="0"/>
            </w:tcBorders>
            <w:shd w:val="clear" w:color="auto" w:fill="FFF2CC"/>
            <w:noWrap w:val="0"/>
            <w:vAlign w:val="center"/>
          </w:tcPr>
          <w:p w14:paraId="45FD0E47">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0391-3294113</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18317269875</w:t>
            </w:r>
          </w:p>
        </w:tc>
        <w:tc>
          <w:tcPr>
            <w:tcW w:w="2437" w:type="dxa"/>
            <w:tcBorders>
              <w:top w:val="single" w:color="000000" w:sz="4" w:space="0"/>
              <w:left w:val="single" w:color="000000" w:sz="4" w:space="0"/>
              <w:bottom w:val="single" w:color="000000" w:sz="4" w:space="0"/>
              <w:right w:val="single" w:color="000000" w:sz="4" w:space="0"/>
            </w:tcBorders>
            <w:shd w:val="clear" w:color="auto" w:fill="FFF2CC"/>
            <w:noWrap w:val="0"/>
            <w:vAlign w:val="center"/>
          </w:tcPr>
          <w:p w14:paraId="783048CA">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焦作市建设东路152号</w:t>
            </w:r>
          </w:p>
        </w:tc>
      </w:tr>
      <w:tr w14:paraId="5784C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263" w:type="dxa"/>
            <w:tcBorders>
              <w:top w:val="single" w:color="000000" w:sz="4" w:space="0"/>
              <w:left w:val="single" w:color="000000" w:sz="4" w:space="0"/>
              <w:bottom w:val="single" w:color="000000" w:sz="4" w:space="0"/>
              <w:right w:val="single" w:color="000000" w:sz="4" w:space="0"/>
            </w:tcBorders>
            <w:noWrap/>
            <w:vAlign w:val="center"/>
          </w:tcPr>
          <w:p w14:paraId="4092135F">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中国邮政储蓄银行股份有限公司焦作市分行</w:t>
            </w:r>
          </w:p>
        </w:tc>
        <w:tc>
          <w:tcPr>
            <w:tcW w:w="1000" w:type="dxa"/>
            <w:tcBorders>
              <w:top w:val="single" w:color="000000" w:sz="4" w:space="0"/>
              <w:left w:val="single" w:color="000000" w:sz="4" w:space="0"/>
              <w:bottom w:val="single" w:color="000000" w:sz="4" w:space="0"/>
              <w:right w:val="single" w:color="000000" w:sz="4" w:space="0"/>
            </w:tcBorders>
            <w:noWrap/>
            <w:vAlign w:val="center"/>
          </w:tcPr>
          <w:p w14:paraId="246C60C6">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于  洋 </w:t>
            </w:r>
          </w:p>
        </w:tc>
        <w:tc>
          <w:tcPr>
            <w:tcW w:w="1625" w:type="dxa"/>
            <w:tcBorders>
              <w:top w:val="single" w:color="000000" w:sz="4" w:space="0"/>
              <w:left w:val="single" w:color="000000" w:sz="4" w:space="0"/>
              <w:bottom w:val="single" w:color="000000" w:sz="4" w:space="0"/>
              <w:right w:val="single" w:color="000000" w:sz="4" w:space="0"/>
            </w:tcBorders>
            <w:noWrap/>
            <w:vAlign w:val="center"/>
          </w:tcPr>
          <w:p w14:paraId="45517D27">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15903910344</w:t>
            </w:r>
          </w:p>
        </w:tc>
        <w:tc>
          <w:tcPr>
            <w:tcW w:w="2437" w:type="dxa"/>
            <w:tcBorders>
              <w:top w:val="single" w:color="000000" w:sz="4" w:space="0"/>
              <w:left w:val="single" w:color="000000" w:sz="4" w:space="0"/>
              <w:bottom w:val="single" w:color="000000" w:sz="4" w:space="0"/>
              <w:right w:val="single" w:color="000000" w:sz="4" w:space="0"/>
            </w:tcBorders>
            <w:noWrap w:val="0"/>
            <w:vAlign w:val="center"/>
          </w:tcPr>
          <w:p w14:paraId="731A119B">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焦作市火车站北广场售票厅西邻</w:t>
            </w:r>
          </w:p>
        </w:tc>
      </w:tr>
      <w:tr w14:paraId="487D5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263" w:type="dxa"/>
            <w:tcBorders>
              <w:top w:val="single" w:color="000000" w:sz="4" w:space="0"/>
              <w:left w:val="single" w:color="000000" w:sz="4" w:space="0"/>
              <w:bottom w:val="single" w:color="000000" w:sz="4" w:space="0"/>
              <w:right w:val="single" w:color="000000" w:sz="4" w:space="0"/>
            </w:tcBorders>
            <w:shd w:val="clear" w:color="auto" w:fill="FFF2CC"/>
            <w:noWrap/>
            <w:vAlign w:val="center"/>
          </w:tcPr>
          <w:p w14:paraId="7DF4551F">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中原银行股份有限公司焦作分行</w:t>
            </w:r>
          </w:p>
        </w:tc>
        <w:tc>
          <w:tcPr>
            <w:tcW w:w="1000" w:type="dxa"/>
            <w:tcBorders>
              <w:top w:val="single" w:color="000000" w:sz="4" w:space="0"/>
              <w:left w:val="single" w:color="000000" w:sz="4" w:space="0"/>
              <w:bottom w:val="single" w:color="000000" w:sz="4" w:space="0"/>
              <w:right w:val="single" w:color="000000" w:sz="4" w:space="0"/>
            </w:tcBorders>
            <w:shd w:val="clear" w:color="auto" w:fill="FFF2CC"/>
            <w:noWrap/>
            <w:vAlign w:val="center"/>
          </w:tcPr>
          <w:p w14:paraId="6B7A6A91">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周建林</w:t>
            </w:r>
          </w:p>
        </w:tc>
        <w:tc>
          <w:tcPr>
            <w:tcW w:w="1625" w:type="dxa"/>
            <w:tcBorders>
              <w:top w:val="single" w:color="000000" w:sz="4" w:space="0"/>
              <w:left w:val="single" w:color="000000" w:sz="4" w:space="0"/>
              <w:bottom w:val="single" w:color="000000" w:sz="4" w:space="0"/>
              <w:right w:val="single" w:color="000000" w:sz="4" w:space="0"/>
            </w:tcBorders>
            <w:shd w:val="clear" w:color="auto" w:fill="FFF2CC"/>
            <w:noWrap/>
            <w:vAlign w:val="center"/>
          </w:tcPr>
          <w:p w14:paraId="0161EB00">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15893053027</w:t>
            </w:r>
          </w:p>
        </w:tc>
        <w:tc>
          <w:tcPr>
            <w:tcW w:w="2437" w:type="dxa"/>
            <w:tcBorders>
              <w:top w:val="single" w:color="000000" w:sz="4" w:space="0"/>
              <w:left w:val="single" w:color="000000" w:sz="4" w:space="0"/>
              <w:bottom w:val="single" w:color="000000" w:sz="4" w:space="0"/>
              <w:right w:val="single" w:color="000000" w:sz="4" w:space="0"/>
            </w:tcBorders>
            <w:shd w:val="clear" w:color="auto" w:fill="FFF2CC"/>
            <w:noWrap w:val="0"/>
            <w:vAlign w:val="center"/>
          </w:tcPr>
          <w:p w14:paraId="57898253">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焦作市山阳区迎宾路1号</w:t>
            </w:r>
          </w:p>
        </w:tc>
      </w:tr>
      <w:tr w14:paraId="2BE21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263" w:type="dxa"/>
            <w:tcBorders>
              <w:top w:val="single" w:color="000000" w:sz="4" w:space="0"/>
              <w:left w:val="single" w:color="000000" w:sz="4" w:space="0"/>
              <w:bottom w:val="single" w:color="000000" w:sz="4" w:space="0"/>
              <w:right w:val="single" w:color="000000" w:sz="4" w:space="0"/>
            </w:tcBorders>
            <w:noWrap/>
            <w:vAlign w:val="center"/>
          </w:tcPr>
          <w:p w14:paraId="5D3CFF78">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中信银行股份有限公司焦作分行</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43943">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 xml:space="preserve">周江江 </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43901">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sz w:val="22"/>
                <w:szCs w:val="22"/>
                <w:highlight w:val="none"/>
                <w:u w:val="none"/>
              </w:rPr>
              <w:t>17639185001</w:t>
            </w:r>
          </w:p>
        </w:tc>
        <w:tc>
          <w:tcPr>
            <w:tcW w:w="24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0EC64D">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2"/>
                <w:sz w:val="22"/>
                <w:szCs w:val="22"/>
                <w:highlight w:val="none"/>
                <w:u w:val="none"/>
                <w:lang w:val="en-US" w:eastAsia="zh-CN" w:bidi="ar-SA"/>
              </w:rPr>
              <w:t>焦作市人民路669号锦江现代城广场御景10号商业楼</w:t>
            </w:r>
          </w:p>
        </w:tc>
      </w:tr>
      <w:tr w14:paraId="3D83E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263" w:type="dxa"/>
            <w:tcBorders>
              <w:top w:val="single" w:color="000000" w:sz="4" w:space="0"/>
              <w:left w:val="single" w:color="000000" w:sz="4" w:space="0"/>
              <w:bottom w:val="single" w:color="000000" w:sz="4" w:space="0"/>
              <w:right w:val="single" w:color="000000" w:sz="4" w:space="0"/>
            </w:tcBorders>
            <w:shd w:val="clear" w:color="auto" w:fill="FFF2CC"/>
            <w:noWrap/>
            <w:vAlign w:val="center"/>
          </w:tcPr>
          <w:p w14:paraId="7D5669F2">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中国光大银行股份有限公司焦作分行</w:t>
            </w:r>
          </w:p>
        </w:tc>
        <w:tc>
          <w:tcPr>
            <w:tcW w:w="1000" w:type="dxa"/>
            <w:tcBorders>
              <w:top w:val="single" w:color="000000" w:sz="4" w:space="0"/>
              <w:left w:val="single" w:color="000000" w:sz="4" w:space="0"/>
              <w:bottom w:val="single" w:color="000000" w:sz="4" w:space="0"/>
              <w:right w:val="single" w:color="000000" w:sz="4" w:space="0"/>
            </w:tcBorders>
            <w:shd w:val="clear" w:color="auto" w:fill="FFF2CC"/>
            <w:noWrap/>
            <w:vAlign w:val="center"/>
          </w:tcPr>
          <w:p w14:paraId="0E28C34D">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张继峰 </w:t>
            </w:r>
          </w:p>
        </w:tc>
        <w:tc>
          <w:tcPr>
            <w:tcW w:w="1625" w:type="dxa"/>
            <w:tcBorders>
              <w:top w:val="single" w:color="000000" w:sz="4" w:space="0"/>
              <w:left w:val="single" w:color="000000" w:sz="4" w:space="0"/>
              <w:bottom w:val="single" w:color="000000" w:sz="4" w:space="0"/>
              <w:right w:val="single" w:color="000000" w:sz="4" w:space="0"/>
            </w:tcBorders>
            <w:shd w:val="clear" w:color="auto" w:fill="FFF2CC"/>
            <w:noWrap w:val="0"/>
            <w:vAlign w:val="center"/>
          </w:tcPr>
          <w:p w14:paraId="6D0A9BDA">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0391-8787962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15225817285</w:t>
            </w:r>
          </w:p>
        </w:tc>
        <w:tc>
          <w:tcPr>
            <w:tcW w:w="2437" w:type="dxa"/>
            <w:tcBorders>
              <w:top w:val="single" w:color="000000" w:sz="4" w:space="0"/>
              <w:left w:val="single" w:color="000000" w:sz="4" w:space="0"/>
              <w:bottom w:val="single" w:color="000000" w:sz="4" w:space="0"/>
              <w:right w:val="single" w:color="000000" w:sz="4" w:space="0"/>
            </w:tcBorders>
            <w:shd w:val="clear" w:color="auto" w:fill="FFF2CC"/>
            <w:noWrap w:val="0"/>
            <w:vAlign w:val="center"/>
          </w:tcPr>
          <w:p w14:paraId="6185BEE6">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焦作市塔南路1736号</w:t>
            </w:r>
          </w:p>
        </w:tc>
      </w:tr>
      <w:tr w14:paraId="6F662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263" w:type="dxa"/>
            <w:tcBorders>
              <w:top w:val="single" w:color="000000" w:sz="4" w:space="0"/>
              <w:left w:val="single" w:color="000000" w:sz="4" w:space="0"/>
              <w:bottom w:val="single" w:color="000000" w:sz="4" w:space="0"/>
              <w:right w:val="single" w:color="000000" w:sz="4" w:space="0"/>
            </w:tcBorders>
            <w:noWrap/>
            <w:vAlign w:val="center"/>
          </w:tcPr>
          <w:p w14:paraId="32B8C15A">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广发银行股份有限公司焦作分行</w:t>
            </w:r>
          </w:p>
        </w:tc>
        <w:tc>
          <w:tcPr>
            <w:tcW w:w="1000" w:type="dxa"/>
            <w:tcBorders>
              <w:top w:val="single" w:color="000000" w:sz="4" w:space="0"/>
              <w:left w:val="single" w:color="000000" w:sz="4" w:space="0"/>
              <w:bottom w:val="single" w:color="000000" w:sz="4" w:space="0"/>
              <w:right w:val="single" w:color="000000" w:sz="4" w:space="0"/>
            </w:tcBorders>
            <w:noWrap/>
            <w:vAlign w:val="center"/>
          </w:tcPr>
          <w:p w14:paraId="23F1E7C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张嘉强</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3FD6F4A">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0391-8653785</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13203910032</w:t>
            </w:r>
          </w:p>
        </w:tc>
        <w:tc>
          <w:tcPr>
            <w:tcW w:w="2437" w:type="dxa"/>
            <w:tcBorders>
              <w:top w:val="single" w:color="000000" w:sz="4" w:space="0"/>
              <w:left w:val="single" w:color="000000" w:sz="4" w:space="0"/>
              <w:bottom w:val="single" w:color="000000" w:sz="4" w:space="0"/>
              <w:right w:val="single" w:color="000000" w:sz="4" w:space="0"/>
            </w:tcBorders>
            <w:noWrap w:val="0"/>
            <w:vAlign w:val="center"/>
          </w:tcPr>
          <w:p w14:paraId="55344CC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焦作市塔南路1736号嘉隆金融中心</w:t>
            </w:r>
          </w:p>
        </w:tc>
      </w:tr>
      <w:tr w14:paraId="148F4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325" w:type="dxa"/>
            <w:gridSpan w:val="4"/>
            <w:tcBorders>
              <w:top w:val="nil"/>
              <w:left w:val="nil"/>
              <w:bottom w:val="nil"/>
              <w:right w:val="nil"/>
            </w:tcBorders>
            <w:noWrap w:val="0"/>
            <w:vAlign w:val="center"/>
          </w:tcPr>
          <w:p w14:paraId="75D8E59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备注：融资服务机构名单和人员联系方式会随时变化。具体情况可登录“焦作市政府采购网”政府采购合同融资平台查询。</w:t>
            </w:r>
          </w:p>
        </w:tc>
      </w:tr>
    </w:tbl>
    <w:p w14:paraId="3CF1D904">
      <w:pPr>
        <w:keepNext w:val="0"/>
        <w:keepLines w:val="0"/>
        <w:widowControl/>
        <w:suppressLineNumbers w:val="0"/>
        <w:ind w:left="0" w:leftChars="0" w:firstLine="0" w:firstLineChars="0"/>
        <w:jc w:val="left"/>
        <w:rPr>
          <w:rFonts w:hint="eastAsia" w:ascii="䅂䍄䕅⯋컌" w:hAnsi="䅂䍄䕅⯋컌" w:eastAsia="䅂䍄䕅⯋컌" w:cs="䅂䍄䕅⯋컌"/>
          <w:color w:val="auto"/>
          <w:kern w:val="0"/>
          <w:sz w:val="28"/>
          <w:szCs w:val="28"/>
          <w:highlight w:val="none"/>
          <w:lang w:val="en-US" w:eastAsia="zh-CN" w:bidi="ar"/>
        </w:rPr>
      </w:pPr>
    </w:p>
    <w:p w14:paraId="599CC795">
      <w:pPr>
        <w:pStyle w:val="11"/>
        <w:rPr>
          <w:rFonts w:hint="eastAsia"/>
          <w:color w:val="auto"/>
          <w:highlight w:val="none"/>
        </w:rPr>
      </w:pPr>
    </w:p>
    <w:p w14:paraId="3DA4DFDA">
      <w:pPr>
        <w:rPr>
          <w:rFonts w:hint="eastAsia"/>
          <w:color w:val="auto"/>
          <w:highlight w:val="none"/>
        </w:rPr>
      </w:pPr>
    </w:p>
    <w:p w14:paraId="586B5DC9">
      <w:pPr>
        <w:pStyle w:val="20"/>
        <w:rPr>
          <w:rFonts w:hint="eastAsia"/>
          <w:color w:val="auto"/>
          <w:highlight w:val="none"/>
        </w:rPr>
      </w:pPr>
    </w:p>
    <w:p w14:paraId="0F5E0DED">
      <w:pPr>
        <w:rPr>
          <w:rFonts w:hint="eastAsia"/>
          <w:color w:val="auto"/>
          <w:highlight w:val="none"/>
        </w:rPr>
      </w:pPr>
    </w:p>
    <w:p w14:paraId="66881DEF">
      <w:pPr>
        <w:pStyle w:val="20"/>
        <w:rPr>
          <w:rFonts w:hint="eastAsia"/>
          <w:color w:val="auto"/>
          <w:highlight w:val="none"/>
        </w:rPr>
      </w:pPr>
    </w:p>
    <w:p w14:paraId="39C58812">
      <w:pPr>
        <w:rPr>
          <w:rFonts w:hint="eastAsia"/>
          <w:color w:val="auto"/>
          <w:highlight w:val="none"/>
        </w:rPr>
      </w:pPr>
    </w:p>
    <w:p w14:paraId="29D224FB">
      <w:pPr>
        <w:rPr>
          <w:rFonts w:hint="eastAsia"/>
          <w:color w:val="auto"/>
          <w:highlight w:val="none"/>
        </w:rPr>
        <w:sectPr>
          <w:headerReference r:id="rId8" w:type="default"/>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76164376">
      <w:pPr>
        <w:rPr>
          <w:rFonts w:hint="eastAsia"/>
          <w:color w:val="auto"/>
          <w:highlight w:val="none"/>
        </w:rPr>
      </w:pPr>
    </w:p>
    <w:p w14:paraId="4BAF708B">
      <w:pPr>
        <w:spacing w:line="560" w:lineRule="exact"/>
        <w:jc w:val="center"/>
        <w:rPr>
          <w:rFonts w:hint="eastAsia" w:ascii="宋体" w:hAnsi="宋体" w:cs="宋体"/>
          <w:b/>
          <w:color w:val="auto"/>
          <w:sz w:val="30"/>
          <w:szCs w:val="30"/>
          <w:highlight w:val="none"/>
        </w:rPr>
      </w:pPr>
    </w:p>
    <w:p w14:paraId="1D99A00E">
      <w:pPr>
        <w:spacing w:line="560" w:lineRule="exact"/>
        <w:jc w:val="center"/>
        <w:rPr>
          <w:rFonts w:hint="eastAsia" w:ascii="宋体" w:hAnsi="宋体" w:cs="宋体"/>
          <w:b/>
          <w:color w:val="auto"/>
          <w:sz w:val="30"/>
          <w:szCs w:val="30"/>
          <w:highlight w:val="none"/>
        </w:rPr>
      </w:pPr>
    </w:p>
    <w:p w14:paraId="5279C9DE">
      <w:pPr>
        <w:spacing w:line="560" w:lineRule="exact"/>
        <w:jc w:val="center"/>
        <w:rPr>
          <w:rFonts w:ascii="宋体" w:hAnsi="宋体" w:cs="宋体"/>
          <w:b/>
          <w:color w:val="auto"/>
          <w:sz w:val="30"/>
          <w:szCs w:val="30"/>
          <w:highlight w:val="none"/>
        </w:rPr>
      </w:pPr>
      <w:r>
        <w:rPr>
          <w:rFonts w:hint="eastAsia" w:ascii="宋体" w:hAnsi="宋体" w:cs="宋体"/>
          <w:b/>
          <w:color w:val="auto"/>
          <w:sz w:val="30"/>
          <w:szCs w:val="30"/>
          <w:highlight w:val="none"/>
        </w:rPr>
        <w:t>目     录</w:t>
      </w:r>
    </w:p>
    <w:p w14:paraId="2FAE53CB">
      <w:pPr>
        <w:ind w:firstLine="2940"/>
        <w:rPr>
          <w:rFonts w:ascii="宋体" w:hAnsi="宋体" w:cs="宋体"/>
          <w:b/>
          <w:color w:val="auto"/>
          <w:sz w:val="30"/>
          <w:szCs w:val="30"/>
          <w:highlight w:val="none"/>
        </w:rPr>
      </w:pPr>
    </w:p>
    <w:p w14:paraId="577B4B90">
      <w:pPr>
        <w:ind w:firstLine="2940"/>
        <w:rPr>
          <w:rFonts w:ascii="宋体" w:hAnsi="宋体" w:cs="宋体"/>
          <w:b/>
          <w:color w:val="auto"/>
          <w:sz w:val="30"/>
          <w:szCs w:val="30"/>
          <w:highlight w:val="none"/>
        </w:rPr>
      </w:pPr>
    </w:p>
    <w:p w14:paraId="534A8E01">
      <w:pPr>
        <w:spacing w:line="800" w:lineRule="exact"/>
        <w:ind w:firstLine="2108" w:firstLineChars="700"/>
        <w:rPr>
          <w:rFonts w:ascii="宋体" w:hAnsi="宋体" w:cs="宋体"/>
          <w:b/>
          <w:color w:val="auto"/>
          <w:sz w:val="30"/>
          <w:szCs w:val="30"/>
          <w:highlight w:val="none"/>
        </w:rPr>
      </w:pPr>
      <w:r>
        <w:rPr>
          <w:rFonts w:hint="eastAsia" w:ascii="宋体" w:hAnsi="宋体" w:cs="宋体"/>
          <w:b/>
          <w:color w:val="auto"/>
          <w:sz w:val="30"/>
          <w:szCs w:val="30"/>
          <w:highlight w:val="none"/>
        </w:rPr>
        <w:t>第一章  竞争性磋商邀请函</w:t>
      </w:r>
    </w:p>
    <w:p w14:paraId="5117F3B3">
      <w:pPr>
        <w:spacing w:line="800" w:lineRule="exact"/>
        <w:ind w:firstLine="2108" w:firstLineChars="700"/>
        <w:rPr>
          <w:rFonts w:ascii="宋体" w:hAnsi="宋体" w:cs="宋体"/>
          <w:b/>
          <w:color w:val="auto"/>
          <w:sz w:val="30"/>
          <w:szCs w:val="30"/>
          <w:highlight w:val="none"/>
        </w:rPr>
      </w:pPr>
      <w:r>
        <w:rPr>
          <w:rFonts w:hint="eastAsia" w:ascii="宋体" w:hAnsi="宋体" w:cs="宋体"/>
          <w:b/>
          <w:color w:val="auto"/>
          <w:sz w:val="30"/>
          <w:szCs w:val="30"/>
          <w:highlight w:val="none"/>
        </w:rPr>
        <w:t xml:space="preserve">第二章  供应商须知 </w:t>
      </w:r>
    </w:p>
    <w:p w14:paraId="1B2A4346">
      <w:pPr>
        <w:spacing w:line="800" w:lineRule="exact"/>
        <w:ind w:firstLine="2108" w:firstLineChars="700"/>
        <w:rPr>
          <w:rFonts w:ascii="宋体" w:hAnsi="宋体" w:cs="宋体"/>
          <w:b/>
          <w:color w:val="auto"/>
          <w:sz w:val="30"/>
          <w:szCs w:val="30"/>
          <w:highlight w:val="none"/>
        </w:rPr>
      </w:pPr>
      <w:r>
        <w:rPr>
          <w:rFonts w:hint="eastAsia" w:ascii="宋体" w:hAnsi="宋体" w:cs="宋体"/>
          <w:b/>
          <w:color w:val="auto"/>
          <w:sz w:val="30"/>
          <w:szCs w:val="30"/>
          <w:highlight w:val="none"/>
        </w:rPr>
        <w:t>第三章  采购需求</w:t>
      </w:r>
    </w:p>
    <w:p w14:paraId="490A171C">
      <w:pPr>
        <w:spacing w:line="800" w:lineRule="exact"/>
        <w:ind w:firstLine="2108" w:firstLineChars="700"/>
        <w:rPr>
          <w:rFonts w:ascii="宋体" w:hAnsi="宋体" w:cs="宋体"/>
          <w:b/>
          <w:color w:val="auto"/>
          <w:sz w:val="30"/>
          <w:szCs w:val="30"/>
          <w:highlight w:val="none"/>
        </w:rPr>
      </w:pPr>
      <w:r>
        <w:rPr>
          <w:rFonts w:hint="eastAsia" w:ascii="宋体" w:hAnsi="宋体" w:cs="宋体"/>
          <w:b/>
          <w:color w:val="auto"/>
          <w:sz w:val="30"/>
          <w:szCs w:val="30"/>
          <w:highlight w:val="none"/>
        </w:rPr>
        <w:t>第四章  响应性文件内容及格式</w:t>
      </w:r>
    </w:p>
    <w:p w14:paraId="608DC41F">
      <w:pPr>
        <w:spacing w:line="800" w:lineRule="exact"/>
        <w:ind w:firstLine="2108" w:firstLineChars="700"/>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rPr>
        <w:t>第五章  合同主要条款</w:t>
      </w:r>
      <w:r>
        <w:rPr>
          <w:rFonts w:hint="eastAsia" w:ascii="宋体" w:hAnsi="宋体" w:cs="宋体"/>
          <w:b/>
          <w:color w:val="auto"/>
          <w:sz w:val="30"/>
          <w:szCs w:val="30"/>
          <w:highlight w:val="none"/>
          <w:lang w:eastAsia="zh-CN"/>
        </w:rPr>
        <w:t>（参考）</w:t>
      </w:r>
    </w:p>
    <w:p w14:paraId="3F8889A2">
      <w:pPr>
        <w:jc w:val="center"/>
        <w:rPr>
          <w:rFonts w:ascii="仿宋_GB2312" w:eastAsia="仿宋_GB2312"/>
          <w:b/>
          <w:color w:val="auto"/>
          <w:sz w:val="30"/>
          <w:szCs w:val="30"/>
          <w:highlight w:val="none"/>
        </w:rPr>
      </w:pPr>
    </w:p>
    <w:p w14:paraId="78CEA195">
      <w:pPr>
        <w:jc w:val="center"/>
        <w:rPr>
          <w:rFonts w:ascii="宋体" w:hAnsi="宋体" w:cs="宋体"/>
          <w:b/>
          <w:color w:val="auto"/>
          <w:sz w:val="30"/>
          <w:szCs w:val="30"/>
          <w:highlight w:val="none"/>
        </w:rPr>
      </w:pPr>
      <w:r>
        <w:rPr>
          <w:rFonts w:hint="eastAsia"/>
          <w:color w:val="auto"/>
          <w:sz w:val="30"/>
          <w:szCs w:val="30"/>
          <w:highlight w:val="none"/>
        </w:rPr>
        <w:t xml:space="preserve">  </w:t>
      </w:r>
    </w:p>
    <w:p w14:paraId="7EEA11E1">
      <w:pPr>
        <w:jc w:val="center"/>
        <w:rPr>
          <w:rFonts w:ascii="宋体" w:hAnsi="宋体" w:cs="宋体"/>
          <w:b/>
          <w:color w:val="auto"/>
          <w:sz w:val="30"/>
          <w:szCs w:val="30"/>
          <w:highlight w:val="none"/>
        </w:rPr>
      </w:pPr>
    </w:p>
    <w:p w14:paraId="121D5EC2">
      <w:pPr>
        <w:jc w:val="center"/>
        <w:rPr>
          <w:rFonts w:ascii="宋体" w:hAnsi="宋体" w:cs="宋体"/>
          <w:b/>
          <w:color w:val="auto"/>
          <w:sz w:val="30"/>
          <w:szCs w:val="30"/>
          <w:highlight w:val="none"/>
        </w:rPr>
      </w:pPr>
    </w:p>
    <w:p w14:paraId="19B1DFEB">
      <w:pPr>
        <w:jc w:val="center"/>
        <w:rPr>
          <w:rFonts w:ascii="宋体" w:hAnsi="宋体" w:cs="宋体"/>
          <w:b/>
          <w:color w:val="auto"/>
          <w:sz w:val="30"/>
          <w:szCs w:val="30"/>
          <w:highlight w:val="none"/>
        </w:rPr>
      </w:pPr>
    </w:p>
    <w:p w14:paraId="3A4644F9">
      <w:pPr>
        <w:jc w:val="center"/>
        <w:rPr>
          <w:rFonts w:ascii="宋体" w:hAnsi="宋体" w:cs="宋体"/>
          <w:b/>
          <w:color w:val="auto"/>
          <w:sz w:val="30"/>
          <w:szCs w:val="30"/>
          <w:highlight w:val="none"/>
        </w:rPr>
      </w:pPr>
    </w:p>
    <w:p w14:paraId="17C012E4">
      <w:pPr>
        <w:jc w:val="center"/>
        <w:rPr>
          <w:rFonts w:ascii="宋体" w:hAnsi="宋体" w:cs="宋体"/>
          <w:b/>
          <w:color w:val="auto"/>
          <w:sz w:val="30"/>
          <w:szCs w:val="30"/>
          <w:highlight w:val="none"/>
        </w:rPr>
      </w:pPr>
    </w:p>
    <w:p w14:paraId="30DC9811">
      <w:pPr>
        <w:pStyle w:val="11"/>
        <w:rPr>
          <w:rFonts w:ascii="宋体" w:hAnsi="宋体" w:cs="宋体"/>
          <w:b/>
          <w:color w:val="auto"/>
          <w:sz w:val="30"/>
          <w:szCs w:val="30"/>
          <w:highlight w:val="none"/>
        </w:rPr>
      </w:pPr>
    </w:p>
    <w:p w14:paraId="736A5B8F">
      <w:pPr>
        <w:rPr>
          <w:color w:val="auto"/>
          <w:highlight w:val="none"/>
        </w:rPr>
      </w:pPr>
    </w:p>
    <w:p w14:paraId="1A472601">
      <w:pPr>
        <w:jc w:val="center"/>
        <w:rPr>
          <w:rFonts w:ascii="宋体" w:hAnsi="宋体" w:cs="宋体"/>
          <w:b/>
          <w:color w:val="auto"/>
          <w:sz w:val="30"/>
          <w:szCs w:val="30"/>
          <w:highlight w:val="none"/>
        </w:rPr>
      </w:pPr>
    </w:p>
    <w:p w14:paraId="448298B1">
      <w:pPr>
        <w:jc w:val="center"/>
        <w:rPr>
          <w:rFonts w:ascii="宋体" w:hAnsi="宋体" w:cs="宋体"/>
          <w:b/>
          <w:color w:val="auto"/>
          <w:sz w:val="30"/>
          <w:szCs w:val="30"/>
          <w:highlight w:val="none"/>
        </w:rPr>
      </w:pPr>
    </w:p>
    <w:p w14:paraId="1ED043C3">
      <w:pPr>
        <w:numPr>
          <w:ilvl w:val="0"/>
          <w:numId w:val="1"/>
        </w:num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 xml:space="preserve">   竞争性磋商邀请函</w:t>
      </w:r>
    </w:p>
    <w:p w14:paraId="3A34D83E">
      <w:pPr>
        <w:widowControl/>
        <w:numPr>
          <w:ilvl w:val="0"/>
          <w:numId w:val="0"/>
        </w:numPr>
        <w:wordWrap/>
        <w:snapToGrid/>
        <w:spacing w:line="560" w:lineRule="exact"/>
        <w:ind w:firstLine="562" w:firstLineChars="200"/>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项目概况：</w:t>
      </w:r>
    </w:p>
    <w:p w14:paraId="0CA1F6D1">
      <w:pPr>
        <w:widowControl/>
        <w:numPr>
          <w:ilvl w:val="0"/>
          <w:numId w:val="0"/>
        </w:numPr>
        <w:wordWrap/>
        <w:snapToGrid/>
        <w:spacing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焦作市第四中学理化生实验室项目</w:t>
      </w:r>
      <w:r>
        <w:rPr>
          <w:rFonts w:hint="eastAsia" w:ascii="仿宋_GB2312" w:hAnsi="仿宋_GB2312" w:eastAsia="仿宋_GB2312" w:cs="仿宋_GB2312"/>
          <w:color w:val="auto"/>
          <w:sz w:val="28"/>
          <w:szCs w:val="28"/>
          <w:highlight w:val="none"/>
          <w:u w:val="none"/>
          <w:lang w:val="en-US" w:eastAsia="zh-CN"/>
        </w:rPr>
        <w:t>的</w:t>
      </w:r>
      <w:r>
        <w:rPr>
          <w:rFonts w:hint="eastAsia" w:ascii="仿宋_GB2312" w:hAnsi="仿宋_GB2312" w:eastAsia="仿宋_GB2312" w:cs="仿宋_GB2312"/>
          <w:color w:val="auto"/>
          <w:sz w:val="28"/>
          <w:szCs w:val="28"/>
          <w:highlight w:val="none"/>
          <w:lang w:val="en-US" w:eastAsia="zh-CN"/>
        </w:rPr>
        <w:t>潜在供应商应在焦作市公共资源交易中心网站获取竞争性磋商文件，并于2026年9月4日8时30分（北京时间）前提交响应文件。</w:t>
      </w:r>
    </w:p>
    <w:p w14:paraId="0E59468D">
      <w:pPr>
        <w:widowControl/>
        <w:numPr>
          <w:ilvl w:val="0"/>
          <w:numId w:val="0"/>
        </w:numPr>
        <w:wordWrap/>
        <w:snapToGrid/>
        <w:spacing w:line="560" w:lineRule="exact"/>
        <w:ind w:firstLine="562" w:firstLineChars="200"/>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一、项目基本情况</w:t>
      </w:r>
    </w:p>
    <w:p w14:paraId="38C76A88">
      <w:pPr>
        <w:widowControl/>
        <w:numPr>
          <w:ilvl w:val="0"/>
          <w:numId w:val="0"/>
        </w:numPr>
        <w:wordWrap/>
        <w:snapToGrid/>
        <w:spacing w:line="560" w:lineRule="exact"/>
        <w:ind w:firstLine="560" w:firstLineChars="200"/>
        <w:jc w:val="left"/>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项目编号</w:t>
      </w:r>
      <w:r>
        <w:rPr>
          <w:rFonts w:hint="eastAsia" w:ascii="仿宋_GB2312" w:hAnsi="仿宋_GB2312" w:eastAsia="仿宋_GB2312" w:cs="仿宋_GB2312"/>
          <w:color w:val="auto"/>
          <w:sz w:val="28"/>
          <w:szCs w:val="28"/>
          <w:highlight w:val="none"/>
          <w:lang w:val="en-US" w:eastAsia="zh-CN"/>
        </w:rPr>
        <w:t>：中财磋商采购-2026-34</w:t>
      </w:r>
    </w:p>
    <w:p w14:paraId="361415CD">
      <w:pPr>
        <w:widowControl/>
        <w:numPr>
          <w:ilvl w:val="0"/>
          <w:numId w:val="0"/>
        </w:numPr>
        <w:wordWrap/>
        <w:snapToGrid/>
        <w:spacing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项目名称：</w:t>
      </w:r>
      <w:r>
        <w:rPr>
          <w:rFonts w:hint="eastAsia" w:ascii="仿宋_GB2312" w:hAnsi="仿宋_GB2312" w:eastAsia="仿宋_GB2312" w:cs="仿宋_GB2312"/>
          <w:color w:val="auto"/>
          <w:sz w:val="28"/>
          <w:szCs w:val="28"/>
          <w:highlight w:val="none"/>
          <w:lang w:val="en-US" w:eastAsia="zh-CN"/>
        </w:rPr>
        <w:t>焦作市第四中学理化生实验室项目</w:t>
      </w:r>
    </w:p>
    <w:p w14:paraId="1C4E7158">
      <w:pPr>
        <w:pStyle w:val="9"/>
        <w:wordWrap/>
        <w:snapToGrid/>
        <w:spacing w:line="560" w:lineRule="exact"/>
        <w:ind w:firstLine="560" w:firstLineChars="200"/>
        <w:jc w:val="both"/>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lang w:eastAsia="zh-CN"/>
        </w:rPr>
        <w:t>采购方式：竞争性磋商</w:t>
      </w:r>
    </w:p>
    <w:p w14:paraId="6A38211D">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预算</w:t>
      </w:r>
      <w:r>
        <w:rPr>
          <w:rFonts w:hint="eastAsia" w:ascii="仿宋_GB2312" w:hAnsi="仿宋_GB2312" w:eastAsia="仿宋_GB2312" w:cs="仿宋_GB2312"/>
          <w:color w:val="auto"/>
          <w:sz w:val="28"/>
          <w:szCs w:val="28"/>
          <w:highlight w:val="none"/>
          <w:lang w:eastAsia="zh-CN"/>
        </w:rPr>
        <w:t>金额：</w:t>
      </w:r>
      <w:r>
        <w:rPr>
          <w:rFonts w:hint="eastAsia" w:ascii="仿宋_GB2312" w:hAnsi="仿宋_GB2312" w:eastAsia="仿宋_GB2312" w:cs="仿宋_GB2312"/>
          <w:color w:val="auto"/>
          <w:sz w:val="28"/>
          <w:szCs w:val="28"/>
          <w:highlight w:val="none"/>
          <w:lang w:val="en-US" w:eastAsia="zh-CN"/>
        </w:rPr>
        <w:t>1,150,000.00元</w:t>
      </w:r>
    </w:p>
    <w:p w14:paraId="33A96CFA">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最高限价：</w:t>
      </w:r>
      <w:r>
        <w:rPr>
          <w:rFonts w:hint="eastAsia" w:ascii="仿宋_GB2312" w:hAnsi="仿宋_GB2312" w:eastAsia="仿宋_GB2312" w:cs="仿宋_GB2312"/>
          <w:color w:val="auto"/>
          <w:sz w:val="28"/>
          <w:szCs w:val="28"/>
          <w:highlight w:val="none"/>
          <w:lang w:val="en-US" w:eastAsia="zh-CN"/>
        </w:rPr>
        <w:t>1,150,000.00元</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293"/>
        <w:gridCol w:w="1294"/>
        <w:gridCol w:w="1519"/>
        <w:gridCol w:w="1500"/>
        <w:gridCol w:w="789"/>
        <w:gridCol w:w="1476"/>
      </w:tblGrid>
      <w:tr w14:paraId="18695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noWrap w:val="0"/>
            <w:vAlign w:val="center"/>
          </w:tcPr>
          <w:p w14:paraId="1AEDCAEA">
            <w:pPr>
              <w:widowControl/>
              <w:spacing w:line="56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kern w:val="0"/>
                <w:szCs w:val="21"/>
                <w:highlight w:val="none"/>
                <w:lang w:bidi="ar"/>
              </w:rPr>
              <w:t>序号</w:t>
            </w:r>
          </w:p>
        </w:tc>
        <w:tc>
          <w:tcPr>
            <w:tcW w:w="1293" w:type="dxa"/>
            <w:noWrap w:val="0"/>
            <w:vAlign w:val="center"/>
          </w:tcPr>
          <w:p w14:paraId="262F2327">
            <w:pPr>
              <w:widowControl/>
              <w:spacing w:line="56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kern w:val="0"/>
                <w:szCs w:val="21"/>
                <w:highlight w:val="none"/>
                <w:lang w:bidi="ar"/>
              </w:rPr>
              <w:t>包号</w:t>
            </w:r>
          </w:p>
        </w:tc>
        <w:tc>
          <w:tcPr>
            <w:tcW w:w="1294" w:type="dxa"/>
            <w:noWrap w:val="0"/>
            <w:vAlign w:val="center"/>
          </w:tcPr>
          <w:p w14:paraId="6ED9B0A1">
            <w:pPr>
              <w:widowControl/>
              <w:spacing w:line="56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kern w:val="0"/>
                <w:szCs w:val="21"/>
                <w:highlight w:val="none"/>
                <w:lang w:bidi="ar"/>
              </w:rPr>
              <w:t>包名称</w:t>
            </w:r>
          </w:p>
        </w:tc>
        <w:tc>
          <w:tcPr>
            <w:tcW w:w="1519" w:type="dxa"/>
            <w:noWrap w:val="0"/>
            <w:vAlign w:val="center"/>
          </w:tcPr>
          <w:p w14:paraId="3EF393AF">
            <w:pPr>
              <w:keepNext w:val="0"/>
              <w:keepLines w:val="0"/>
              <w:widowControl/>
              <w:suppressLineNumbers w:val="0"/>
              <w:spacing w:line="432" w:lineRule="auto"/>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
              </w:rPr>
              <w:t>包预算（元）</w:t>
            </w:r>
          </w:p>
        </w:tc>
        <w:tc>
          <w:tcPr>
            <w:tcW w:w="1500" w:type="dxa"/>
            <w:noWrap w:val="0"/>
            <w:vAlign w:val="center"/>
          </w:tcPr>
          <w:p w14:paraId="6BF3C0EC">
            <w:pPr>
              <w:keepNext w:val="0"/>
              <w:keepLines w:val="0"/>
              <w:widowControl/>
              <w:suppressLineNumbers w:val="0"/>
              <w:spacing w:line="432" w:lineRule="auto"/>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
              </w:rPr>
              <w:t>包最高限价（元）</w:t>
            </w:r>
          </w:p>
        </w:tc>
        <w:tc>
          <w:tcPr>
            <w:tcW w:w="789" w:type="dxa"/>
            <w:noWrap w:val="0"/>
            <w:vAlign w:val="center"/>
          </w:tcPr>
          <w:p w14:paraId="14459CE1">
            <w:pPr>
              <w:widowControl/>
              <w:spacing w:line="432" w:lineRule="auto"/>
              <w:jc w:val="center"/>
              <w:rPr>
                <w:rFonts w:hint="eastAsia" w:ascii="宋体" w:hAnsi="宋体" w:eastAsia="宋体" w:cs="宋体"/>
                <w:b/>
                <w:bCs/>
                <w:color w:val="auto"/>
                <w:kern w:val="0"/>
                <w:sz w:val="21"/>
                <w:szCs w:val="21"/>
                <w:highlight w:val="none"/>
                <w:lang w:val="en-US" w:eastAsia="zh-CN" w:bidi="ar"/>
              </w:rPr>
            </w:pPr>
            <w:r>
              <w:rPr>
                <w:rFonts w:hint="eastAsia" w:ascii="宋体" w:hAnsi="宋体" w:cs="宋体"/>
                <w:b/>
                <w:bCs/>
                <w:color w:val="auto"/>
                <w:kern w:val="0"/>
                <w:szCs w:val="21"/>
                <w:highlight w:val="none"/>
                <w:lang w:val="en-US" w:eastAsia="zh-CN" w:bidi="ar"/>
              </w:rPr>
              <w:t>是否专门面向中小企业</w:t>
            </w:r>
          </w:p>
        </w:tc>
        <w:tc>
          <w:tcPr>
            <w:tcW w:w="1476" w:type="dxa"/>
            <w:noWrap w:val="0"/>
            <w:vAlign w:val="center"/>
          </w:tcPr>
          <w:p w14:paraId="4C83D63E">
            <w:pPr>
              <w:widowControl/>
              <w:spacing w:line="432" w:lineRule="auto"/>
              <w:jc w:val="center"/>
              <w:rPr>
                <w:rFonts w:hint="eastAsia" w:ascii="宋体" w:hAnsi="宋体" w:eastAsia="宋体" w:cs="宋体"/>
                <w:b/>
                <w:bCs/>
                <w:color w:val="auto"/>
                <w:kern w:val="0"/>
                <w:sz w:val="21"/>
                <w:szCs w:val="21"/>
                <w:highlight w:val="none"/>
                <w:lang w:val="en-US" w:eastAsia="zh-CN" w:bidi="ar"/>
              </w:rPr>
            </w:pPr>
            <w:r>
              <w:rPr>
                <w:rFonts w:hint="eastAsia" w:ascii="宋体" w:hAnsi="宋体" w:cs="宋体"/>
                <w:b/>
                <w:bCs/>
                <w:color w:val="auto"/>
                <w:kern w:val="0"/>
                <w:szCs w:val="21"/>
                <w:highlight w:val="none"/>
                <w:lang w:val="en-US" w:eastAsia="zh-CN" w:bidi="ar"/>
              </w:rPr>
              <w:t>采购预留金额（元）</w:t>
            </w:r>
          </w:p>
        </w:tc>
      </w:tr>
      <w:tr w14:paraId="4893A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8" w:hRule="atLeast"/>
        </w:trPr>
        <w:tc>
          <w:tcPr>
            <w:tcW w:w="651" w:type="dxa"/>
            <w:noWrap w:val="0"/>
            <w:vAlign w:val="center"/>
          </w:tcPr>
          <w:p w14:paraId="23753895">
            <w:pPr>
              <w:spacing w:line="5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293" w:type="dxa"/>
            <w:noWrap w:val="0"/>
            <w:vAlign w:val="center"/>
          </w:tcPr>
          <w:p w14:paraId="6C819696">
            <w:pPr>
              <w:spacing w:line="56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焦公资采购H2026-088-1</w:t>
            </w:r>
          </w:p>
        </w:tc>
        <w:tc>
          <w:tcPr>
            <w:tcW w:w="1294" w:type="dxa"/>
            <w:noWrap w:val="0"/>
            <w:vAlign w:val="center"/>
          </w:tcPr>
          <w:p w14:paraId="103A5299">
            <w:pPr>
              <w:spacing w:line="5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焦作市第四中学理化生实验室项目</w:t>
            </w:r>
          </w:p>
        </w:tc>
        <w:tc>
          <w:tcPr>
            <w:tcW w:w="1519" w:type="dxa"/>
            <w:noWrap w:val="0"/>
            <w:vAlign w:val="center"/>
          </w:tcPr>
          <w:p w14:paraId="4D4D8480">
            <w:pPr>
              <w:spacing w:line="5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1,150,000.00</w:t>
            </w:r>
          </w:p>
        </w:tc>
        <w:tc>
          <w:tcPr>
            <w:tcW w:w="1500" w:type="dxa"/>
            <w:noWrap w:val="0"/>
            <w:vAlign w:val="center"/>
          </w:tcPr>
          <w:p w14:paraId="35D0276F">
            <w:pPr>
              <w:spacing w:line="5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1,150,000.00</w:t>
            </w:r>
          </w:p>
        </w:tc>
        <w:tc>
          <w:tcPr>
            <w:tcW w:w="789" w:type="dxa"/>
            <w:noWrap w:val="0"/>
            <w:vAlign w:val="center"/>
          </w:tcPr>
          <w:p w14:paraId="59AF8302">
            <w:pPr>
              <w:spacing w:line="5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w:t>
            </w:r>
          </w:p>
        </w:tc>
        <w:tc>
          <w:tcPr>
            <w:tcW w:w="1476" w:type="dxa"/>
            <w:noWrap w:val="0"/>
            <w:vAlign w:val="center"/>
          </w:tcPr>
          <w:p w14:paraId="7CBFCB8E">
            <w:pPr>
              <w:spacing w:line="5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1,150,000.00</w:t>
            </w:r>
          </w:p>
        </w:tc>
      </w:tr>
    </w:tbl>
    <w:p w14:paraId="53189BDA">
      <w:pPr>
        <w:widowControl/>
        <w:numPr>
          <w:ilvl w:val="0"/>
          <w:numId w:val="0"/>
        </w:numPr>
        <w:wordWrap/>
        <w:snapToGrid/>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采购</w:t>
      </w:r>
      <w:r>
        <w:rPr>
          <w:rFonts w:hint="eastAsia" w:ascii="仿宋_GB2312" w:hAnsi="仿宋_GB2312" w:eastAsia="仿宋_GB2312" w:cs="仿宋_GB2312"/>
          <w:color w:val="auto"/>
          <w:sz w:val="28"/>
          <w:szCs w:val="28"/>
          <w:highlight w:val="none"/>
          <w:lang w:val="en-US" w:eastAsia="zh-CN"/>
        </w:rPr>
        <w:t>需求：（包括但不限于标的的名称、数量、简要技术需求或服务要求等）</w:t>
      </w:r>
      <w:r>
        <w:rPr>
          <w:rFonts w:hint="eastAsia" w:ascii="仿宋_GB2312" w:hAnsi="仿宋_GB2312" w:eastAsia="仿宋_GB2312" w:cs="仿宋_GB2312"/>
          <w:color w:val="auto"/>
          <w:sz w:val="28"/>
          <w:szCs w:val="28"/>
          <w:highlight w:val="none"/>
          <w:lang w:eastAsia="zh-CN"/>
        </w:rPr>
        <w:t>建设</w:t>
      </w:r>
      <w:r>
        <w:rPr>
          <w:rFonts w:hint="eastAsia" w:ascii="仿宋_GB2312" w:hAnsi="仿宋_GB2312" w:eastAsia="仿宋_GB2312" w:cs="仿宋_GB2312"/>
          <w:color w:val="auto"/>
          <w:sz w:val="28"/>
          <w:szCs w:val="28"/>
          <w:highlight w:val="none"/>
        </w:rPr>
        <w:t>物理吊装实验室</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化学智能吊装实验室</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生物智能吊装实验室</w:t>
      </w:r>
      <w:r>
        <w:rPr>
          <w:rFonts w:hint="eastAsia" w:ascii="仿宋_GB2312" w:hAnsi="仿宋_GB2312" w:eastAsia="仿宋_GB2312" w:cs="仿宋_GB2312"/>
          <w:color w:val="auto"/>
          <w:sz w:val="28"/>
          <w:szCs w:val="28"/>
          <w:highlight w:val="none"/>
          <w:lang w:eastAsia="zh-CN"/>
        </w:rPr>
        <w:t>；每个实验室含：实验桌、教师椅、</w:t>
      </w:r>
      <w:r>
        <w:rPr>
          <w:rFonts w:hint="eastAsia" w:ascii="仿宋_GB2312" w:hAnsi="仿宋_GB2312" w:eastAsia="仿宋_GB2312" w:cs="仿宋_GB2312"/>
          <w:color w:val="auto"/>
          <w:sz w:val="28"/>
          <w:szCs w:val="28"/>
          <w:highlight w:val="none"/>
        </w:rPr>
        <w:t>86寸一体机</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智能吊装集成系统</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给排水设备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通风设备</w:t>
      </w:r>
      <w:r>
        <w:rPr>
          <w:rFonts w:hint="eastAsia" w:ascii="仿宋_GB2312" w:hAnsi="仿宋_GB2312" w:eastAsia="仿宋_GB2312" w:cs="仿宋_GB2312"/>
          <w:color w:val="auto"/>
          <w:sz w:val="28"/>
          <w:szCs w:val="28"/>
          <w:highlight w:val="none"/>
          <w:lang w:eastAsia="zh-CN"/>
        </w:rPr>
        <w:t>等相关系统及设备的采购安装</w:t>
      </w:r>
      <w:r>
        <w:rPr>
          <w:rFonts w:hint="eastAsia" w:ascii="仿宋_GB2312" w:hAnsi="仿宋_GB2312" w:eastAsia="仿宋_GB2312" w:cs="仿宋_GB2312"/>
          <w:color w:val="auto"/>
          <w:sz w:val="28"/>
          <w:szCs w:val="28"/>
          <w:highlight w:val="none"/>
          <w:lang w:val="en-US" w:eastAsia="zh-CN"/>
        </w:rPr>
        <w:t>调试。</w:t>
      </w:r>
      <w:r>
        <w:rPr>
          <w:rFonts w:hint="eastAsia" w:ascii="仿宋_GB2312" w:hAnsi="仿宋_GB2312" w:eastAsia="仿宋_GB2312" w:cs="仿宋_GB2312"/>
          <w:color w:val="auto"/>
          <w:sz w:val="28"/>
          <w:szCs w:val="28"/>
          <w:highlight w:val="none"/>
        </w:rPr>
        <w:t>（详见</w:t>
      </w:r>
      <w:r>
        <w:rPr>
          <w:rFonts w:hint="eastAsia" w:ascii="仿宋_GB2312" w:hAnsi="仿宋_GB2312" w:eastAsia="仿宋_GB2312" w:cs="仿宋_GB2312"/>
          <w:color w:val="auto"/>
          <w:sz w:val="28"/>
          <w:szCs w:val="28"/>
          <w:highlight w:val="none"/>
          <w:lang w:val="en-US" w:eastAsia="zh-CN"/>
        </w:rPr>
        <w:t>磋商文件</w:t>
      </w:r>
      <w:r>
        <w:rPr>
          <w:rFonts w:hint="eastAsia" w:ascii="仿宋_GB2312" w:hAnsi="仿宋_GB2312" w:eastAsia="仿宋_GB2312" w:cs="仿宋_GB2312"/>
          <w:color w:val="auto"/>
          <w:sz w:val="28"/>
          <w:szCs w:val="28"/>
          <w:highlight w:val="none"/>
        </w:rPr>
        <w:t>第三</w:t>
      </w:r>
      <w:r>
        <w:rPr>
          <w:rFonts w:hint="eastAsia" w:ascii="仿宋_GB2312" w:hAnsi="仿宋_GB2312" w:eastAsia="仿宋_GB2312" w:cs="仿宋_GB2312"/>
          <w:color w:val="auto"/>
          <w:sz w:val="28"/>
          <w:szCs w:val="28"/>
          <w:highlight w:val="none"/>
          <w:lang w:val="en-US" w:eastAsia="zh-CN"/>
        </w:rPr>
        <w:t>章</w:t>
      </w:r>
      <w:r>
        <w:rPr>
          <w:rFonts w:hint="eastAsia" w:ascii="仿宋_GB2312" w:hAnsi="仿宋_GB2312" w:eastAsia="仿宋_GB2312" w:cs="仿宋_GB2312"/>
          <w:color w:val="auto"/>
          <w:sz w:val="28"/>
          <w:szCs w:val="28"/>
          <w:highlight w:val="none"/>
        </w:rPr>
        <w:t>）</w:t>
      </w:r>
    </w:p>
    <w:p w14:paraId="4D165947">
      <w:pPr>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6.合同履行期限：</w:t>
      </w:r>
      <w:r>
        <w:rPr>
          <w:rFonts w:hint="eastAsia" w:ascii="仿宋_GB2312" w:hAnsi="仿宋_GB2312" w:eastAsia="仿宋_GB2312" w:cs="仿宋_GB2312"/>
          <w:color w:val="auto"/>
          <w:sz w:val="28"/>
          <w:szCs w:val="28"/>
          <w:highlight w:val="none"/>
        </w:rPr>
        <w:t>自合同签订之日起45日历天内完成供货安装调试。</w:t>
      </w:r>
    </w:p>
    <w:p w14:paraId="4F60C2A0">
      <w:pPr>
        <w:widowControl w:val="0"/>
        <w:wordWrap/>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7.本项目是否接受联合体投标：否</w:t>
      </w:r>
      <w:r>
        <w:rPr>
          <w:rFonts w:hint="eastAsia" w:ascii="仿宋_GB2312" w:hAnsi="仿宋_GB2312" w:eastAsia="仿宋_GB2312" w:cs="仿宋_GB2312"/>
          <w:color w:val="auto"/>
          <w:sz w:val="30"/>
          <w:szCs w:val="30"/>
          <w:highlight w:val="none"/>
        </w:rPr>
        <w:t>。</w:t>
      </w:r>
    </w:p>
    <w:p w14:paraId="515C5AB2">
      <w:pPr>
        <w:widowControl w:val="0"/>
        <w:wordWrap/>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8.是否接受进口产品：否。</w:t>
      </w:r>
    </w:p>
    <w:p w14:paraId="47D5C1B8">
      <w:pPr>
        <w:widowControl w:val="0"/>
        <w:wordWrap/>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9.是否专门面向中小企业：是。</w:t>
      </w:r>
    </w:p>
    <w:p w14:paraId="5C81EBBB">
      <w:pPr>
        <w:wordWrap/>
        <w:snapToGrid/>
        <w:spacing w:line="560" w:lineRule="exact"/>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eastAsia="zh-CN"/>
        </w:rPr>
        <w:t>二</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lang w:eastAsia="zh-CN"/>
        </w:rPr>
        <w:t>申请人的</w:t>
      </w:r>
      <w:r>
        <w:rPr>
          <w:rFonts w:hint="eastAsia" w:ascii="仿宋" w:hAnsi="仿宋" w:eastAsia="仿宋" w:cs="仿宋"/>
          <w:b/>
          <w:bCs/>
          <w:color w:val="auto"/>
          <w:sz w:val="28"/>
          <w:szCs w:val="28"/>
          <w:highlight w:val="none"/>
        </w:rPr>
        <w:t>资格要求</w:t>
      </w:r>
    </w:p>
    <w:p w14:paraId="02AA7817">
      <w:pPr>
        <w:widowControl w:val="0"/>
        <w:wordWrap/>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满足《中华人民共和国政府采购法》第二十二条规定；</w:t>
      </w:r>
    </w:p>
    <w:p w14:paraId="407C6981">
      <w:pPr>
        <w:widowControl w:val="0"/>
        <w:wordWrap/>
        <w:adjustRightInd w:val="0"/>
        <w:snapToGrid/>
        <w:spacing w:line="560" w:lineRule="exact"/>
        <w:ind w:firstLine="560" w:firstLineChars="200"/>
        <w:jc w:val="both"/>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2.落实政府采购政策满足的资格要求：供应商所提供货物应由中小企业制造，即货物由中小企业生产且使用该中小企业商号或者注册商标（符合条件的监狱企业以及残疾人福利企业视同中小企业）；</w:t>
      </w:r>
    </w:p>
    <w:p w14:paraId="478111EE">
      <w:pPr>
        <w:pStyle w:val="12"/>
        <w:widowControl w:val="0"/>
        <w:wordWrap/>
        <w:adjustRightInd/>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3.本项目的特定资格要求:</w:t>
      </w:r>
    </w:p>
    <w:p w14:paraId="0502C7F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3.1供应商行贿犯罪档案记录（磋商会当日中国裁判文书网的信息）；</w:t>
      </w:r>
    </w:p>
    <w:p w14:paraId="24303E59">
      <w:pPr>
        <w:pStyle w:val="12"/>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kern w:val="2"/>
          <w:sz w:val="28"/>
          <w:szCs w:val="28"/>
          <w:highlight w:val="none"/>
          <w:lang w:val="en-US" w:eastAsia="zh-CN" w:bidi="ar-SA"/>
        </w:rPr>
        <w:t>3.2按照《财政部关于在政府采购活动中查询及使用信用记录有关问题</w:t>
      </w:r>
      <w:r>
        <w:rPr>
          <w:rFonts w:hint="eastAsia" w:ascii="仿宋_GB2312" w:hAnsi="仿宋_GB2312" w:eastAsia="仿宋_GB2312" w:cs="仿宋_GB2312"/>
          <w:color w:val="auto"/>
          <w:sz w:val="28"/>
          <w:szCs w:val="28"/>
          <w:highlight w:val="none"/>
        </w:rPr>
        <w:t>的通知》（财库〔2016〕125号）的要求，根据磋商会当日“信用中国”网站（www.creditchina.gov.cn）、中国政府采购网（www.ccgp.gov.cn）的信息，对列入失信被执行人、重大税收违法</w:t>
      </w:r>
      <w:r>
        <w:rPr>
          <w:rFonts w:hint="eastAsia" w:ascii="仿宋_GB2312" w:hAnsi="仿宋_GB2312" w:eastAsia="仿宋_GB2312" w:cs="仿宋_GB2312"/>
          <w:color w:val="auto"/>
          <w:sz w:val="28"/>
          <w:szCs w:val="28"/>
          <w:highlight w:val="none"/>
          <w:lang w:val="en-US" w:eastAsia="zh-CN"/>
        </w:rPr>
        <w:t>失信主体</w:t>
      </w:r>
      <w:r>
        <w:rPr>
          <w:rFonts w:hint="eastAsia" w:ascii="仿宋_GB2312" w:hAnsi="仿宋_GB2312" w:eastAsia="仿宋_GB2312" w:cs="仿宋_GB2312"/>
          <w:color w:val="auto"/>
          <w:sz w:val="28"/>
          <w:szCs w:val="28"/>
          <w:highlight w:val="none"/>
        </w:rPr>
        <w:t>、政府采购严重违法失信行为记录名单的供应商，拒绝参与政府采购活动，同时对信用信息查询记录和证据进行打印存档；</w:t>
      </w:r>
    </w:p>
    <w:p w14:paraId="49525CB4">
      <w:pPr>
        <w:pStyle w:val="12"/>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3.3未被人力资源社会保障主管部门列入拖欠农民工工资失信联合惩戒名单或无因拖欠农民工工资被县级及以上有关行政主管部门限制投标资格且在限制期限内（提供承诺函）。</w:t>
      </w:r>
    </w:p>
    <w:p w14:paraId="5B13A005">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备注：以上第</w:t>
      </w:r>
      <w:r>
        <w:rPr>
          <w:rFonts w:hint="eastAsia" w:ascii="仿宋" w:hAnsi="仿宋" w:eastAsia="仿宋" w:cs="仿宋"/>
          <w:b/>
          <w:bCs/>
          <w:color w:val="auto"/>
          <w:sz w:val="28"/>
          <w:szCs w:val="28"/>
          <w:highlight w:val="none"/>
          <w:lang w:val="en-US" w:eastAsia="zh-CN"/>
        </w:rPr>
        <w:t>3.1</w:t>
      </w:r>
      <w:r>
        <w:rPr>
          <w:rFonts w:hint="eastAsia" w:ascii="仿宋" w:hAnsi="仿宋" w:eastAsia="仿宋" w:cs="仿宋"/>
          <w:b/>
          <w:bCs/>
          <w:color w:val="auto"/>
          <w:sz w:val="28"/>
          <w:szCs w:val="28"/>
          <w:highlight w:val="none"/>
        </w:rPr>
        <w:t>条和第</w:t>
      </w:r>
      <w:r>
        <w:rPr>
          <w:rFonts w:hint="eastAsia" w:ascii="仿宋" w:hAnsi="仿宋" w:eastAsia="仿宋" w:cs="仿宋"/>
          <w:b/>
          <w:bCs/>
          <w:color w:val="auto"/>
          <w:sz w:val="28"/>
          <w:szCs w:val="28"/>
          <w:highlight w:val="none"/>
          <w:lang w:val="en-US" w:eastAsia="zh-CN"/>
        </w:rPr>
        <w:t>3.2</w:t>
      </w:r>
      <w:r>
        <w:rPr>
          <w:rFonts w:hint="eastAsia" w:ascii="仿宋" w:hAnsi="仿宋" w:eastAsia="仿宋" w:cs="仿宋"/>
          <w:b/>
          <w:bCs/>
          <w:color w:val="auto"/>
          <w:sz w:val="28"/>
          <w:szCs w:val="28"/>
          <w:highlight w:val="none"/>
        </w:rPr>
        <w:t>条由采购代理机构提供查询结果。</w:t>
      </w:r>
    </w:p>
    <w:p w14:paraId="2A47054D">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eastAsia="zh-CN"/>
        </w:rPr>
        <w:t>三</w:t>
      </w:r>
      <w:r>
        <w:rPr>
          <w:rFonts w:hint="eastAsia" w:ascii="仿宋" w:hAnsi="仿宋" w:eastAsia="仿宋" w:cs="仿宋"/>
          <w:b/>
          <w:bCs/>
          <w:color w:val="auto"/>
          <w:sz w:val="28"/>
          <w:szCs w:val="28"/>
          <w:highlight w:val="none"/>
        </w:rPr>
        <w:t>、获取竞争性磋商文件</w:t>
      </w:r>
    </w:p>
    <w:p w14:paraId="0B123A10">
      <w:pPr>
        <w:pStyle w:val="18"/>
        <w:widowControl/>
        <w:wordWrap/>
        <w:autoSpaceDE w:val="0"/>
        <w:snapToGrid/>
        <w:spacing w:before="0" w:beforeAutospacing="0" w:after="0" w:afterAutospacing="0" w:line="560" w:lineRule="exact"/>
        <w:ind w:left="0" w:right="0" w:firstLine="480"/>
        <w:jc w:val="both"/>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lang w:eastAsia="zh-CN"/>
        </w:rPr>
        <w:t>时间：</w:t>
      </w:r>
      <w:r>
        <w:rPr>
          <w:rFonts w:hint="eastAsia" w:ascii="仿宋_GB2312" w:hAnsi="仿宋_GB2312" w:eastAsia="仿宋_GB2312" w:cs="仿宋_GB2312"/>
          <w:color w:val="auto"/>
          <w:sz w:val="28"/>
          <w:szCs w:val="28"/>
          <w:highlight w:val="none"/>
          <w:lang w:val="en-US" w:eastAsia="zh-CN"/>
        </w:rPr>
        <w:t>2026年8月25日至2026年8月31日，每天上午00:00至12:00，下午12:00至23:59（北京时间，法定节假日除外。）</w:t>
      </w:r>
    </w:p>
    <w:p w14:paraId="3D3D3B5A">
      <w:pPr>
        <w:widowControl/>
        <w:wordWrap/>
        <w:snapToGrid/>
        <w:spacing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2.地点：焦作市公共资源交易中心网站;</w:t>
      </w:r>
    </w:p>
    <w:p w14:paraId="0B15BD68">
      <w:pPr>
        <w:widowControl/>
        <w:wordWrap/>
        <w:snapToGrid/>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方式：</w:t>
      </w:r>
      <w:r>
        <w:rPr>
          <w:rFonts w:hint="eastAsia" w:ascii="仿宋_GB2312" w:hAnsi="仿宋_GB2312" w:eastAsia="仿宋_GB2312" w:cs="仿宋_GB2312"/>
          <w:color w:val="auto"/>
          <w:sz w:val="28"/>
          <w:szCs w:val="28"/>
          <w:highlight w:val="none"/>
          <w:lang w:val="en-US" w:eastAsia="zh-CN"/>
        </w:rPr>
        <w:t>本项目采用网上获取竞争性磋商文件，凡有意参加者，请登陆焦作市公共资源交易中心网站“交易平台”栏目进行网上下载竞争性磋商文件；</w:t>
      </w:r>
    </w:p>
    <w:p w14:paraId="6C7FDA8A">
      <w:pPr>
        <w:widowControl w:val="0"/>
        <w:wordWrap/>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4</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售价：0元。</w:t>
      </w:r>
    </w:p>
    <w:p w14:paraId="76973B34">
      <w:pPr>
        <w:widowControl/>
        <w:tabs>
          <w:tab w:val="left" w:pos="3924"/>
        </w:tabs>
        <w:wordWrap/>
        <w:snapToGrid/>
        <w:spacing w:line="560" w:lineRule="exact"/>
        <w:ind w:firstLine="562" w:firstLineChars="200"/>
        <w:rPr>
          <w:rFonts w:hint="eastAsia" w:ascii="仿宋" w:hAnsi="仿宋" w:eastAsia="仿宋" w:cs="仿宋"/>
          <w:color w:val="auto"/>
          <w:sz w:val="28"/>
          <w:szCs w:val="28"/>
          <w:highlight w:val="none"/>
          <w:lang w:eastAsia="zh-CN"/>
        </w:rPr>
      </w:pPr>
      <w:r>
        <w:rPr>
          <w:rFonts w:hint="eastAsia" w:ascii="仿宋" w:hAnsi="仿宋" w:eastAsia="仿宋" w:cs="仿宋"/>
          <w:b/>
          <w:bCs/>
          <w:color w:val="auto"/>
          <w:sz w:val="28"/>
          <w:szCs w:val="28"/>
          <w:highlight w:val="none"/>
          <w:lang w:eastAsia="zh-CN"/>
        </w:rPr>
        <w:t>四</w:t>
      </w:r>
      <w:r>
        <w:rPr>
          <w:rFonts w:hint="eastAsia" w:ascii="仿宋" w:hAnsi="仿宋" w:eastAsia="仿宋" w:cs="仿宋"/>
          <w:b/>
          <w:bCs/>
          <w:color w:val="auto"/>
          <w:sz w:val="28"/>
          <w:szCs w:val="28"/>
          <w:highlight w:val="none"/>
        </w:rPr>
        <w:t>、响应文件提交</w:t>
      </w:r>
      <w:r>
        <w:rPr>
          <w:rFonts w:hint="eastAsia" w:ascii="仿宋" w:hAnsi="仿宋" w:eastAsia="仿宋" w:cs="仿宋"/>
          <w:b/>
          <w:bCs/>
          <w:color w:val="auto"/>
          <w:sz w:val="28"/>
          <w:szCs w:val="28"/>
          <w:highlight w:val="none"/>
          <w:lang w:eastAsia="zh-CN"/>
        </w:rPr>
        <w:tab/>
      </w:r>
    </w:p>
    <w:p w14:paraId="77CE8054">
      <w:pPr>
        <w:widowControl/>
        <w:wordWrap/>
        <w:snapToGrid/>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eastAsia="zh-CN"/>
        </w:rPr>
        <w:t>截止</w:t>
      </w:r>
      <w:r>
        <w:rPr>
          <w:rFonts w:hint="eastAsia" w:ascii="仿宋_GB2312" w:hAnsi="仿宋_GB2312" w:eastAsia="仿宋_GB2312" w:cs="仿宋_GB2312"/>
          <w:color w:val="auto"/>
          <w:sz w:val="28"/>
          <w:szCs w:val="28"/>
          <w:highlight w:val="none"/>
        </w:rPr>
        <w:t>时间：</w:t>
      </w:r>
      <w:r>
        <w:rPr>
          <w:rFonts w:hint="eastAsia" w:ascii="仿宋_GB2312" w:hAnsi="仿宋_GB2312" w:eastAsia="仿宋_GB2312" w:cs="仿宋_GB2312"/>
          <w:color w:val="auto"/>
          <w:sz w:val="28"/>
          <w:szCs w:val="28"/>
          <w:highlight w:val="none"/>
          <w:lang w:eastAsia="zh-CN"/>
        </w:rPr>
        <w:t>2026</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lang w:val="en-US" w:eastAsia="zh-CN"/>
        </w:rPr>
        <w:t>9</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日</w:t>
      </w:r>
      <w:r>
        <w:rPr>
          <w:rFonts w:hint="eastAsia" w:ascii="仿宋_GB2312" w:hAnsi="仿宋_GB2312" w:eastAsia="仿宋_GB2312" w:cs="仿宋_GB2312"/>
          <w:color w:val="auto"/>
          <w:sz w:val="28"/>
          <w:szCs w:val="28"/>
          <w:highlight w:val="none"/>
          <w:lang w:val="en-US" w:eastAsia="zh-CN"/>
        </w:rPr>
        <w:t>8时30分</w:t>
      </w:r>
      <w:r>
        <w:rPr>
          <w:rFonts w:hint="eastAsia" w:ascii="仿宋_GB2312" w:hAnsi="仿宋_GB2312" w:eastAsia="仿宋_GB2312" w:cs="仿宋_GB2312"/>
          <w:color w:val="auto"/>
          <w:sz w:val="28"/>
          <w:szCs w:val="28"/>
          <w:highlight w:val="none"/>
        </w:rPr>
        <w:t>（北京时间）</w:t>
      </w:r>
    </w:p>
    <w:p w14:paraId="7FBBE25B">
      <w:pPr>
        <w:pStyle w:val="12"/>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2.地点：加密电子</w:t>
      </w:r>
      <w:r>
        <w:rPr>
          <w:rFonts w:hint="eastAsia" w:ascii="仿宋_GB2312" w:hAnsi="仿宋_GB2312" w:eastAsia="仿宋_GB2312" w:cs="仿宋_GB2312"/>
          <w:color w:val="auto"/>
          <w:sz w:val="28"/>
          <w:szCs w:val="28"/>
          <w:highlight w:val="none"/>
          <w:lang w:val="en-US" w:eastAsia="zh-CN"/>
        </w:rPr>
        <w:t>响应性</w:t>
      </w:r>
      <w:r>
        <w:rPr>
          <w:rFonts w:hint="eastAsia" w:ascii="仿宋_GB2312" w:hAnsi="仿宋_GB2312" w:eastAsia="仿宋_GB2312" w:cs="仿宋_GB2312"/>
          <w:color w:val="auto"/>
          <w:sz w:val="28"/>
          <w:szCs w:val="28"/>
          <w:highlight w:val="none"/>
        </w:rPr>
        <w:t>文件须在</w:t>
      </w:r>
      <w:r>
        <w:rPr>
          <w:rFonts w:hint="eastAsia" w:ascii="仿宋_GB2312" w:hAnsi="仿宋_GB2312" w:eastAsia="仿宋_GB2312" w:cs="仿宋_GB2312"/>
          <w:color w:val="auto"/>
          <w:sz w:val="28"/>
          <w:szCs w:val="28"/>
          <w:highlight w:val="none"/>
          <w:lang w:val="en-US" w:eastAsia="zh-CN"/>
        </w:rPr>
        <w:t>响应性文件提交</w:t>
      </w:r>
      <w:r>
        <w:rPr>
          <w:rFonts w:hint="eastAsia" w:ascii="仿宋_GB2312" w:hAnsi="仿宋_GB2312" w:eastAsia="仿宋_GB2312" w:cs="仿宋_GB2312"/>
          <w:color w:val="auto"/>
          <w:sz w:val="28"/>
          <w:szCs w:val="28"/>
          <w:highlight w:val="none"/>
        </w:rPr>
        <w:t>截止时间前通过“焦作市公共资源交易中心（</w:t>
      </w:r>
      <w:r>
        <w:rPr>
          <w:rFonts w:hint="eastAsia" w:ascii="仿宋_GB2312" w:hAnsi="仿宋_GB2312" w:eastAsia="仿宋_GB2312" w:cs="仿宋_GB2312"/>
          <w:color w:val="auto"/>
          <w:sz w:val="28"/>
          <w:szCs w:val="28"/>
          <w:highlight w:val="none"/>
          <w:lang w:eastAsia="zh-CN"/>
        </w:rPr>
        <w:t>https://ggzy.jiaozuo.gov.cn/</w:t>
      </w:r>
      <w:r>
        <w:rPr>
          <w:rFonts w:hint="eastAsia" w:ascii="仿宋_GB2312" w:hAnsi="仿宋_GB2312" w:eastAsia="仿宋_GB2312" w:cs="仿宋_GB2312"/>
          <w:color w:val="auto"/>
          <w:sz w:val="28"/>
          <w:szCs w:val="28"/>
          <w:highlight w:val="none"/>
        </w:rPr>
        <w:t>）”网站-交易平台加密上传</w:t>
      </w:r>
      <w:r>
        <w:rPr>
          <w:rFonts w:hint="eastAsia" w:ascii="仿宋_GB2312" w:hAnsi="仿宋_GB2312" w:eastAsia="仿宋_GB2312" w:cs="仿宋_GB2312"/>
          <w:color w:val="auto"/>
          <w:sz w:val="28"/>
          <w:szCs w:val="28"/>
          <w:highlight w:val="none"/>
          <w:lang w:eastAsia="zh-CN"/>
        </w:rPr>
        <w:t>。</w:t>
      </w:r>
    </w:p>
    <w:p w14:paraId="1B8FBE94">
      <w:pPr>
        <w:widowControl/>
        <w:wordWrap/>
        <w:snapToGrid/>
        <w:spacing w:line="560" w:lineRule="exact"/>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eastAsia="zh-CN"/>
        </w:rPr>
        <w:t>五</w:t>
      </w:r>
      <w:r>
        <w:rPr>
          <w:rFonts w:hint="eastAsia" w:ascii="仿宋" w:hAnsi="仿宋" w:eastAsia="仿宋" w:cs="仿宋"/>
          <w:b/>
          <w:bCs/>
          <w:color w:val="auto"/>
          <w:sz w:val="28"/>
          <w:szCs w:val="28"/>
          <w:highlight w:val="none"/>
        </w:rPr>
        <w:t>、响应文件开启</w:t>
      </w:r>
    </w:p>
    <w:p w14:paraId="77A965BC">
      <w:pPr>
        <w:widowControl/>
        <w:wordWrap/>
        <w:snapToGrid/>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1.时间：</w:t>
      </w:r>
      <w:r>
        <w:rPr>
          <w:rFonts w:hint="eastAsia" w:ascii="仿宋_GB2312" w:hAnsi="仿宋_GB2312" w:eastAsia="仿宋_GB2312" w:cs="仿宋_GB2312"/>
          <w:color w:val="auto"/>
          <w:sz w:val="28"/>
          <w:szCs w:val="28"/>
          <w:highlight w:val="none"/>
          <w:lang w:eastAsia="zh-CN"/>
        </w:rPr>
        <w:t>2026</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lang w:val="en-US" w:eastAsia="zh-CN"/>
        </w:rPr>
        <w:t>9</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日</w:t>
      </w:r>
      <w:r>
        <w:rPr>
          <w:rFonts w:hint="eastAsia" w:ascii="仿宋_GB2312" w:hAnsi="仿宋_GB2312" w:eastAsia="仿宋_GB2312" w:cs="仿宋_GB2312"/>
          <w:color w:val="auto"/>
          <w:sz w:val="28"/>
          <w:szCs w:val="28"/>
          <w:highlight w:val="none"/>
          <w:lang w:val="en-US" w:eastAsia="zh-CN"/>
        </w:rPr>
        <w:t>8时30分</w:t>
      </w:r>
      <w:r>
        <w:rPr>
          <w:rFonts w:hint="eastAsia" w:ascii="仿宋_GB2312" w:hAnsi="仿宋_GB2312" w:eastAsia="仿宋_GB2312" w:cs="仿宋_GB2312"/>
          <w:color w:val="auto"/>
          <w:sz w:val="28"/>
          <w:szCs w:val="28"/>
          <w:highlight w:val="none"/>
        </w:rPr>
        <w:t>（北京时间）</w:t>
      </w:r>
    </w:p>
    <w:p w14:paraId="4705E0D9">
      <w:pPr>
        <w:widowControl/>
        <w:wordWrap/>
        <w:snapToGrid/>
        <w:spacing w:line="560" w:lineRule="exact"/>
        <w:ind w:firstLine="560" w:firstLineChars="200"/>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2.地点：焦作市人民路889号阳光大厦B座焦作市公共资源交易中心</w:t>
      </w:r>
      <w:r>
        <w:rPr>
          <w:rFonts w:hint="eastAsia" w:ascii="仿宋_GB2312" w:hAnsi="仿宋_GB2312" w:eastAsia="仿宋_GB2312" w:cs="仿宋_GB2312"/>
          <w:color w:val="auto"/>
          <w:sz w:val="28"/>
          <w:szCs w:val="28"/>
          <w:highlight w:val="none"/>
          <w:lang w:val="en-US" w:eastAsia="zh-CN"/>
        </w:rPr>
        <w:t>第一开标室4号机。</w:t>
      </w:r>
    </w:p>
    <w:p w14:paraId="3A442887">
      <w:pPr>
        <w:wordWrap/>
        <w:snapToGrid/>
        <w:spacing w:line="560" w:lineRule="exact"/>
        <w:ind w:firstLine="562" w:firstLineChars="200"/>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六、公告期限</w:t>
      </w:r>
    </w:p>
    <w:p w14:paraId="3BB0245A">
      <w:pPr>
        <w:widowControl w:val="0"/>
        <w:wordWrap/>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本次招标公告在《河南省政府采购网》</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焦作市公共资源交易中心网</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上发布。招标公告期限为</w:t>
      </w:r>
      <w:r>
        <w:rPr>
          <w:rFonts w:hint="eastAsia" w:ascii="仿宋_GB2312" w:hAnsi="仿宋_GB2312" w:eastAsia="仿宋_GB2312" w:cs="仿宋_GB2312"/>
          <w:color w:val="auto"/>
          <w:sz w:val="28"/>
          <w:szCs w:val="28"/>
          <w:highlight w:val="none"/>
          <w:lang w:val="en-US" w:eastAsia="zh-CN"/>
        </w:rPr>
        <w:t>三</w:t>
      </w:r>
      <w:r>
        <w:rPr>
          <w:rFonts w:hint="eastAsia" w:ascii="仿宋_GB2312" w:hAnsi="仿宋_GB2312" w:eastAsia="仿宋_GB2312" w:cs="仿宋_GB2312"/>
          <w:color w:val="auto"/>
          <w:sz w:val="28"/>
          <w:szCs w:val="28"/>
          <w:highlight w:val="none"/>
        </w:rPr>
        <w:t>个工作日</w:t>
      </w:r>
      <w:r>
        <w:rPr>
          <w:rFonts w:hint="eastAsia" w:ascii="仿宋_GB2312" w:hAnsi="仿宋_GB2312" w:eastAsia="仿宋_GB2312" w:cs="仿宋_GB2312"/>
          <w:color w:val="auto"/>
          <w:sz w:val="28"/>
          <w:szCs w:val="28"/>
          <w:highlight w:val="none"/>
          <w:lang w:eastAsia="zh-CN"/>
        </w:rPr>
        <w:t>。</w:t>
      </w:r>
    </w:p>
    <w:p w14:paraId="13DAB2DD">
      <w:pPr>
        <w:wordWrap/>
        <w:snapToGrid/>
        <w:spacing w:line="560" w:lineRule="exact"/>
        <w:ind w:firstLine="562" w:firstLineChars="200"/>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七、其他补充事宜</w:t>
      </w:r>
    </w:p>
    <w:p w14:paraId="2D8DE36B">
      <w:pPr>
        <w:widowControl w:val="0"/>
        <w:wordWrap/>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1.需要落实的政府采购政策：促进中小企业和监狱企业发展扶持政策、促进残疾人就业政府采购政策、实施本国产品标准及相关政策、节能产品、环境标志产品政府强制采购和优先采购。</w:t>
      </w:r>
    </w:p>
    <w:p w14:paraId="57892DFC">
      <w:pPr>
        <w:widowControl w:val="0"/>
        <w:wordWrap/>
        <w:adjustRightInd/>
        <w:snapToGrid/>
        <w:spacing w:line="560" w:lineRule="exact"/>
        <w:ind w:firstLine="560" w:firstLineChars="20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2.请各供应商提前办理 CA 数字证书，并学习电子响应性文件制作。加密的电子响应性文件须使用CA数字证书上传。为防止网络拥堵等不可控因素影响加密的电子响应性文件上传，请各供应商提前上传，因未能及时上传导致投标失败的责任由供应商自行承担。为保护用户账户的安全和即将开展的电子化开评标，投标人必须使用移动CA或实体CA证书等数字认证方式登录招投标交易平台，移动CA通过交易主体登录页扫码下载app线上申请即可，实体CA办理可通过网站办事指南查询办理流程。</w:t>
      </w:r>
    </w:p>
    <w:p w14:paraId="52C27584">
      <w:pPr>
        <w:widowControl w:val="0"/>
        <w:wordWrap/>
        <w:adjustRightInd/>
        <w:snapToGrid/>
        <w:spacing w:line="560" w:lineRule="exact"/>
        <w:ind w:firstLine="560" w:firstLineChars="20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3.按要求进行网上获取并下载竞争性磋商文件,凡未在规定时间内获取竞争性磋商文件者视为无效标。</w:t>
      </w:r>
    </w:p>
    <w:p w14:paraId="119015CD">
      <w:pPr>
        <w:widowControl w:val="0"/>
        <w:wordWrap/>
        <w:adjustRightInd/>
        <w:snapToGrid/>
        <w:spacing w:line="560" w:lineRule="exact"/>
        <w:ind w:firstLine="560" w:firstLineChars="20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获取竞争性磋商文件后，请下载并安装最新版本投标文件制作工具，制作电子响应性文件，在响应性文件提交截止时间前，上传加密的响应性文件。供应商未在响应性文件提交截止时间前完成上传的，视为逾期送达，焦作市电子招投标交易平台将拒绝接收。</w:t>
      </w:r>
    </w:p>
    <w:p w14:paraId="2E2420E0">
      <w:pPr>
        <w:widowControl w:val="0"/>
        <w:wordWrap/>
        <w:adjustRightInd/>
        <w:snapToGrid/>
        <w:spacing w:line="560" w:lineRule="exact"/>
        <w:ind w:firstLine="560" w:firstLineChars="20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5.平台统一技术服务电话为：0512-58188538，服务QQ:4008503300,服务时间:周一至周日8:00-17:30（北京时间）。</w:t>
      </w:r>
    </w:p>
    <w:p w14:paraId="5BE96277">
      <w:pPr>
        <w:widowControl w:val="0"/>
        <w:wordWrap/>
        <w:adjustRightInd/>
        <w:snapToGrid/>
        <w:spacing w:line="56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6.本项目采用远程不见面交易的模式，磋商当日，供应商无需到现场参加磋商会议，应在响应性文件提交截止时间前，登录“不见面开标大厅系统”，在线准时参加磋商活动，在规定时间内进行文件解密。各潜在供应商因加密电子响应性文件未能成功上传，其投标将被拒绝。供应商需在响应文件提交截止时间后 30分钟内完成解密，否则造成的一切后果由供应商自行负责</w:t>
      </w:r>
      <w:r>
        <w:rPr>
          <w:rFonts w:hint="eastAsia" w:ascii="仿宋_GB2312" w:hAnsi="仿宋_GB2312" w:eastAsia="仿宋_GB2312" w:cs="仿宋_GB2312"/>
          <w:b/>
          <w:bCs/>
          <w:color w:val="auto"/>
          <w:sz w:val="28"/>
          <w:szCs w:val="28"/>
          <w:highlight w:val="none"/>
          <w:lang w:val="en-US" w:eastAsia="zh-CN"/>
        </w:rPr>
        <w:t>。</w:t>
      </w:r>
      <w:r>
        <w:rPr>
          <w:rFonts w:hint="eastAsia" w:ascii="仿宋_GB2312" w:hAnsi="仿宋_GB2312" w:eastAsia="仿宋_GB2312" w:cs="仿宋_GB2312"/>
          <w:color w:val="auto"/>
          <w:sz w:val="28"/>
          <w:szCs w:val="28"/>
          <w:highlight w:val="none"/>
          <w:lang w:val="en-US" w:eastAsia="zh-CN"/>
        </w:rPr>
        <w:t>除电子响应性文件外，磋商时不再接受任何纸质文件、资料等</w:t>
      </w:r>
      <w:r>
        <w:rPr>
          <w:rFonts w:hint="eastAsia" w:ascii="仿宋_GB2312" w:hAnsi="仿宋_GB2312" w:eastAsia="仿宋_GB2312" w:cs="仿宋_GB2312"/>
          <w:color w:val="auto"/>
          <w:sz w:val="28"/>
          <w:szCs w:val="28"/>
          <w:highlight w:val="none"/>
        </w:rPr>
        <w:t>。</w:t>
      </w:r>
    </w:p>
    <w:p w14:paraId="4C240621">
      <w:pPr>
        <w:numPr>
          <w:ilvl w:val="0"/>
          <w:numId w:val="2"/>
        </w:numPr>
        <w:wordWrap/>
        <w:snapToGrid/>
        <w:spacing w:line="560" w:lineRule="exact"/>
        <w:ind w:firstLine="562" w:firstLineChars="200"/>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凡对本次磋商提出询问，请按以下方式联系。</w:t>
      </w:r>
    </w:p>
    <w:p w14:paraId="7A393212">
      <w:pPr>
        <w:widowControl/>
        <w:wordWrap/>
        <w:snapToGrid/>
        <w:spacing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1.采购人信息</w:t>
      </w:r>
    </w:p>
    <w:p w14:paraId="0E61B3E3">
      <w:pPr>
        <w:spacing w:line="560" w:lineRule="exact"/>
        <w:ind w:firstLine="560" w:firstLineChars="200"/>
        <w:jc w:val="both"/>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名称：</w:t>
      </w:r>
      <w:r>
        <w:rPr>
          <w:rFonts w:hint="eastAsia" w:ascii="仿宋_GB2312" w:hAnsi="仿宋_GB2312" w:eastAsia="仿宋_GB2312" w:cs="仿宋_GB2312"/>
          <w:color w:val="auto"/>
          <w:sz w:val="28"/>
          <w:szCs w:val="28"/>
          <w:highlight w:val="none"/>
          <w:lang w:val="en-US" w:eastAsia="zh-CN"/>
        </w:rPr>
        <w:t>焦作市第四中学</w:t>
      </w:r>
    </w:p>
    <w:p w14:paraId="36615B85">
      <w:pPr>
        <w:spacing w:line="560" w:lineRule="exact"/>
        <w:ind w:firstLine="560" w:firstLineChars="200"/>
        <w:jc w:val="both"/>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地址：焦作市中站区解放西路9号‌</w:t>
      </w:r>
    </w:p>
    <w:p w14:paraId="72A3410D">
      <w:pPr>
        <w:spacing w:line="560" w:lineRule="exact"/>
        <w:ind w:firstLine="560" w:firstLineChars="200"/>
        <w:jc w:val="both"/>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联系人：赵先生</w:t>
      </w:r>
    </w:p>
    <w:p w14:paraId="5DC1FEB5">
      <w:pPr>
        <w:spacing w:line="560" w:lineRule="exact"/>
        <w:ind w:firstLine="560" w:firstLineChars="200"/>
        <w:jc w:val="both"/>
        <w:rPr>
          <w:rFonts w:hint="default" w:ascii="仿宋_GB2312" w:hAnsi="仿宋_GB2312" w:eastAsia="仿宋_GB2312" w:cs="仿宋_GB2312"/>
          <w:color w:val="auto"/>
          <w:sz w:val="28"/>
          <w:szCs w:val="28"/>
          <w:highlight w:val="none"/>
          <w:lang w:val="en-US"/>
        </w:rPr>
      </w:pPr>
      <w:r>
        <w:rPr>
          <w:rFonts w:hint="eastAsia" w:ascii="仿宋_GB2312" w:hAnsi="仿宋_GB2312" w:eastAsia="仿宋_GB2312" w:cs="仿宋_GB2312"/>
          <w:color w:val="auto"/>
          <w:sz w:val="28"/>
          <w:szCs w:val="28"/>
          <w:highlight w:val="none"/>
          <w:lang w:val="en-US" w:eastAsia="zh-CN"/>
        </w:rPr>
        <w:t>联系方式：13603447087</w:t>
      </w:r>
    </w:p>
    <w:p w14:paraId="72865334">
      <w:pPr>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2.采购代理机构信息</w:t>
      </w:r>
    </w:p>
    <w:p w14:paraId="5A63A3B7">
      <w:pPr>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名称：焦作市公共资源项目服务有限责任公司</w:t>
      </w:r>
    </w:p>
    <w:p w14:paraId="666C0649">
      <w:pPr>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地址：焦作市人民路889号阳光大厦B座</w:t>
      </w:r>
    </w:p>
    <w:p w14:paraId="306AE531">
      <w:pPr>
        <w:spacing w:line="560" w:lineRule="exact"/>
        <w:ind w:firstLine="560" w:firstLineChars="200"/>
        <w:jc w:val="both"/>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联系人：</w:t>
      </w:r>
      <w:r>
        <w:rPr>
          <w:rFonts w:hint="eastAsia" w:ascii="仿宋_GB2312" w:hAnsi="仿宋_GB2312" w:eastAsia="仿宋_GB2312" w:cs="仿宋_GB2312"/>
          <w:color w:val="auto"/>
          <w:sz w:val="28"/>
          <w:szCs w:val="28"/>
          <w:highlight w:val="none"/>
          <w:lang w:val="en-US" w:eastAsia="zh-CN"/>
        </w:rPr>
        <w:t>张先生</w:t>
      </w:r>
    </w:p>
    <w:p w14:paraId="3AFD551C">
      <w:pPr>
        <w:spacing w:line="560" w:lineRule="exact"/>
        <w:ind w:firstLine="560" w:firstLineChars="200"/>
        <w:jc w:val="both"/>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联系方式：</w:t>
      </w:r>
      <w:r>
        <w:rPr>
          <w:rFonts w:hint="eastAsia" w:ascii="仿宋_GB2312" w:hAnsi="仿宋_GB2312" w:eastAsia="仿宋_GB2312" w:cs="仿宋_GB2312"/>
          <w:color w:val="auto"/>
          <w:sz w:val="28"/>
          <w:szCs w:val="28"/>
          <w:highlight w:val="none"/>
          <w:lang w:val="en-US" w:eastAsia="zh-CN"/>
        </w:rPr>
        <w:t>17603918777</w:t>
      </w:r>
    </w:p>
    <w:p w14:paraId="254F6DBE">
      <w:pPr>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3.项目联系方式</w:t>
      </w:r>
    </w:p>
    <w:p w14:paraId="6B29BBFD">
      <w:pPr>
        <w:spacing w:line="560" w:lineRule="exact"/>
        <w:ind w:firstLine="560" w:firstLineChars="200"/>
        <w:jc w:val="both"/>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项目联系人：</w:t>
      </w:r>
      <w:r>
        <w:rPr>
          <w:rFonts w:hint="eastAsia" w:ascii="仿宋_GB2312" w:hAnsi="仿宋_GB2312" w:eastAsia="仿宋_GB2312" w:cs="仿宋_GB2312"/>
          <w:color w:val="auto"/>
          <w:sz w:val="28"/>
          <w:szCs w:val="28"/>
          <w:highlight w:val="none"/>
          <w:lang w:val="en-US" w:eastAsia="zh-CN"/>
        </w:rPr>
        <w:t xml:space="preserve">赵先生              张先生                </w:t>
      </w:r>
    </w:p>
    <w:p w14:paraId="7F52A22B">
      <w:pPr>
        <w:widowControl w:val="0"/>
        <w:wordWrap/>
        <w:adjustRightInd w:val="0"/>
        <w:snapToGrid/>
        <w:spacing w:line="560" w:lineRule="exact"/>
        <w:ind w:firstLine="560" w:firstLineChars="200"/>
        <w:jc w:val="both"/>
        <w:textAlignment w:val="baseline"/>
        <w:rPr>
          <w:rFonts w:hint="eastAsia" w:ascii="仿宋" w:hAnsi="仿宋" w:eastAsia="仿宋" w:cs="仿宋"/>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电      话：13603447087      17603918777</w:t>
      </w:r>
      <w:r>
        <w:rPr>
          <w:rFonts w:hint="eastAsia" w:ascii="仿宋_GB2312" w:hAnsi="仿宋_GB2312" w:eastAsia="仿宋_GB2312" w:cs="仿宋_GB2312"/>
          <w:color w:val="auto"/>
          <w:sz w:val="28"/>
          <w:szCs w:val="28"/>
          <w:highlight w:val="none"/>
        </w:rPr>
        <w:br w:type="page"/>
      </w:r>
    </w:p>
    <w:p w14:paraId="5EC53035">
      <w:pPr>
        <w:jc w:val="center"/>
        <w:rPr>
          <w:b/>
          <w:color w:val="auto"/>
          <w:sz w:val="30"/>
          <w:szCs w:val="30"/>
          <w:highlight w:val="none"/>
        </w:rPr>
      </w:pPr>
      <w:r>
        <w:rPr>
          <w:rFonts w:hint="eastAsia"/>
          <w:b/>
          <w:color w:val="auto"/>
          <w:sz w:val="30"/>
          <w:szCs w:val="30"/>
          <w:highlight w:val="none"/>
        </w:rPr>
        <w:t>第二章</w:t>
      </w:r>
      <w:r>
        <w:rPr>
          <w:b/>
          <w:color w:val="auto"/>
          <w:sz w:val="30"/>
          <w:szCs w:val="30"/>
          <w:highlight w:val="none"/>
        </w:rPr>
        <w:t xml:space="preserve">    </w:t>
      </w:r>
      <w:r>
        <w:rPr>
          <w:rFonts w:hint="eastAsia"/>
          <w:b/>
          <w:color w:val="auto"/>
          <w:sz w:val="30"/>
          <w:szCs w:val="30"/>
          <w:highlight w:val="none"/>
        </w:rPr>
        <w:t>供应商须知</w:t>
      </w:r>
    </w:p>
    <w:tbl>
      <w:tblPr>
        <w:tblStyle w:val="21"/>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995"/>
        <w:gridCol w:w="6056"/>
      </w:tblGrid>
      <w:tr w14:paraId="6B2C9B4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8786" w:type="dxa"/>
            <w:gridSpan w:val="3"/>
            <w:tcBorders>
              <w:top w:val="double" w:color="auto" w:sz="4" w:space="0"/>
              <w:left w:val="double" w:color="auto" w:sz="4" w:space="0"/>
              <w:bottom w:val="single" w:color="auto" w:sz="4" w:space="0"/>
              <w:right w:val="double" w:color="auto" w:sz="4" w:space="0"/>
            </w:tcBorders>
            <w:noWrap w:val="0"/>
            <w:vAlign w:val="center"/>
          </w:tcPr>
          <w:p w14:paraId="16B55287">
            <w:pPr>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供应商须知前附表</w:t>
            </w:r>
          </w:p>
        </w:tc>
      </w:tr>
      <w:tr w14:paraId="279422A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735" w:type="dxa"/>
            <w:tcBorders>
              <w:top w:val="single" w:color="auto" w:sz="4" w:space="0"/>
              <w:left w:val="double" w:color="auto" w:sz="4" w:space="0"/>
              <w:bottom w:val="single" w:color="auto" w:sz="4" w:space="0"/>
              <w:right w:val="single" w:color="auto" w:sz="4" w:space="0"/>
            </w:tcBorders>
            <w:noWrap w:val="0"/>
            <w:vAlign w:val="center"/>
          </w:tcPr>
          <w:p w14:paraId="159A19E1">
            <w:pPr>
              <w:spacing w:before="156" w:before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995" w:type="dxa"/>
            <w:tcBorders>
              <w:top w:val="single" w:color="auto" w:sz="4" w:space="0"/>
              <w:left w:val="single" w:color="auto" w:sz="4" w:space="0"/>
              <w:bottom w:val="single" w:color="auto" w:sz="4" w:space="0"/>
              <w:right w:val="single" w:color="auto" w:sz="4" w:space="0"/>
            </w:tcBorders>
            <w:noWrap w:val="0"/>
            <w:vAlign w:val="center"/>
          </w:tcPr>
          <w:p w14:paraId="2059887E">
            <w:pPr>
              <w:spacing w:before="156" w:before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w:t>
            </w:r>
          </w:p>
        </w:tc>
        <w:tc>
          <w:tcPr>
            <w:tcW w:w="6056" w:type="dxa"/>
            <w:tcBorders>
              <w:top w:val="single" w:color="auto" w:sz="4" w:space="0"/>
              <w:left w:val="single" w:color="auto" w:sz="4" w:space="0"/>
              <w:bottom w:val="single" w:color="auto" w:sz="4" w:space="0"/>
              <w:right w:val="double" w:color="auto" w:sz="4" w:space="0"/>
            </w:tcBorders>
            <w:noWrap w:val="0"/>
            <w:vAlign w:val="center"/>
          </w:tcPr>
          <w:p w14:paraId="314526FE">
            <w:pPr>
              <w:spacing w:before="156" w:beforeLines="50"/>
              <w:ind w:firstLine="2100" w:firstLineChars="10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  容</w:t>
            </w:r>
          </w:p>
        </w:tc>
      </w:tr>
      <w:tr w14:paraId="4663433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735" w:type="dxa"/>
            <w:tcBorders>
              <w:top w:val="single" w:color="auto" w:sz="4" w:space="0"/>
              <w:left w:val="double" w:color="auto" w:sz="4" w:space="0"/>
              <w:bottom w:val="single" w:color="auto" w:sz="4" w:space="0"/>
              <w:right w:val="single" w:color="auto" w:sz="4" w:space="0"/>
            </w:tcBorders>
            <w:noWrap w:val="0"/>
            <w:vAlign w:val="center"/>
          </w:tcPr>
          <w:p w14:paraId="18A9BE73">
            <w:pPr>
              <w:numPr>
                <w:ilvl w:val="0"/>
                <w:numId w:val="3"/>
              </w:numPr>
              <w:spacing w:before="156" w:beforeLines="50"/>
              <w:jc w:val="center"/>
              <w:rPr>
                <w:rFonts w:hint="eastAsia" w:ascii="宋体" w:hAnsi="宋体" w:eastAsia="宋体" w:cs="宋体"/>
                <w:color w:val="auto"/>
                <w:sz w:val="21"/>
                <w:szCs w:val="21"/>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39E61D72">
            <w:pPr>
              <w:ind w:left="-8" w:leftChars="-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项目概况</w:t>
            </w:r>
          </w:p>
        </w:tc>
        <w:tc>
          <w:tcPr>
            <w:tcW w:w="6056" w:type="dxa"/>
            <w:tcBorders>
              <w:top w:val="single" w:color="auto" w:sz="4" w:space="0"/>
              <w:left w:val="single" w:color="auto" w:sz="4" w:space="0"/>
              <w:bottom w:val="single" w:color="auto" w:sz="4" w:space="0"/>
              <w:right w:val="double" w:color="auto" w:sz="4" w:space="0"/>
            </w:tcBorders>
            <w:noWrap w:val="0"/>
            <w:vAlign w:val="center"/>
          </w:tcPr>
          <w:p w14:paraId="3B4E72A9">
            <w:pPr>
              <w:numPr>
                <w:ilvl w:val="0"/>
                <w:numId w:val="0"/>
              </w:numPr>
              <w:spacing w:line="360" w:lineRule="auto"/>
              <w:jc w:val="left"/>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1、项目名称：焦作市第四中学理化生实验室项目</w:t>
            </w:r>
          </w:p>
          <w:p w14:paraId="5925A970">
            <w:pPr>
              <w:numPr>
                <w:ilvl w:val="0"/>
                <w:numId w:val="0"/>
              </w:numPr>
              <w:spacing w:line="360" w:lineRule="auto"/>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2、资金来源：财政资金</w:t>
            </w:r>
          </w:p>
          <w:p w14:paraId="2F5939F0">
            <w:pPr>
              <w:numPr>
                <w:ilvl w:val="0"/>
                <w:numId w:val="0"/>
              </w:numPr>
              <w:spacing w:line="360" w:lineRule="auto"/>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3、采购内容</w:t>
            </w:r>
            <w:r>
              <w:rPr>
                <w:rFonts w:hint="eastAsia" w:ascii="宋体" w:hAnsi="宋体" w:eastAsia="宋体" w:cs="宋体"/>
                <w:color w:val="auto"/>
                <w:sz w:val="21"/>
                <w:szCs w:val="21"/>
                <w:highlight w:val="none"/>
                <w:lang w:val="en-US" w:eastAsia="zh-CN"/>
              </w:rPr>
              <w:t>：建设物理吊装实验室、化学智能吊装实验室、生物智能吊装实验室</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每个实验室含：实验桌、教师椅、86寸一体机、智能吊装集成系统、给排水设备、通风设备等相关系统及设备的采购安装调试</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（详见磋商文件第三章）</w:t>
            </w:r>
          </w:p>
          <w:p w14:paraId="0B2B1E15">
            <w:pPr>
              <w:numPr>
                <w:ilvl w:val="0"/>
                <w:numId w:val="0"/>
              </w:numPr>
              <w:spacing w:line="360" w:lineRule="auto"/>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4、合同履行期限</w:t>
            </w:r>
            <w:r>
              <w:rPr>
                <w:rFonts w:hint="eastAsia" w:ascii="宋体" w:hAnsi="宋体" w:eastAsia="宋体" w:cs="宋体"/>
                <w:color w:val="auto"/>
                <w:sz w:val="21"/>
                <w:szCs w:val="21"/>
                <w:highlight w:val="none"/>
                <w:lang w:val="en-US" w:eastAsia="zh-CN"/>
              </w:rPr>
              <w:t xml:space="preserve">：自合同签订之日起45日历天内完成供货安装调试。 </w:t>
            </w:r>
          </w:p>
          <w:p w14:paraId="67375F29">
            <w:pPr>
              <w:numPr>
                <w:ilvl w:val="0"/>
                <w:numId w:val="0"/>
              </w:num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采购人：</w:t>
            </w:r>
            <w:r>
              <w:rPr>
                <w:rFonts w:hint="eastAsia" w:ascii="宋体" w:hAnsi="宋体" w:cs="宋体"/>
                <w:color w:val="auto"/>
                <w:sz w:val="21"/>
                <w:szCs w:val="21"/>
                <w:highlight w:val="none"/>
                <w:lang w:val="en-US" w:eastAsia="zh-CN"/>
              </w:rPr>
              <w:t>焦作市第四中学</w:t>
            </w:r>
          </w:p>
          <w:p w14:paraId="0C0CFF6F">
            <w:pP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 xml:space="preserve">采购代理机构：焦作市公共资源项目服务有限责任公司 </w:t>
            </w:r>
          </w:p>
        </w:tc>
      </w:tr>
      <w:tr w14:paraId="7E06A75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35" w:type="dxa"/>
            <w:tcBorders>
              <w:top w:val="single" w:color="auto" w:sz="4" w:space="0"/>
              <w:left w:val="double" w:color="auto" w:sz="4" w:space="0"/>
              <w:bottom w:val="single" w:color="auto" w:sz="4" w:space="0"/>
              <w:right w:val="single" w:color="auto" w:sz="4" w:space="0"/>
            </w:tcBorders>
            <w:noWrap w:val="0"/>
            <w:vAlign w:val="center"/>
          </w:tcPr>
          <w:p w14:paraId="69208262">
            <w:pPr>
              <w:numPr>
                <w:ilvl w:val="0"/>
                <w:numId w:val="3"/>
              </w:numPr>
              <w:spacing w:before="156" w:beforeLines="50"/>
              <w:jc w:val="center"/>
              <w:rPr>
                <w:rFonts w:hint="eastAsia" w:ascii="宋体" w:hAnsi="宋体" w:eastAsia="宋体" w:cs="宋体"/>
                <w:color w:val="auto"/>
                <w:sz w:val="21"/>
                <w:szCs w:val="21"/>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3929A370">
            <w:pPr>
              <w:spacing w:before="156" w:beforeLines="50"/>
              <w:ind w:left="-4" w:leftChars="-4" w:hanging="4" w:hangingChars="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对供应商的资格要求</w:t>
            </w:r>
          </w:p>
        </w:tc>
        <w:tc>
          <w:tcPr>
            <w:tcW w:w="6056" w:type="dxa"/>
            <w:tcBorders>
              <w:top w:val="single" w:color="auto" w:sz="4" w:space="0"/>
              <w:left w:val="single" w:color="auto" w:sz="4" w:space="0"/>
              <w:bottom w:val="single" w:color="auto" w:sz="4" w:space="0"/>
              <w:right w:val="double" w:color="auto" w:sz="4" w:space="0"/>
            </w:tcBorders>
            <w:noWrap w:val="0"/>
            <w:vAlign w:val="center"/>
          </w:tcPr>
          <w:p w14:paraId="06D15472">
            <w:pPr>
              <w:numPr>
                <w:ilvl w:val="0"/>
                <w:numId w:val="0"/>
              </w:num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1、满足《中华人民共和国政府采购法》第二十二条规定；</w:t>
            </w:r>
          </w:p>
          <w:p w14:paraId="23629F3D">
            <w:pPr>
              <w:numPr>
                <w:ilvl w:val="0"/>
                <w:numId w:val="0"/>
              </w:numPr>
              <w:spacing w:line="360" w:lineRule="auto"/>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2、落实政府采购政策满足的资格要求：供应商所提供货物应由中小企业制造，即货物由中小企业生产且使用该中小企业商号或者注册商标（符合条件的监狱企业以及残疾人福利企业视同中小企业）；</w:t>
            </w:r>
          </w:p>
          <w:p w14:paraId="2CB6D2CA">
            <w:pPr>
              <w:numPr>
                <w:ilvl w:val="0"/>
                <w:numId w:val="0"/>
              </w:num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3、本项目的特定资格要求:</w:t>
            </w:r>
          </w:p>
          <w:p w14:paraId="48AA4C44">
            <w:pPr>
              <w:numPr>
                <w:ilvl w:val="0"/>
                <w:numId w:val="0"/>
              </w:num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3.1、供应商行贿犯罪档案记录（磋商会当日中国裁判文书网的信息）；</w:t>
            </w:r>
          </w:p>
          <w:p w14:paraId="41E2616D">
            <w:pPr>
              <w:numPr>
                <w:ilvl w:val="0"/>
                <w:numId w:val="0"/>
              </w:numPr>
              <w:spacing w:line="360" w:lineRule="auto"/>
              <w:jc w:val="left"/>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3.2、按照《财政部关于在政府采购活动中查询及使用信用记录有关问题</w:t>
            </w:r>
            <w:r>
              <w:rPr>
                <w:rFonts w:hint="eastAsia" w:ascii="宋体" w:hAnsi="宋体" w:eastAsia="宋体" w:cs="宋体"/>
                <w:color w:val="auto"/>
                <w:sz w:val="21"/>
                <w:szCs w:val="21"/>
                <w:highlight w:val="none"/>
              </w:rPr>
              <w:t>的通知》（财库〔2016〕125号）的要求，根据磋商会当日“信用中国”网站（www.creditchina.gov.cn）、中国政府采购网（www.ccgp.gov.cn）的信息，对列入失信被执行人、</w:t>
            </w:r>
            <w:r>
              <w:rPr>
                <w:rFonts w:hint="eastAsia" w:ascii="宋体" w:hAnsi="宋体" w:cs="宋体"/>
                <w:color w:val="auto"/>
                <w:szCs w:val="21"/>
                <w:highlight w:val="none"/>
              </w:rPr>
              <w:t>重大税收违法</w:t>
            </w:r>
            <w:r>
              <w:rPr>
                <w:rFonts w:hint="eastAsia" w:ascii="宋体" w:hAnsi="宋体" w:cs="宋体"/>
                <w:color w:val="auto"/>
                <w:szCs w:val="21"/>
                <w:highlight w:val="none"/>
                <w:lang w:val="en-US" w:eastAsia="zh-CN"/>
              </w:rPr>
              <w:t>失信主体</w:t>
            </w:r>
            <w:r>
              <w:rPr>
                <w:rFonts w:hint="eastAsia" w:ascii="宋体" w:hAnsi="宋体" w:eastAsia="宋体" w:cs="宋体"/>
                <w:color w:val="auto"/>
                <w:sz w:val="21"/>
                <w:szCs w:val="21"/>
                <w:highlight w:val="none"/>
              </w:rPr>
              <w:t>、政府采购严重违法失信行为记录名单的供应商，拒绝参与政府采购活动，同时对信用信息查询记录和证据进行打印存档</w:t>
            </w:r>
            <w:r>
              <w:rPr>
                <w:rFonts w:hint="eastAsia" w:ascii="宋体" w:hAnsi="宋体" w:cs="宋体"/>
                <w:color w:val="auto"/>
                <w:sz w:val="21"/>
                <w:szCs w:val="21"/>
                <w:highlight w:val="none"/>
                <w:lang w:eastAsia="zh-CN"/>
              </w:rPr>
              <w:t>；</w:t>
            </w:r>
          </w:p>
          <w:p w14:paraId="2EEC865F">
            <w:pPr>
              <w:numPr>
                <w:ilvl w:val="0"/>
                <w:numId w:val="0"/>
              </w:numPr>
              <w:spacing w:line="360" w:lineRule="auto"/>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3.3、未被人力资源社会保障主管部门列入拖欠农民工工资失信联合惩戒名单或无因拖欠农民工工资被县级及以上有关行政主管部门限制投标资格且在限制期限内（提供承诺函）。</w:t>
            </w:r>
          </w:p>
          <w:p w14:paraId="456BE94A">
            <w:pPr>
              <w:numPr>
                <w:ilvl w:val="0"/>
                <w:numId w:val="0"/>
              </w:num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备注：以上第</w:t>
            </w:r>
            <w:r>
              <w:rPr>
                <w:rFonts w:hint="eastAsia" w:ascii="宋体" w:hAnsi="宋体" w:eastAsia="宋体" w:cs="宋体"/>
                <w:color w:val="auto"/>
                <w:sz w:val="21"/>
                <w:szCs w:val="21"/>
                <w:highlight w:val="none"/>
                <w:lang w:val="en-US" w:eastAsia="zh-CN"/>
              </w:rPr>
              <w:t>3.1</w:t>
            </w:r>
            <w:r>
              <w:rPr>
                <w:rFonts w:hint="eastAsia" w:ascii="宋体" w:hAnsi="宋体" w:eastAsia="宋体" w:cs="宋体"/>
                <w:color w:val="auto"/>
                <w:sz w:val="21"/>
                <w:szCs w:val="21"/>
                <w:highlight w:val="none"/>
              </w:rPr>
              <w:t>条和第</w:t>
            </w:r>
            <w:r>
              <w:rPr>
                <w:rFonts w:hint="eastAsia" w:ascii="宋体" w:hAnsi="宋体" w:eastAsia="宋体" w:cs="宋体"/>
                <w:color w:val="auto"/>
                <w:sz w:val="21"/>
                <w:szCs w:val="21"/>
                <w:highlight w:val="none"/>
                <w:lang w:val="en-US" w:eastAsia="zh-CN"/>
              </w:rPr>
              <w:t>3.2</w:t>
            </w:r>
            <w:r>
              <w:rPr>
                <w:rFonts w:hint="eastAsia" w:ascii="宋体" w:hAnsi="宋体" w:eastAsia="宋体" w:cs="宋体"/>
                <w:color w:val="auto"/>
                <w:sz w:val="21"/>
                <w:szCs w:val="21"/>
                <w:highlight w:val="none"/>
              </w:rPr>
              <w:t>条由采购代理机构提供查询结果。</w:t>
            </w:r>
          </w:p>
        </w:tc>
      </w:tr>
      <w:tr w14:paraId="0FE936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35" w:type="dxa"/>
            <w:tcBorders>
              <w:top w:val="single" w:color="auto" w:sz="4" w:space="0"/>
              <w:left w:val="double" w:color="auto" w:sz="4" w:space="0"/>
              <w:bottom w:val="single" w:color="auto" w:sz="4" w:space="0"/>
              <w:right w:val="single" w:color="auto" w:sz="4" w:space="0"/>
            </w:tcBorders>
            <w:noWrap w:val="0"/>
            <w:vAlign w:val="center"/>
          </w:tcPr>
          <w:p w14:paraId="68D8D093">
            <w:pPr>
              <w:numPr>
                <w:ilvl w:val="0"/>
                <w:numId w:val="3"/>
              </w:numPr>
              <w:spacing w:before="156" w:beforeLines="50"/>
              <w:jc w:val="center"/>
              <w:rPr>
                <w:rFonts w:hint="eastAsia" w:ascii="宋体" w:hAnsi="宋体" w:eastAsia="宋体" w:cs="宋体"/>
                <w:color w:val="auto"/>
                <w:sz w:val="21"/>
                <w:szCs w:val="21"/>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1B2022F8">
            <w:pPr>
              <w:spacing w:before="156" w:before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报价费用</w:t>
            </w:r>
          </w:p>
        </w:tc>
        <w:tc>
          <w:tcPr>
            <w:tcW w:w="6056" w:type="dxa"/>
            <w:tcBorders>
              <w:top w:val="single" w:color="auto" w:sz="4" w:space="0"/>
              <w:left w:val="single" w:color="auto" w:sz="4" w:space="0"/>
              <w:bottom w:val="single" w:color="auto" w:sz="4" w:space="0"/>
              <w:right w:val="double" w:color="auto" w:sz="4" w:space="0"/>
            </w:tcBorders>
            <w:noWrap w:val="0"/>
            <w:vAlign w:val="center"/>
          </w:tcPr>
          <w:p w14:paraId="5D30E7C0">
            <w:pPr>
              <w:numPr>
                <w:ilvl w:val="0"/>
                <w:numId w:val="0"/>
              </w:num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无论报价和磋商的过程和结果如何，供应商自行承担所有与参加报名及磋商有关活动的全部费用。</w:t>
            </w:r>
          </w:p>
        </w:tc>
      </w:tr>
      <w:tr w14:paraId="1F3B3CB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5" w:type="dxa"/>
            <w:tcBorders>
              <w:top w:val="single" w:color="auto" w:sz="4" w:space="0"/>
              <w:left w:val="double" w:color="auto" w:sz="4" w:space="0"/>
              <w:bottom w:val="single" w:color="auto" w:sz="4" w:space="0"/>
              <w:right w:val="single" w:color="auto" w:sz="4" w:space="0"/>
            </w:tcBorders>
            <w:noWrap w:val="0"/>
            <w:vAlign w:val="center"/>
          </w:tcPr>
          <w:p w14:paraId="7D0B50B5">
            <w:pPr>
              <w:numPr>
                <w:ilvl w:val="0"/>
                <w:numId w:val="3"/>
              </w:numPr>
              <w:spacing w:before="156" w:beforeLines="50"/>
              <w:rPr>
                <w:rFonts w:hint="eastAsia" w:ascii="宋体" w:hAnsi="宋体" w:eastAsia="宋体" w:cs="宋体"/>
                <w:color w:val="auto"/>
                <w:sz w:val="21"/>
                <w:szCs w:val="21"/>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612F017B">
            <w:pPr>
              <w:spacing w:before="156" w:before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响应文件语言</w:t>
            </w:r>
          </w:p>
        </w:tc>
        <w:tc>
          <w:tcPr>
            <w:tcW w:w="6056" w:type="dxa"/>
            <w:tcBorders>
              <w:top w:val="single" w:color="auto" w:sz="4" w:space="0"/>
              <w:left w:val="single" w:color="auto" w:sz="4" w:space="0"/>
              <w:bottom w:val="single" w:color="auto" w:sz="4" w:space="0"/>
              <w:right w:val="double" w:color="auto" w:sz="4" w:space="0"/>
            </w:tcBorders>
            <w:noWrap w:val="0"/>
            <w:vAlign w:val="center"/>
          </w:tcPr>
          <w:p w14:paraId="57FA139D">
            <w:pPr>
              <w:numPr>
                <w:ilvl w:val="0"/>
                <w:numId w:val="0"/>
              </w:num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中文</w:t>
            </w:r>
          </w:p>
        </w:tc>
      </w:tr>
      <w:tr w14:paraId="108447C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735" w:type="dxa"/>
            <w:tcBorders>
              <w:top w:val="single" w:color="auto" w:sz="4" w:space="0"/>
              <w:left w:val="double" w:color="auto" w:sz="4" w:space="0"/>
              <w:bottom w:val="single" w:color="auto" w:sz="4" w:space="0"/>
              <w:right w:val="single" w:color="auto" w:sz="4" w:space="0"/>
            </w:tcBorders>
            <w:noWrap w:val="0"/>
            <w:vAlign w:val="center"/>
          </w:tcPr>
          <w:p w14:paraId="17A09CC7">
            <w:pPr>
              <w:numPr>
                <w:ilvl w:val="0"/>
                <w:numId w:val="3"/>
              </w:numPr>
              <w:spacing w:before="156" w:beforeLines="50"/>
              <w:rPr>
                <w:rFonts w:hint="eastAsia" w:ascii="宋体" w:hAnsi="宋体" w:eastAsia="宋体" w:cs="宋体"/>
                <w:color w:val="auto"/>
                <w:sz w:val="21"/>
                <w:szCs w:val="21"/>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74D83581">
            <w:pPr>
              <w:spacing w:before="156" w:before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报价货币</w:t>
            </w:r>
          </w:p>
        </w:tc>
        <w:tc>
          <w:tcPr>
            <w:tcW w:w="6056" w:type="dxa"/>
            <w:tcBorders>
              <w:top w:val="single" w:color="auto" w:sz="4" w:space="0"/>
              <w:left w:val="single" w:color="auto" w:sz="4" w:space="0"/>
              <w:bottom w:val="single" w:color="auto" w:sz="4" w:space="0"/>
              <w:right w:val="double" w:color="auto" w:sz="4" w:space="0"/>
            </w:tcBorders>
            <w:noWrap w:val="0"/>
            <w:vAlign w:val="center"/>
          </w:tcPr>
          <w:p w14:paraId="06F042E5">
            <w:pPr>
              <w:numPr>
                <w:ilvl w:val="0"/>
                <w:numId w:val="0"/>
              </w:num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人民币</w:t>
            </w:r>
          </w:p>
        </w:tc>
      </w:tr>
      <w:tr w14:paraId="3BD1EE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735" w:type="dxa"/>
            <w:tcBorders>
              <w:top w:val="single" w:color="auto" w:sz="4" w:space="0"/>
              <w:left w:val="double" w:color="auto" w:sz="4" w:space="0"/>
              <w:bottom w:val="single" w:color="auto" w:sz="4" w:space="0"/>
              <w:right w:val="single" w:color="auto" w:sz="4" w:space="0"/>
            </w:tcBorders>
            <w:noWrap w:val="0"/>
            <w:vAlign w:val="center"/>
          </w:tcPr>
          <w:p w14:paraId="30084A2F">
            <w:pPr>
              <w:numPr>
                <w:ilvl w:val="0"/>
                <w:numId w:val="3"/>
              </w:numPr>
              <w:spacing w:before="156" w:beforeLines="50"/>
              <w:jc w:val="center"/>
              <w:rPr>
                <w:rFonts w:hint="eastAsia" w:ascii="宋体" w:hAnsi="宋体" w:eastAsia="宋体" w:cs="宋体"/>
                <w:color w:val="auto"/>
                <w:sz w:val="21"/>
                <w:szCs w:val="21"/>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7CED4D45">
            <w:pPr>
              <w:spacing w:before="156" w:before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报价范围及说明</w:t>
            </w:r>
          </w:p>
        </w:tc>
        <w:tc>
          <w:tcPr>
            <w:tcW w:w="6056" w:type="dxa"/>
            <w:tcBorders>
              <w:top w:val="single" w:color="auto" w:sz="4" w:space="0"/>
              <w:left w:val="single" w:color="auto" w:sz="4" w:space="0"/>
              <w:bottom w:val="single" w:color="auto" w:sz="4" w:space="0"/>
              <w:right w:val="double" w:color="auto" w:sz="4" w:space="0"/>
            </w:tcBorders>
            <w:noWrap w:val="0"/>
            <w:vAlign w:val="center"/>
          </w:tcPr>
          <w:p w14:paraId="068B0407">
            <w:pPr>
              <w:numPr>
                <w:ilvl w:val="0"/>
                <w:numId w:val="0"/>
              </w:num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所有磋商报价均以人民币元为计算单位。供应商所报总价应包括其履行本项目合同（如果成交）所需的所有费用。</w:t>
            </w:r>
          </w:p>
        </w:tc>
      </w:tr>
      <w:tr w14:paraId="56BC5B3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35" w:type="dxa"/>
            <w:tcBorders>
              <w:top w:val="single" w:color="auto" w:sz="4" w:space="0"/>
              <w:left w:val="double" w:color="auto" w:sz="4" w:space="0"/>
              <w:bottom w:val="single" w:color="auto" w:sz="4" w:space="0"/>
              <w:right w:val="single" w:color="auto" w:sz="4" w:space="0"/>
            </w:tcBorders>
            <w:noWrap w:val="0"/>
            <w:vAlign w:val="center"/>
          </w:tcPr>
          <w:p w14:paraId="37C2D9B1">
            <w:pPr>
              <w:numPr>
                <w:ilvl w:val="0"/>
                <w:numId w:val="3"/>
              </w:numPr>
              <w:spacing w:before="156" w:beforeLines="50"/>
              <w:jc w:val="center"/>
              <w:rPr>
                <w:rFonts w:hint="eastAsia" w:ascii="宋体" w:hAnsi="宋体" w:eastAsia="宋体" w:cs="宋体"/>
                <w:color w:val="auto"/>
                <w:sz w:val="21"/>
                <w:szCs w:val="21"/>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3DA0D3DD">
            <w:pPr>
              <w:spacing w:before="156" w:before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响应文件有效期</w:t>
            </w:r>
          </w:p>
        </w:tc>
        <w:tc>
          <w:tcPr>
            <w:tcW w:w="6056" w:type="dxa"/>
            <w:tcBorders>
              <w:top w:val="single" w:color="auto" w:sz="4" w:space="0"/>
              <w:left w:val="single" w:color="auto" w:sz="4" w:space="0"/>
              <w:bottom w:val="single" w:color="auto" w:sz="4" w:space="0"/>
              <w:right w:val="double" w:color="auto" w:sz="4" w:space="0"/>
            </w:tcBorders>
            <w:noWrap w:val="0"/>
            <w:vAlign w:val="center"/>
          </w:tcPr>
          <w:p w14:paraId="32B24824">
            <w:pPr>
              <w:numPr>
                <w:ilvl w:val="0"/>
                <w:numId w:val="0"/>
              </w:num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响应文件递交截止期后60日内有效</w:t>
            </w:r>
          </w:p>
        </w:tc>
      </w:tr>
      <w:tr w14:paraId="15DDF8F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735" w:type="dxa"/>
            <w:tcBorders>
              <w:top w:val="single" w:color="auto" w:sz="4" w:space="0"/>
              <w:left w:val="double" w:color="auto" w:sz="4" w:space="0"/>
              <w:bottom w:val="single" w:color="auto" w:sz="4" w:space="0"/>
              <w:right w:val="single" w:color="auto" w:sz="4" w:space="0"/>
            </w:tcBorders>
            <w:noWrap w:val="0"/>
            <w:vAlign w:val="center"/>
          </w:tcPr>
          <w:p w14:paraId="6CEF6FD6">
            <w:pPr>
              <w:numPr>
                <w:ilvl w:val="0"/>
                <w:numId w:val="3"/>
              </w:numPr>
              <w:spacing w:before="156" w:beforeLines="50"/>
              <w:jc w:val="center"/>
              <w:rPr>
                <w:rFonts w:hint="eastAsia" w:ascii="宋体" w:hAnsi="宋体" w:eastAsia="宋体" w:cs="宋体"/>
                <w:color w:val="auto"/>
                <w:sz w:val="21"/>
                <w:szCs w:val="21"/>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7E6EF847">
            <w:pPr>
              <w:tabs>
                <w:tab w:val="left" w:pos="8640"/>
              </w:tabs>
              <w:spacing w:before="156" w:beforeLines="50"/>
              <w:ind w:left="-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响应文件的组成</w:t>
            </w:r>
          </w:p>
        </w:tc>
        <w:tc>
          <w:tcPr>
            <w:tcW w:w="6056" w:type="dxa"/>
            <w:tcBorders>
              <w:top w:val="single" w:color="auto" w:sz="4" w:space="0"/>
              <w:left w:val="single" w:color="auto" w:sz="4" w:space="0"/>
              <w:bottom w:val="single" w:color="auto" w:sz="4" w:space="0"/>
              <w:right w:val="double" w:color="auto" w:sz="4" w:space="0"/>
            </w:tcBorders>
            <w:noWrap w:val="0"/>
            <w:vAlign w:val="center"/>
          </w:tcPr>
          <w:p w14:paraId="37A241F8">
            <w:pPr>
              <w:numPr>
                <w:ilvl w:val="0"/>
                <w:numId w:val="0"/>
              </w:num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供应商应按本磋商文件规定的格式，填写并提供相关文件或资料，本磋商文件第三</w:t>
            </w:r>
            <w:r>
              <w:rPr>
                <w:rFonts w:hint="eastAsia" w:ascii="宋体" w:hAnsi="宋体" w:cs="宋体"/>
                <w:color w:val="auto"/>
                <w:sz w:val="21"/>
                <w:szCs w:val="21"/>
                <w:highlight w:val="none"/>
                <w:lang w:val="en-US" w:eastAsia="zh-CN"/>
              </w:rPr>
              <w:t>章</w:t>
            </w:r>
            <w:r>
              <w:rPr>
                <w:rFonts w:hint="eastAsia" w:ascii="宋体" w:hAnsi="宋体" w:eastAsia="宋体" w:cs="宋体"/>
                <w:color w:val="auto"/>
                <w:sz w:val="21"/>
                <w:szCs w:val="21"/>
                <w:highlight w:val="none"/>
                <w:lang w:val="en-US" w:eastAsia="zh-CN"/>
              </w:rPr>
              <w:t>要求的文件和资料也须一并提供。供应商还可根据自己的理解，提供其他必要的技术响应资料及附件。</w:t>
            </w:r>
          </w:p>
        </w:tc>
      </w:tr>
      <w:tr w14:paraId="7E807D4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735" w:type="dxa"/>
            <w:tcBorders>
              <w:top w:val="single" w:color="auto" w:sz="4" w:space="0"/>
              <w:left w:val="double" w:color="auto" w:sz="4" w:space="0"/>
              <w:bottom w:val="single" w:color="auto" w:sz="4" w:space="0"/>
              <w:right w:val="single" w:color="auto" w:sz="4" w:space="0"/>
            </w:tcBorders>
            <w:noWrap w:val="0"/>
            <w:vAlign w:val="center"/>
          </w:tcPr>
          <w:p w14:paraId="39A97FAD">
            <w:pPr>
              <w:numPr>
                <w:ilvl w:val="0"/>
                <w:numId w:val="3"/>
              </w:numPr>
              <w:spacing w:before="156" w:beforeLines="50"/>
              <w:jc w:val="center"/>
              <w:rPr>
                <w:rFonts w:hint="eastAsia" w:ascii="宋体" w:hAnsi="宋体" w:eastAsia="宋体" w:cs="宋体"/>
                <w:color w:val="auto"/>
                <w:sz w:val="21"/>
                <w:szCs w:val="21"/>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066FC66E">
            <w:pPr>
              <w:tabs>
                <w:tab w:val="left" w:pos="8640"/>
              </w:tabs>
              <w:spacing w:before="156" w:beforeLines="50"/>
              <w:ind w:left="-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响应文件封面要求</w:t>
            </w:r>
          </w:p>
        </w:tc>
        <w:tc>
          <w:tcPr>
            <w:tcW w:w="6056" w:type="dxa"/>
            <w:tcBorders>
              <w:top w:val="single" w:color="auto" w:sz="4" w:space="0"/>
              <w:left w:val="single" w:color="auto" w:sz="4" w:space="0"/>
              <w:bottom w:val="single" w:color="auto" w:sz="4" w:space="0"/>
              <w:right w:val="double" w:color="auto" w:sz="4" w:space="0"/>
            </w:tcBorders>
            <w:noWrap w:val="0"/>
            <w:vAlign w:val="center"/>
          </w:tcPr>
          <w:p w14:paraId="3C2F5DC7">
            <w:pPr>
              <w:numPr>
                <w:ilvl w:val="0"/>
                <w:numId w:val="0"/>
              </w:num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列明项目名称、本磋商文件编号、供应商名称</w:t>
            </w:r>
          </w:p>
        </w:tc>
      </w:tr>
      <w:tr w14:paraId="5414E12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tcBorders>
              <w:top w:val="single" w:color="auto" w:sz="4" w:space="0"/>
              <w:left w:val="double" w:color="auto" w:sz="4" w:space="0"/>
              <w:bottom w:val="single" w:color="auto" w:sz="4" w:space="0"/>
              <w:right w:val="single" w:color="auto" w:sz="4" w:space="0"/>
            </w:tcBorders>
            <w:noWrap w:val="0"/>
            <w:vAlign w:val="center"/>
          </w:tcPr>
          <w:p w14:paraId="19854339">
            <w:pPr>
              <w:numPr>
                <w:ilvl w:val="0"/>
                <w:numId w:val="3"/>
              </w:numPr>
              <w:spacing w:before="156" w:beforeLines="50"/>
              <w:jc w:val="center"/>
              <w:rPr>
                <w:rFonts w:hint="eastAsia" w:ascii="宋体" w:hAnsi="宋体" w:eastAsia="宋体" w:cs="宋体"/>
                <w:color w:val="auto"/>
                <w:sz w:val="21"/>
                <w:szCs w:val="21"/>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5C556D9F">
            <w:pPr>
              <w:spacing w:before="156" w:before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响应文件份数要求</w:t>
            </w:r>
          </w:p>
        </w:tc>
        <w:tc>
          <w:tcPr>
            <w:tcW w:w="6056" w:type="dxa"/>
            <w:tcBorders>
              <w:top w:val="single" w:color="auto" w:sz="4" w:space="0"/>
              <w:left w:val="single" w:color="auto" w:sz="4" w:space="0"/>
              <w:bottom w:val="single" w:color="auto" w:sz="4" w:space="0"/>
              <w:right w:val="double" w:color="auto" w:sz="4" w:space="0"/>
            </w:tcBorders>
            <w:noWrap w:val="0"/>
            <w:vAlign w:val="center"/>
          </w:tcPr>
          <w:p w14:paraId="699A8C64">
            <w:pPr>
              <w:numPr>
                <w:ilvl w:val="0"/>
                <w:numId w:val="0"/>
              </w:num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上传</w:t>
            </w:r>
            <w:r>
              <w:rPr>
                <w:rFonts w:hint="eastAsia" w:ascii="宋体" w:hAnsi="宋体" w:eastAsia="宋体" w:cs="宋体"/>
                <w:color w:val="auto"/>
                <w:sz w:val="21"/>
                <w:szCs w:val="21"/>
                <w:highlight w:val="none"/>
                <w:lang w:val="en-US" w:eastAsia="zh-CN"/>
              </w:rPr>
              <w:t>加密的电子响应</w:t>
            </w:r>
            <w:r>
              <w:rPr>
                <w:rFonts w:hint="eastAsia" w:ascii="宋体" w:hAnsi="宋体" w:cs="宋体"/>
                <w:color w:val="auto"/>
                <w:sz w:val="21"/>
                <w:szCs w:val="21"/>
                <w:highlight w:val="none"/>
                <w:lang w:val="en-US" w:eastAsia="zh-CN"/>
              </w:rPr>
              <w:t>性</w:t>
            </w:r>
            <w:r>
              <w:rPr>
                <w:rFonts w:hint="eastAsia" w:ascii="宋体" w:hAnsi="宋体" w:eastAsia="宋体" w:cs="宋体"/>
                <w:color w:val="auto"/>
                <w:sz w:val="21"/>
                <w:szCs w:val="21"/>
                <w:highlight w:val="none"/>
                <w:lang w:val="en-US" w:eastAsia="zh-CN"/>
              </w:rPr>
              <w:t>文件一份；</w:t>
            </w:r>
          </w:p>
          <w:p w14:paraId="0B98E27F">
            <w:pPr>
              <w:numPr>
                <w:ilvl w:val="0"/>
                <w:numId w:val="0"/>
              </w:num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成交供应商</w:t>
            </w:r>
            <w:r>
              <w:rPr>
                <w:rFonts w:hint="eastAsia" w:ascii="宋体" w:hAnsi="宋体" w:eastAsia="宋体" w:cs="宋体"/>
                <w:color w:val="auto"/>
                <w:sz w:val="21"/>
                <w:szCs w:val="21"/>
                <w:highlight w:val="none"/>
                <w:lang w:val="en-US" w:eastAsia="zh-CN"/>
              </w:rPr>
              <w:t>在领取</w:t>
            </w:r>
            <w:r>
              <w:rPr>
                <w:rFonts w:hint="eastAsia" w:ascii="宋体" w:hAnsi="宋体" w:cs="宋体"/>
                <w:color w:val="auto"/>
                <w:sz w:val="21"/>
                <w:szCs w:val="21"/>
                <w:highlight w:val="none"/>
                <w:lang w:val="en-US" w:eastAsia="zh-CN"/>
              </w:rPr>
              <w:t>成交</w:t>
            </w:r>
            <w:r>
              <w:rPr>
                <w:rFonts w:hint="eastAsia" w:ascii="宋体" w:hAnsi="宋体" w:eastAsia="宋体" w:cs="宋体"/>
                <w:color w:val="auto"/>
                <w:sz w:val="21"/>
                <w:szCs w:val="21"/>
                <w:highlight w:val="none"/>
                <w:lang w:val="en-US" w:eastAsia="zh-CN"/>
              </w:rPr>
              <w:t>通知书时，须提供纸质</w:t>
            </w:r>
            <w:r>
              <w:rPr>
                <w:rFonts w:hint="eastAsia" w:ascii="宋体" w:hAnsi="宋体" w:cs="宋体"/>
                <w:color w:val="auto"/>
                <w:sz w:val="21"/>
                <w:szCs w:val="21"/>
                <w:highlight w:val="none"/>
                <w:lang w:val="en-US" w:eastAsia="zh-CN"/>
              </w:rPr>
              <w:t>响应性文件贰</w:t>
            </w:r>
            <w:r>
              <w:rPr>
                <w:rFonts w:hint="eastAsia" w:ascii="宋体" w:hAnsi="宋体" w:eastAsia="宋体" w:cs="宋体"/>
                <w:color w:val="auto"/>
                <w:sz w:val="21"/>
                <w:szCs w:val="21"/>
                <w:highlight w:val="none"/>
                <w:lang w:val="en-US" w:eastAsia="zh-CN"/>
              </w:rPr>
              <w:t>份。</w:t>
            </w:r>
          </w:p>
        </w:tc>
      </w:tr>
      <w:tr w14:paraId="7DF4FB8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tcBorders>
              <w:top w:val="single" w:color="auto" w:sz="4" w:space="0"/>
              <w:left w:val="double" w:color="auto" w:sz="4" w:space="0"/>
              <w:bottom w:val="single" w:color="auto" w:sz="4" w:space="0"/>
              <w:right w:val="single" w:color="auto" w:sz="4" w:space="0"/>
            </w:tcBorders>
            <w:noWrap w:val="0"/>
            <w:vAlign w:val="center"/>
          </w:tcPr>
          <w:p w14:paraId="6B5241C8">
            <w:pPr>
              <w:numPr>
                <w:ilvl w:val="0"/>
                <w:numId w:val="3"/>
              </w:numPr>
              <w:spacing w:before="156" w:beforeLines="50"/>
              <w:jc w:val="center"/>
              <w:rPr>
                <w:rFonts w:hint="eastAsia" w:ascii="宋体" w:hAnsi="宋体" w:eastAsia="宋体" w:cs="宋体"/>
                <w:color w:val="auto"/>
                <w:sz w:val="21"/>
                <w:szCs w:val="21"/>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12008DEA">
            <w:pPr>
              <w:spacing w:before="156" w:beforeLines="5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响应文件密封和</w:t>
            </w:r>
            <w:r>
              <w:rPr>
                <w:rFonts w:hint="eastAsia" w:ascii="宋体" w:hAnsi="宋体" w:cs="宋体"/>
                <w:color w:val="auto"/>
                <w:sz w:val="21"/>
                <w:szCs w:val="21"/>
                <w:highlight w:val="none"/>
                <w:lang w:val="en-US" w:eastAsia="zh-CN"/>
              </w:rPr>
              <w:t>提交</w:t>
            </w:r>
          </w:p>
        </w:tc>
        <w:tc>
          <w:tcPr>
            <w:tcW w:w="6056" w:type="dxa"/>
            <w:tcBorders>
              <w:top w:val="single" w:color="auto" w:sz="4" w:space="0"/>
              <w:left w:val="single" w:color="auto" w:sz="4" w:space="0"/>
              <w:bottom w:val="single" w:color="auto" w:sz="4" w:space="0"/>
              <w:right w:val="double" w:color="auto" w:sz="4" w:space="0"/>
            </w:tcBorders>
            <w:noWrap w:val="0"/>
            <w:vAlign w:val="center"/>
          </w:tcPr>
          <w:p w14:paraId="02877C02">
            <w:pPr>
              <w:numPr>
                <w:ilvl w:val="0"/>
                <w:numId w:val="0"/>
              </w:num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本项目为不见面开标，加密电子</w:t>
            </w:r>
            <w:r>
              <w:rPr>
                <w:rFonts w:hint="eastAsia" w:ascii="宋体" w:hAnsi="宋体" w:cs="宋体"/>
                <w:color w:val="auto"/>
                <w:sz w:val="21"/>
                <w:szCs w:val="21"/>
                <w:highlight w:val="none"/>
                <w:lang w:val="en-US" w:eastAsia="zh-CN"/>
              </w:rPr>
              <w:t>响应性</w:t>
            </w:r>
            <w:r>
              <w:rPr>
                <w:rFonts w:hint="eastAsia" w:ascii="宋体" w:hAnsi="宋体" w:eastAsia="宋体" w:cs="宋体"/>
                <w:color w:val="auto"/>
                <w:sz w:val="21"/>
                <w:szCs w:val="21"/>
                <w:highlight w:val="none"/>
                <w:lang w:val="en-US" w:eastAsia="zh-CN"/>
              </w:rPr>
              <w:t>文件须在</w:t>
            </w:r>
            <w:r>
              <w:rPr>
                <w:rFonts w:hint="eastAsia" w:ascii="宋体" w:hAnsi="宋体" w:cs="宋体"/>
                <w:color w:val="auto"/>
                <w:sz w:val="21"/>
                <w:szCs w:val="21"/>
                <w:highlight w:val="none"/>
                <w:lang w:val="en-US" w:eastAsia="zh-CN"/>
              </w:rPr>
              <w:t>响应性文件提交</w:t>
            </w:r>
            <w:r>
              <w:rPr>
                <w:rFonts w:hint="eastAsia" w:ascii="宋体" w:hAnsi="宋体" w:eastAsia="宋体" w:cs="宋体"/>
                <w:color w:val="auto"/>
                <w:sz w:val="21"/>
                <w:szCs w:val="21"/>
                <w:highlight w:val="none"/>
                <w:lang w:val="en-US" w:eastAsia="zh-CN"/>
              </w:rPr>
              <w:t>截止时间前通过“焦作市公共资源交易中心（</w:t>
            </w:r>
            <w:r>
              <w:rPr>
                <w:rFonts w:hint="eastAsia" w:ascii="宋体" w:hAnsi="宋体" w:cs="宋体"/>
                <w:color w:val="auto"/>
                <w:sz w:val="21"/>
                <w:szCs w:val="21"/>
                <w:highlight w:val="none"/>
                <w:lang w:val="en-US" w:eastAsia="zh-CN"/>
              </w:rPr>
              <w:t>https://ggzy.jiaozuo.gov.cn/</w:t>
            </w:r>
            <w:r>
              <w:rPr>
                <w:rFonts w:hint="eastAsia" w:ascii="宋体" w:hAnsi="宋体" w:eastAsia="宋体" w:cs="宋体"/>
                <w:color w:val="auto"/>
                <w:sz w:val="21"/>
                <w:szCs w:val="21"/>
                <w:highlight w:val="none"/>
                <w:lang w:val="en-US" w:eastAsia="zh-CN"/>
              </w:rPr>
              <w:t>）”网站-交易平台加密上传。除电子</w:t>
            </w:r>
            <w:r>
              <w:rPr>
                <w:rFonts w:hint="eastAsia" w:ascii="宋体" w:hAnsi="宋体" w:cs="宋体"/>
                <w:color w:val="auto"/>
                <w:sz w:val="21"/>
                <w:szCs w:val="21"/>
                <w:highlight w:val="none"/>
                <w:lang w:val="en-US" w:eastAsia="zh-CN"/>
              </w:rPr>
              <w:t>响应性</w:t>
            </w:r>
            <w:r>
              <w:rPr>
                <w:rFonts w:hint="eastAsia" w:ascii="宋体" w:hAnsi="宋体" w:eastAsia="宋体" w:cs="宋体"/>
                <w:color w:val="auto"/>
                <w:sz w:val="21"/>
                <w:szCs w:val="21"/>
                <w:highlight w:val="none"/>
                <w:lang w:val="en-US" w:eastAsia="zh-CN"/>
              </w:rPr>
              <w:t>文件外，磋商时不再接受任何纸质文件、资料等。</w:t>
            </w:r>
          </w:p>
          <w:p w14:paraId="3FE49709">
            <w:pPr>
              <w:numPr>
                <w:ilvl w:val="0"/>
                <w:numId w:val="0"/>
              </w:num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未在</w:t>
            </w:r>
            <w:r>
              <w:rPr>
                <w:rFonts w:hint="eastAsia" w:ascii="宋体" w:hAnsi="宋体" w:cs="宋体"/>
                <w:color w:val="auto"/>
                <w:sz w:val="21"/>
                <w:szCs w:val="21"/>
                <w:highlight w:val="none"/>
                <w:lang w:val="en-US" w:eastAsia="zh-CN"/>
              </w:rPr>
              <w:t>响应性文件提交</w:t>
            </w:r>
            <w:r>
              <w:rPr>
                <w:rFonts w:hint="eastAsia" w:ascii="宋体" w:hAnsi="宋体" w:eastAsia="宋体" w:cs="宋体"/>
                <w:color w:val="auto"/>
                <w:sz w:val="21"/>
                <w:szCs w:val="21"/>
                <w:highlight w:val="none"/>
                <w:lang w:val="en-US" w:eastAsia="zh-CN"/>
              </w:rPr>
              <w:t>截止时间前完成上传加密的电子</w:t>
            </w:r>
            <w:r>
              <w:rPr>
                <w:rFonts w:hint="eastAsia" w:ascii="宋体" w:hAnsi="宋体" w:cs="宋体"/>
                <w:color w:val="auto"/>
                <w:sz w:val="21"/>
                <w:szCs w:val="21"/>
                <w:highlight w:val="none"/>
                <w:lang w:val="en-US" w:eastAsia="zh-CN"/>
              </w:rPr>
              <w:t>响应性</w:t>
            </w:r>
            <w:r>
              <w:rPr>
                <w:rFonts w:hint="eastAsia" w:ascii="宋体" w:hAnsi="宋体" w:eastAsia="宋体" w:cs="宋体"/>
                <w:color w:val="auto"/>
                <w:sz w:val="21"/>
                <w:szCs w:val="21"/>
                <w:highlight w:val="none"/>
                <w:lang w:val="en-US" w:eastAsia="zh-CN"/>
              </w:rPr>
              <w:t>文件视为逾期送达。逾期上传或未按规定方式上传加密的电子</w:t>
            </w:r>
            <w:r>
              <w:rPr>
                <w:rFonts w:hint="eastAsia" w:ascii="宋体" w:hAnsi="宋体" w:cs="宋体"/>
                <w:color w:val="auto"/>
                <w:sz w:val="21"/>
                <w:szCs w:val="21"/>
                <w:highlight w:val="none"/>
                <w:lang w:val="en-US" w:eastAsia="zh-CN"/>
              </w:rPr>
              <w:t>响应性</w:t>
            </w:r>
            <w:r>
              <w:rPr>
                <w:rFonts w:hint="eastAsia" w:ascii="宋体" w:hAnsi="宋体" w:eastAsia="宋体" w:cs="宋体"/>
                <w:color w:val="auto"/>
                <w:sz w:val="21"/>
                <w:szCs w:val="21"/>
                <w:highlight w:val="none"/>
                <w:lang w:val="en-US" w:eastAsia="zh-CN"/>
              </w:rPr>
              <w:t>文件，投标无效。</w:t>
            </w:r>
          </w:p>
        </w:tc>
      </w:tr>
      <w:tr w14:paraId="2914E1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735" w:type="dxa"/>
            <w:tcBorders>
              <w:top w:val="single" w:color="auto" w:sz="4" w:space="0"/>
              <w:left w:val="double" w:color="auto" w:sz="4" w:space="0"/>
              <w:bottom w:val="single" w:color="auto" w:sz="4" w:space="0"/>
              <w:right w:val="single" w:color="auto" w:sz="4" w:space="0"/>
            </w:tcBorders>
            <w:noWrap w:val="0"/>
            <w:vAlign w:val="center"/>
          </w:tcPr>
          <w:p w14:paraId="2AF20E62">
            <w:pPr>
              <w:numPr>
                <w:ilvl w:val="0"/>
                <w:numId w:val="3"/>
              </w:numPr>
              <w:spacing w:before="156" w:beforeLines="50"/>
              <w:jc w:val="center"/>
              <w:rPr>
                <w:rFonts w:hint="eastAsia" w:ascii="宋体" w:hAnsi="宋体" w:eastAsia="宋体" w:cs="宋体"/>
                <w:color w:val="auto"/>
                <w:sz w:val="21"/>
                <w:szCs w:val="21"/>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65487485">
            <w:pPr>
              <w:spacing w:before="156" w:before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竞争性磋商文件的澄清</w:t>
            </w:r>
          </w:p>
        </w:tc>
        <w:tc>
          <w:tcPr>
            <w:tcW w:w="6056" w:type="dxa"/>
            <w:tcBorders>
              <w:top w:val="single" w:color="auto" w:sz="4" w:space="0"/>
              <w:left w:val="single" w:color="auto" w:sz="4" w:space="0"/>
              <w:bottom w:val="single" w:color="auto" w:sz="4" w:space="0"/>
              <w:right w:val="double" w:color="auto" w:sz="4" w:space="0"/>
            </w:tcBorders>
            <w:noWrap w:val="0"/>
            <w:vAlign w:val="center"/>
          </w:tcPr>
          <w:p w14:paraId="1AFC9A13">
            <w:pPr>
              <w:numPr>
                <w:ilvl w:val="0"/>
                <w:numId w:val="0"/>
              </w:num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任何要求对竞争性磋商文件进行澄清的供应商，均应以书面形式或传真通知采购人或采购代理机构，采购人如认为必要，将以书面形式予以答复。澄清或修改的内容可能影响响应文件编制的，采购人、采购代理机构应当在提交响应文件截止时间至少5日前，以书面形式（或以更正、变更公告的方式）通知所有获取磋商文件的供应商；不足5日，顺延提交首次</w:t>
            </w:r>
            <w:r>
              <w:rPr>
                <w:rFonts w:hint="eastAsia" w:ascii="宋体" w:hAnsi="宋体" w:cs="宋体"/>
                <w:color w:val="auto"/>
                <w:sz w:val="21"/>
                <w:szCs w:val="21"/>
                <w:highlight w:val="none"/>
                <w:lang w:val="en-US" w:eastAsia="zh-CN"/>
              </w:rPr>
              <w:t>响应性</w:t>
            </w:r>
            <w:r>
              <w:rPr>
                <w:rFonts w:hint="eastAsia" w:ascii="宋体" w:hAnsi="宋体" w:eastAsia="宋体" w:cs="宋体"/>
                <w:color w:val="auto"/>
                <w:sz w:val="21"/>
                <w:szCs w:val="21"/>
                <w:highlight w:val="none"/>
                <w:lang w:val="en-US" w:eastAsia="zh-CN"/>
              </w:rPr>
              <w:t>文件截止时间。</w:t>
            </w:r>
          </w:p>
        </w:tc>
      </w:tr>
      <w:tr w14:paraId="5C23447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tcBorders>
              <w:top w:val="single" w:color="auto" w:sz="4" w:space="0"/>
              <w:left w:val="double" w:color="auto" w:sz="4" w:space="0"/>
              <w:bottom w:val="single" w:color="auto" w:sz="4" w:space="0"/>
              <w:right w:val="single" w:color="auto" w:sz="4" w:space="0"/>
            </w:tcBorders>
            <w:noWrap w:val="0"/>
            <w:vAlign w:val="center"/>
          </w:tcPr>
          <w:p w14:paraId="4E0B03FA">
            <w:pPr>
              <w:numPr>
                <w:ilvl w:val="0"/>
                <w:numId w:val="3"/>
              </w:numPr>
              <w:spacing w:before="156" w:beforeLines="50"/>
              <w:jc w:val="center"/>
              <w:rPr>
                <w:rFonts w:hint="eastAsia" w:ascii="宋体" w:hAnsi="宋体" w:eastAsia="宋体" w:cs="宋体"/>
                <w:color w:val="auto"/>
                <w:sz w:val="21"/>
                <w:szCs w:val="21"/>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028B6D5D">
            <w:pPr>
              <w:spacing w:before="156" w:before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响应文件递交截止时间</w:t>
            </w:r>
          </w:p>
        </w:tc>
        <w:tc>
          <w:tcPr>
            <w:tcW w:w="6056" w:type="dxa"/>
            <w:tcBorders>
              <w:top w:val="single" w:color="auto" w:sz="4" w:space="0"/>
              <w:left w:val="single" w:color="auto" w:sz="4" w:space="0"/>
              <w:bottom w:val="single" w:color="auto" w:sz="4" w:space="0"/>
              <w:right w:val="double" w:color="auto" w:sz="4" w:space="0"/>
            </w:tcBorders>
            <w:noWrap w:val="0"/>
            <w:vAlign w:val="center"/>
          </w:tcPr>
          <w:p w14:paraId="11A2F0B9">
            <w:pPr>
              <w:numPr>
                <w:ilvl w:val="0"/>
                <w:numId w:val="0"/>
              </w:num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2026</w:t>
            </w:r>
            <w:r>
              <w:rPr>
                <w:rFonts w:hint="eastAsia" w:ascii="宋体" w:hAnsi="宋体" w:eastAsia="宋体" w:cs="宋体"/>
                <w:color w:val="auto"/>
                <w:sz w:val="21"/>
                <w:szCs w:val="21"/>
                <w:highlight w:val="none"/>
                <w:lang w:val="en-US" w:eastAsia="zh-CN"/>
              </w:rPr>
              <w:t>年</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月</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日</w:t>
            </w:r>
            <w:r>
              <w:rPr>
                <w:rFonts w:hint="eastAsia" w:ascii="宋体" w:hAnsi="宋体" w:cs="宋体"/>
                <w:color w:val="auto"/>
                <w:sz w:val="21"/>
                <w:szCs w:val="21"/>
                <w:highlight w:val="none"/>
                <w:lang w:val="en-US" w:eastAsia="zh-CN"/>
              </w:rPr>
              <w:t>8时30分</w:t>
            </w:r>
            <w:r>
              <w:rPr>
                <w:rFonts w:hint="eastAsia" w:ascii="宋体" w:hAnsi="宋体" w:eastAsia="宋体" w:cs="宋体"/>
                <w:color w:val="auto"/>
                <w:sz w:val="21"/>
                <w:szCs w:val="21"/>
                <w:highlight w:val="none"/>
                <w:lang w:val="en-US" w:eastAsia="zh-CN"/>
              </w:rPr>
              <w:t xml:space="preserve"> </w:t>
            </w:r>
          </w:p>
        </w:tc>
      </w:tr>
      <w:tr w14:paraId="555A59C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tcBorders>
              <w:top w:val="single" w:color="auto" w:sz="4" w:space="0"/>
              <w:left w:val="double" w:color="auto" w:sz="4" w:space="0"/>
              <w:bottom w:val="single" w:color="auto" w:sz="4" w:space="0"/>
              <w:right w:val="single" w:color="auto" w:sz="4" w:space="0"/>
            </w:tcBorders>
            <w:noWrap w:val="0"/>
            <w:vAlign w:val="center"/>
          </w:tcPr>
          <w:p w14:paraId="6ABAD341">
            <w:pPr>
              <w:numPr>
                <w:ilvl w:val="0"/>
                <w:numId w:val="3"/>
              </w:numPr>
              <w:spacing w:before="156" w:beforeLines="50"/>
              <w:jc w:val="center"/>
              <w:rPr>
                <w:rFonts w:hint="eastAsia" w:ascii="宋体" w:hAnsi="宋体" w:eastAsia="宋体" w:cs="宋体"/>
                <w:color w:val="auto"/>
                <w:sz w:val="21"/>
                <w:szCs w:val="21"/>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6433201C">
            <w:pPr>
              <w:spacing w:before="156" w:before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响应文件递交地点</w:t>
            </w:r>
          </w:p>
        </w:tc>
        <w:tc>
          <w:tcPr>
            <w:tcW w:w="6056" w:type="dxa"/>
            <w:tcBorders>
              <w:top w:val="single" w:color="auto" w:sz="4" w:space="0"/>
              <w:left w:val="single" w:color="auto" w:sz="4" w:space="0"/>
              <w:bottom w:val="single" w:color="auto" w:sz="4" w:space="0"/>
              <w:right w:val="double" w:color="auto" w:sz="4" w:space="0"/>
            </w:tcBorders>
            <w:noWrap w:val="0"/>
            <w:vAlign w:val="center"/>
          </w:tcPr>
          <w:p w14:paraId="4446BF04">
            <w:pPr>
              <w:numPr>
                <w:ilvl w:val="0"/>
                <w:numId w:val="0"/>
              </w:numPr>
              <w:spacing w:line="360" w:lineRule="auto"/>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加密电子响应性文件须在响应性文件提交截止时间前通过“焦作市公共资源交易中心（</w:t>
            </w:r>
            <w:r>
              <w:rPr>
                <w:rFonts w:hint="eastAsia" w:ascii="宋体" w:hAnsi="宋体" w:cs="宋体"/>
                <w:color w:val="auto"/>
                <w:sz w:val="21"/>
                <w:szCs w:val="21"/>
                <w:highlight w:val="none"/>
                <w:lang w:val="en-US" w:eastAsia="zh-CN"/>
              </w:rPr>
              <w:t>https://ggzy.jiaozuo.gov.cn/</w:t>
            </w:r>
            <w:r>
              <w:rPr>
                <w:rFonts w:hint="eastAsia" w:ascii="宋体" w:hAnsi="宋体" w:eastAsia="宋体" w:cs="宋体"/>
                <w:color w:val="auto"/>
                <w:sz w:val="21"/>
                <w:szCs w:val="21"/>
                <w:highlight w:val="none"/>
                <w:lang w:val="en-US" w:eastAsia="zh-CN"/>
              </w:rPr>
              <w:t>）”网站-交易平台加密上传。</w:t>
            </w:r>
          </w:p>
        </w:tc>
      </w:tr>
      <w:tr w14:paraId="1FBC092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735" w:type="dxa"/>
            <w:tcBorders>
              <w:top w:val="single" w:color="auto" w:sz="4" w:space="0"/>
              <w:left w:val="double" w:color="auto" w:sz="4" w:space="0"/>
              <w:bottom w:val="single" w:color="auto" w:sz="4" w:space="0"/>
              <w:right w:val="single" w:color="auto" w:sz="4" w:space="0"/>
            </w:tcBorders>
            <w:noWrap w:val="0"/>
            <w:vAlign w:val="center"/>
          </w:tcPr>
          <w:p w14:paraId="61E070B0">
            <w:pPr>
              <w:numPr>
                <w:ilvl w:val="0"/>
                <w:numId w:val="3"/>
              </w:numPr>
              <w:spacing w:before="156" w:beforeLines="50"/>
              <w:jc w:val="center"/>
              <w:rPr>
                <w:rFonts w:hint="eastAsia" w:ascii="宋体" w:hAnsi="宋体" w:eastAsia="宋体" w:cs="宋体"/>
                <w:color w:val="auto"/>
                <w:sz w:val="21"/>
                <w:szCs w:val="21"/>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5DE12ACD">
            <w:pPr>
              <w:spacing w:before="156" w:before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磋商时间</w:t>
            </w:r>
          </w:p>
        </w:tc>
        <w:tc>
          <w:tcPr>
            <w:tcW w:w="6056" w:type="dxa"/>
            <w:tcBorders>
              <w:top w:val="single" w:color="auto" w:sz="4" w:space="0"/>
              <w:left w:val="single" w:color="auto" w:sz="4" w:space="0"/>
              <w:bottom w:val="single" w:color="auto" w:sz="4" w:space="0"/>
              <w:right w:val="double" w:color="auto" w:sz="4" w:space="0"/>
            </w:tcBorders>
            <w:noWrap w:val="0"/>
            <w:vAlign w:val="center"/>
          </w:tcPr>
          <w:p w14:paraId="67BCF112">
            <w:pPr>
              <w:numPr>
                <w:ilvl w:val="0"/>
                <w:numId w:val="0"/>
              </w:num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2026</w:t>
            </w:r>
            <w:r>
              <w:rPr>
                <w:rFonts w:hint="eastAsia" w:ascii="宋体" w:hAnsi="宋体" w:eastAsia="宋体" w:cs="宋体"/>
                <w:color w:val="auto"/>
                <w:sz w:val="21"/>
                <w:szCs w:val="21"/>
                <w:highlight w:val="none"/>
                <w:lang w:val="en-US" w:eastAsia="zh-CN"/>
              </w:rPr>
              <w:t>年</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月</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日</w:t>
            </w:r>
            <w:r>
              <w:rPr>
                <w:rFonts w:hint="eastAsia" w:ascii="宋体" w:hAnsi="宋体" w:cs="宋体"/>
                <w:color w:val="auto"/>
                <w:sz w:val="21"/>
                <w:szCs w:val="21"/>
                <w:highlight w:val="none"/>
                <w:lang w:val="en-US" w:eastAsia="zh-CN"/>
              </w:rPr>
              <w:t>8时30分</w:t>
            </w:r>
            <w:r>
              <w:rPr>
                <w:rFonts w:hint="eastAsia" w:ascii="宋体" w:hAnsi="宋体" w:eastAsia="宋体" w:cs="宋体"/>
                <w:color w:val="auto"/>
                <w:sz w:val="21"/>
                <w:szCs w:val="21"/>
                <w:highlight w:val="none"/>
                <w:lang w:val="en-US" w:eastAsia="zh-CN"/>
              </w:rPr>
              <w:t xml:space="preserve"> </w:t>
            </w:r>
          </w:p>
        </w:tc>
      </w:tr>
      <w:tr w14:paraId="6D93B6A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35" w:type="dxa"/>
            <w:tcBorders>
              <w:top w:val="single" w:color="auto" w:sz="4" w:space="0"/>
              <w:left w:val="double" w:color="auto" w:sz="4" w:space="0"/>
              <w:bottom w:val="single" w:color="auto" w:sz="4" w:space="0"/>
              <w:right w:val="single" w:color="auto" w:sz="4" w:space="0"/>
            </w:tcBorders>
            <w:noWrap w:val="0"/>
            <w:vAlign w:val="center"/>
          </w:tcPr>
          <w:p w14:paraId="3290B7C9">
            <w:pPr>
              <w:numPr>
                <w:ilvl w:val="0"/>
                <w:numId w:val="3"/>
              </w:numPr>
              <w:spacing w:before="156" w:beforeLines="50"/>
              <w:jc w:val="center"/>
              <w:rPr>
                <w:rFonts w:hint="eastAsia" w:ascii="宋体" w:hAnsi="宋体" w:eastAsia="宋体" w:cs="宋体"/>
                <w:color w:val="auto"/>
                <w:sz w:val="21"/>
                <w:szCs w:val="21"/>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042BADC6">
            <w:pPr>
              <w:spacing w:before="156" w:before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磋商程序和内容</w:t>
            </w:r>
          </w:p>
        </w:tc>
        <w:tc>
          <w:tcPr>
            <w:tcW w:w="6056" w:type="dxa"/>
            <w:tcBorders>
              <w:top w:val="single" w:color="auto" w:sz="4" w:space="0"/>
              <w:left w:val="single" w:color="auto" w:sz="4" w:space="0"/>
              <w:bottom w:val="single" w:color="auto" w:sz="4" w:space="0"/>
              <w:right w:val="double" w:color="auto" w:sz="4" w:space="0"/>
            </w:tcBorders>
            <w:noWrap w:val="0"/>
            <w:vAlign w:val="center"/>
          </w:tcPr>
          <w:p w14:paraId="6B27FBCA">
            <w:pPr>
              <w:numPr>
                <w:ilvl w:val="0"/>
                <w:numId w:val="0"/>
              </w:num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详见磋商文件第二章</w:t>
            </w:r>
          </w:p>
        </w:tc>
      </w:tr>
      <w:tr w14:paraId="3B26752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735" w:type="dxa"/>
            <w:tcBorders>
              <w:top w:val="single" w:color="auto" w:sz="4" w:space="0"/>
              <w:left w:val="double" w:color="auto" w:sz="4" w:space="0"/>
              <w:bottom w:val="single" w:color="auto" w:sz="4" w:space="0"/>
              <w:right w:val="single" w:color="auto" w:sz="4" w:space="0"/>
            </w:tcBorders>
            <w:noWrap w:val="0"/>
            <w:vAlign w:val="center"/>
          </w:tcPr>
          <w:p w14:paraId="335C4275">
            <w:pPr>
              <w:numPr>
                <w:ilvl w:val="0"/>
                <w:numId w:val="3"/>
              </w:numPr>
              <w:spacing w:before="156" w:beforeLines="50"/>
              <w:jc w:val="center"/>
              <w:rPr>
                <w:rFonts w:hint="eastAsia" w:ascii="宋体" w:hAnsi="宋体" w:eastAsia="宋体" w:cs="宋体"/>
                <w:color w:val="auto"/>
                <w:sz w:val="21"/>
                <w:szCs w:val="21"/>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09F4E499">
            <w:pPr>
              <w:spacing w:before="156" w:before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授予合同</w:t>
            </w:r>
          </w:p>
        </w:tc>
        <w:tc>
          <w:tcPr>
            <w:tcW w:w="6056" w:type="dxa"/>
            <w:tcBorders>
              <w:top w:val="single" w:color="auto" w:sz="4" w:space="0"/>
              <w:left w:val="single" w:color="auto" w:sz="4" w:space="0"/>
              <w:bottom w:val="single" w:color="auto" w:sz="4" w:space="0"/>
              <w:right w:val="double" w:color="auto" w:sz="4" w:space="0"/>
            </w:tcBorders>
            <w:noWrap w:val="0"/>
            <w:vAlign w:val="center"/>
          </w:tcPr>
          <w:p w14:paraId="24A3625D">
            <w:pPr>
              <w:numPr>
                <w:ilvl w:val="0"/>
                <w:numId w:val="0"/>
              </w:num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采购人根据磋商小组的推荐意见，按照评审得分由高到底的顺序确定成交供应商。采购代理机构向成交供应商发出成交通知书。</w:t>
            </w:r>
          </w:p>
        </w:tc>
      </w:tr>
      <w:tr w14:paraId="1DC5C1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735" w:type="dxa"/>
            <w:tcBorders>
              <w:top w:val="single" w:color="auto" w:sz="4" w:space="0"/>
              <w:left w:val="double" w:color="auto" w:sz="4" w:space="0"/>
              <w:bottom w:val="double" w:color="auto" w:sz="4" w:space="0"/>
              <w:right w:val="single" w:color="auto" w:sz="4" w:space="0"/>
            </w:tcBorders>
            <w:noWrap w:val="0"/>
            <w:vAlign w:val="center"/>
          </w:tcPr>
          <w:p w14:paraId="0CFB0AD4">
            <w:pPr>
              <w:numPr>
                <w:ilvl w:val="0"/>
                <w:numId w:val="3"/>
              </w:numPr>
              <w:spacing w:before="156" w:beforeLines="50"/>
              <w:jc w:val="center"/>
              <w:rPr>
                <w:rFonts w:hint="eastAsia" w:ascii="宋体" w:hAnsi="宋体" w:eastAsia="宋体" w:cs="宋体"/>
                <w:color w:val="auto"/>
                <w:sz w:val="21"/>
                <w:szCs w:val="21"/>
                <w:highlight w:val="none"/>
              </w:rPr>
            </w:pPr>
          </w:p>
        </w:tc>
        <w:tc>
          <w:tcPr>
            <w:tcW w:w="1995" w:type="dxa"/>
            <w:tcBorders>
              <w:top w:val="single" w:color="auto" w:sz="4" w:space="0"/>
              <w:left w:val="single" w:color="auto" w:sz="4" w:space="0"/>
              <w:bottom w:val="double" w:color="auto" w:sz="4" w:space="0"/>
              <w:right w:val="single" w:color="auto" w:sz="4" w:space="0"/>
            </w:tcBorders>
            <w:noWrap w:val="0"/>
            <w:vAlign w:val="center"/>
          </w:tcPr>
          <w:p w14:paraId="0307205D">
            <w:pPr>
              <w:spacing w:before="156" w:beforeLines="50"/>
              <w:ind w:firstLine="12" w:firstLineChars="6"/>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签订合同</w:t>
            </w:r>
          </w:p>
        </w:tc>
        <w:tc>
          <w:tcPr>
            <w:tcW w:w="6056" w:type="dxa"/>
            <w:tcBorders>
              <w:top w:val="single" w:color="auto" w:sz="4" w:space="0"/>
              <w:left w:val="single" w:color="auto" w:sz="4" w:space="0"/>
              <w:bottom w:val="double" w:color="auto" w:sz="4" w:space="0"/>
              <w:right w:val="double" w:color="auto" w:sz="4" w:space="0"/>
            </w:tcBorders>
            <w:noWrap w:val="0"/>
            <w:vAlign w:val="center"/>
          </w:tcPr>
          <w:p w14:paraId="09A37693">
            <w:pPr>
              <w:numPr>
                <w:ilvl w:val="0"/>
                <w:numId w:val="0"/>
              </w:num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鼓励</w:t>
            </w:r>
            <w:r>
              <w:rPr>
                <w:rFonts w:hint="eastAsia" w:ascii="宋体" w:hAnsi="宋体" w:eastAsia="宋体" w:cs="宋体"/>
                <w:color w:val="auto"/>
                <w:sz w:val="21"/>
                <w:szCs w:val="21"/>
                <w:highlight w:val="none"/>
                <w:lang w:val="en-US" w:eastAsia="zh-CN"/>
              </w:rPr>
              <w:t>接到成交通知书</w:t>
            </w:r>
            <w:r>
              <w:rPr>
                <w:rFonts w:hint="eastAsia" w:ascii="宋体" w:hAnsi="宋体" w:cs="宋体"/>
                <w:color w:val="auto"/>
                <w:sz w:val="21"/>
                <w:szCs w:val="21"/>
                <w:highlight w:val="none"/>
                <w:lang w:val="en-US" w:eastAsia="zh-CN"/>
              </w:rPr>
              <w:t>后1个工作日</w:t>
            </w:r>
            <w:r>
              <w:rPr>
                <w:rFonts w:hint="eastAsia" w:ascii="宋体" w:hAnsi="宋体" w:eastAsia="宋体" w:cs="宋体"/>
                <w:color w:val="auto"/>
                <w:sz w:val="21"/>
                <w:szCs w:val="21"/>
                <w:highlight w:val="none"/>
                <w:lang w:val="en-US" w:eastAsia="zh-CN"/>
              </w:rPr>
              <w:t>内，成交供应商应与采购人签订采购合同。</w:t>
            </w:r>
          </w:p>
          <w:p w14:paraId="722C574D">
            <w:pPr>
              <w:numPr>
                <w:ilvl w:val="0"/>
                <w:numId w:val="0"/>
              </w:num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2）本磋商文件、响应文件及磋商、评审过程中有关澄清、承诺文件的内容，将作为签订合同的主要内容。</w:t>
            </w:r>
          </w:p>
        </w:tc>
      </w:tr>
    </w:tbl>
    <w:p w14:paraId="07A1C583">
      <w:pPr>
        <w:spacing w:line="720" w:lineRule="auto"/>
        <w:rPr>
          <w:rFonts w:ascii="宋体" w:hAnsi="宋体" w:cs="宋体"/>
          <w:b/>
          <w:color w:val="auto"/>
          <w:sz w:val="28"/>
          <w:szCs w:val="28"/>
          <w:highlight w:val="none"/>
        </w:rPr>
      </w:pPr>
      <w:r>
        <w:rPr>
          <w:rFonts w:hint="eastAsia" w:ascii="宋体" w:hAnsi="宋体" w:cs="宋体"/>
          <w:b/>
          <w:color w:val="auto"/>
          <w:sz w:val="30"/>
          <w:szCs w:val="30"/>
          <w:highlight w:val="none"/>
        </w:rPr>
        <w:br w:type="page"/>
      </w:r>
      <w:r>
        <w:rPr>
          <w:rFonts w:hint="eastAsia" w:ascii="宋体" w:hAnsi="宋体" w:cs="宋体"/>
          <w:b/>
          <w:color w:val="auto"/>
          <w:sz w:val="30"/>
          <w:szCs w:val="30"/>
          <w:highlight w:val="none"/>
        </w:rPr>
        <w:t xml:space="preserve">                    </w:t>
      </w:r>
      <w:r>
        <w:rPr>
          <w:rFonts w:hint="eastAsia" w:ascii="宋体" w:hAnsi="宋体" w:cs="宋体"/>
          <w:b/>
          <w:color w:val="auto"/>
          <w:sz w:val="28"/>
          <w:szCs w:val="28"/>
          <w:highlight w:val="none"/>
        </w:rPr>
        <w:t xml:space="preserve"> 一、总则</w:t>
      </w:r>
    </w:p>
    <w:p w14:paraId="114E0971">
      <w:pPr>
        <w:wordWrap/>
        <w:adjustRightInd/>
        <w:snapToGrid/>
        <w:spacing w:line="560" w:lineRule="exact"/>
        <w:ind w:firstLine="562"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b/>
          <w:color w:val="auto"/>
          <w:sz w:val="28"/>
          <w:szCs w:val="28"/>
          <w:highlight w:val="none"/>
        </w:rPr>
        <w:t>1．适用范围</w:t>
      </w:r>
    </w:p>
    <w:p w14:paraId="584CD82E">
      <w:pPr>
        <w:wordWrap/>
        <w:adjustRightInd/>
        <w:snapToGrid/>
        <w:spacing w:line="560" w:lineRule="exact"/>
        <w:ind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color w:val="auto"/>
          <w:sz w:val="28"/>
          <w:szCs w:val="28"/>
          <w:highlight w:val="none"/>
        </w:rPr>
        <w:t>1.1本竞争性磋商文件仅适用于本次竞争性磋商邀请函中所述</w:t>
      </w:r>
      <w:r>
        <w:rPr>
          <w:rFonts w:hint="eastAsia" w:ascii="仿宋_GB2312" w:hAnsi="仿宋_GB2312" w:eastAsia="仿宋_GB2312" w:cs="仿宋_GB2312"/>
          <w:bCs/>
          <w:color w:val="auto"/>
          <w:sz w:val="28"/>
          <w:szCs w:val="28"/>
          <w:highlight w:val="none"/>
        </w:rPr>
        <w:t>项目。</w:t>
      </w:r>
    </w:p>
    <w:p w14:paraId="065C3AC0">
      <w:pPr>
        <w:wordWrap/>
        <w:adjustRightInd/>
        <w:snapToGrid/>
        <w:spacing w:line="560" w:lineRule="exact"/>
        <w:ind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2．定义</w:t>
      </w:r>
    </w:p>
    <w:p w14:paraId="735BA406">
      <w:pPr>
        <w:wordWrap/>
        <w:adjustRightInd/>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2.1“采购人”：系指</w:t>
      </w:r>
      <w:r>
        <w:rPr>
          <w:rFonts w:hint="eastAsia" w:ascii="仿宋_GB2312" w:hAnsi="仿宋_GB2312" w:eastAsia="仿宋_GB2312" w:cs="仿宋_GB2312"/>
          <w:color w:val="auto"/>
          <w:sz w:val="28"/>
          <w:szCs w:val="28"/>
          <w:highlight w:val="none"/>
          <w:lang w:eastAsia="zh-CN"/>
        </w:rPr>
        <w:t>焦作市</w:t>
      </w:r>
      <w:r>
        <w:rPr>
          <w:rFonts w:hint="eastAsia" w:ascii="仿宋_GB2312" w:hAnsi="仿宋_GB2312" w:eastAsia="仿宋_GB2312" w:cs="仿宋_GB2312"/>
          <w:color w:val="auto"/>
          <w:sz w:val="28"/>
          <w:szCs w:val="28"/>
          <w:highlight w:val="none"/>
          <w:lang w:val="en-US" w:eastAsia="zh-CN"/>
        </w:rPr>
        <w:t>第四中学</w:t>
      </w:r>
      <w:r>
        <w:rPr>
          <w:rFonts w:hint="eastAsia" w:ascii="仿宋_GB2312" w:hAnsi="仿宋_GB2312" w:eastAsia="仿宋_GB2312" w:cs="仿宋_GB2312"/>
          <w:color w:val="auto"/>
          <w:sz w:val="28"/>
          <w:szCs w:val="28"/>
          <w:highlight w:val="none"/>
          <w:lang w:eastAsia="zh-CN"/>
        </w:rPr>
        <w:t xml:space="preserve"> </w:t>
      </w:r>
      <w:r>
        <w:rPr>
          <w:rFonts w:hint="eastAsia" w:ascii="仿宋_GB2312" w:hAnsi="仿宋_GB2312" w:eastAsia="仿宋_GB2312" w:cs="仿宋_GB2312"/>
          <w:color w:val="auto"/>
          <w:sz w:val="28"/>
          <w:szCs w:val="28"/>
          <w:highlight w:val="none"/>
        </w:rPr>
        <w:t>。</w:t>
      </w:r>
    </w:p>
    <w:p w14:paraId="39311055">
      <w:pPr>
        <w:wordWrap/>
        <w:adjustRightInd/>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2.2“采购代理机构”：系指焦作市公共资源项目服务有限责任公司。</w:t>
      </w:r>
    </w:p>
    <w:p w14:paraId="63E71C5B">
      <w:pPr>
        <w:wordWrap/>
        <w:adjustRightInd/>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2.3“供应商”系指按竞争性磋商文件规定取得竞争性磋商文件并参加竞争性磋商活动的法人、其他组织或者自然人。</w:t>
      </w:r>
    </w:p>
    <w:p w14:paraId="31B3BF92">
      <w:pPr>
        <w:wordWrap/>
        <w:adjustRightInd/>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2.4“供应商代表”系指代表供应商参加本次竞争性磋商活动的供应商的法定代表人或其委托代理人。</w:t>
      </w:r>
    </w:p>
    <w:p w14:paraId="779D7A55">
      <w:pPr>
        <w:wordWrap/>
        <w:adjustRightInd/>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2.5“</w:t>
      </w:r>
      <w:r>
        <w:rPr>
          <w:rFonts w:hint="eastAsia" w:ascii="仿宋_GB2312" w:hAnsi="仿宋_GB2312" w:eastAsia="仿宋_GB2312" w:cs="仿宋_GB2312"/>
          <w:color w:val="auto"/>
          <w:sz w:val="28"/>
          <w:szCs w:val="28"/>
          <w:highlight w:val="none"/>
          <w:lang w:eastAsia="zh-CN"/>
        </w:rPr>
        <w:t>货物</w:t>
      </w:r>
      <w:r>
        <w:rPr>
          <w:rFonts w:hint="eastAsia" w:ascii="仿宋_GB2312" w:hAnsi="仿宋_GB2312" w:eastAsia="仿宋_GB2312" w:cs="仿宋_GB2312"/>
          <w:color w:val="auto"/>
          <w:sz w:val="28"/>
          <w:szCs w:val="28"/>
          <w:highlight w:val="none"/>
        </w:rPr>
        <w:t>”系指磋商文件中所述所有</w:t>
      </w:r>
      <w:r>
        <w:rPr>
          <w:rFonts w:hint="eastAsia" w:ascii="仿宋_GB2312" w:hAnsi="仿宋_GB2312" w:eastAsia="仿宋_GB2312" w:cs="仿宋_GB2312"/>
          <w:color w:val="auto"/>
          <w:sz w:val="28"/>
          <w:szCs w:val="28"/>
          <w:highlight w:val="none"/>
          <w:lang w:eastAsia="zh-CN"/>
        </w:rPr>
        <w:t>货物</w:t>
      </w:r>
      <w:r>
        <w:rPr>
          <w:rFonts w:hint="eastAsia" w:ascii="仿宋_GB2312" w:hAnsi="仿宋_GB2312" w:eastAsia="仿宋_GB2312" w:cs="仿宋_GB2312"/>
          <w:color w:val="auto"/>
          <w:sz w:val="28"/>
          <w:szCs w:val="28"/>
          <w:highlight w:val="none"/>
        </w:rPr>
        <w:t>及</w:t>
      </w:r>
      <w:r>
        <w:rPr>
          <w:rFonts w:hint="eastAsia" w:ascii="仿宋_GB2312" w:eastAsia="仿宋_GB2312"/>
          <w:color w:val="auto"/>
          <w:sz w:val="28"/>
          <w:szCs w:val="28"/>
          <w:highlight w:val="none"/>
        </w:rPr>
        <w:t>其他相关义务</w:t>
      </w:r>
      <w:r>
        <w:rPr>
          <w:rFonts w:hint="eastAsia" w:ascii="仿宋_GB2312" w:hAnsi="仿宋_GB2312" w:eastAsia="仿宋_GB2312" w:cs="仿宋_GB2312"/>
          <w:color w:val="auto"/>
          <w:sz w:val="28"/>
          <w:szCs w:val="28"/>
          <w:highlight w:val="none"/>
        </w:rPr>
        <w:t>。</w:t>
      </w:r>
    </w:p>
    <w:p w14:paraId="2D3C35A4">
      <w:pPr>
        <w:wordWrap/>
        <w:adjustRightInd/>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2.6“法定代表人”系指法人单位（企业）法人营业执照（或事业法人登记证书上）上注明的法定代表人；如为其他组织或个体经营者参加竞争性磋商会的，指营业执照上注明的负责人或经营者。 </w:t>
      </w:r>
    </w:p>
    <w:p w14:paraId="52AB7AEC">
      <w:pPr>
        <w:wordWrap/>
        <w:adjustRightInd/>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2.7“重大违法记录”系指供应商因违法经营受到刑事处罚或者责令停产停业、吊销许可证或者执照、较大数额罚款等行政处罚。</w:t>
      </w:r>
    </w:p>
    <w:p w14:paraId="501C589B">
      <w:pPr>
        <w:wordWrap/>
        <w:adjustRightInd/>
        <w:snapToGrid/>
        <w:spacing w:line="560" w:lineRule="exact"/>
        <w:textAlignment w:val="auto"/>
        <w:rPr>
          <w:rFonts w:ascii="仿宋_GB2312" w:eastAsia="仿宋_GB2312"/>
          <w:color w:val="auto"/>
          <w:sz w:val="28"/>
          <w:szCs w:val="28"/>
          <w:highlight w:val="none"/>
        </w:rPr>
      </w:pPr>
      <w:r>
        <w:rPr>
          <w:rFonts w:hint="eastAsia" w:eastAsia="仿宋_GB2312"/>
          <w:color w:val="auto"/>
          <w:sz w:val="28"/>
          <w:szCs w:val="28"/>
          <w:highlight w:val="none"/>
        </w:rPr>
        <w:t xml:space="preserve">    </w:t>
      </w:r>
      <w:r>
        <w:rPr>
          <w:rFonts w:hint="eastAsia" w:ascii="仿宋_GB2312" w:hAnsi="仿宋_GB2312" w:eastAsia="仿宋_GB2312" w:cs="仿宋_GB2312"/>
          <w:color w:val="auto"/>
          <w:sz w:val="28"/>
          <w:szCs w:val="28"/>
          <w:highlight w:val="none"/>
        </w:rPr>
        <w:t>2.8</w:t>
      </w:r>
      <w:r>
        <w:rPr>
          <w:rFonts w:hint="eastAsia" w:ascii="仿宋_GB2312" w:eastAsia="仿宋_GB2312"/>
          <w:color w:val="auto"/>
          <w:sz w:val="28"/>
          <w:szCs w:val="28"/>
          <w:highlight w:val="none"/>
        </w:rPr>
        <w:t>“不具备良好的商业信誉”是指：</w:t>
      </w:r>
    </w:p>
    <w:p w14:paraId="304EB3C6">
      <w:pPr>
        <w:wordWrap/>
        <w:adjustRightInd/>
        <w:snapToGrid/>
        <w:spacing w:line="560" w:lineRule="exac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   （1）有重大违法记录的（满三年的除外）；</w:t>
      </w:r>
    </w:p>
    <w:p w14:paraId="611DA651">
      <w:pPr>
        <w:wordWrap/>
        <w:adjustRightInd/>
        <w:snapToGrid/>
        <w:spacing w:line="560" w:lineRule="exac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   （2）被各级财政部门列入政府采购严重违法失信行为信息记录的（期限已满的除外）；</w:t>
      </w:r>
    </w:p>
    <w:p w14:paraId="47E82C8A">
      <w:pPr>
        <w:wordWrap/>
        <w:adjustRightInd/>
        <w:snapToGrid/>
        <w:spacing w:line="560" w:lineRule="exac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   （3）被各级政府采购监督管理部门禁止在一定期限内参加政府采购活动等处罚的（期限已满的除外）；</w:t>
      </w:r>
    </w:p>
    <w:p w14:paraId="5B968F03">
      <w:pPr>
        <w:wordWrap/>
        <w:adjustRightInd/>
        <w:snapToGrid/>
        <w:spacing w:line="560" w:lineRule="exact"/>
        <w:textAlignment w:val="auto"/>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eastAsia="zh-CN"/>
        </w:rPr>
        <w:t>（</w:t>
      </w:r>
      <w:r>
        <w:rPr>
          <w:rFonts w:hint="eastAsia" w:ascii="仿宋_GB2312" w:eastAsia="仿宋_GB2312"/>
          <w:color w:val="auto"/>
          <w:sz w:val="28"/>
          <w:szCs w:val="28"/>
          <w:highlight w:val="none"/>
          <w:lang w:val="en-US" w:eastAsia="zh-CN"/>
        </w:rPr>
        <w:t>4</w:t>
      </w:r>
      <w:r>
        <w:rPr>
          <w:rFonts w:hint="eastAsia" w:ascii="仿宋_GB2312" w:eastAsia="仿宋_GB2312"/>
          <w:color w:val="auto"/>
          <w:sz w:val="28"/>
          <w:szCs w:val="28"/>
          <w:highlight w:val="none"/>
          <w:lang w:eastAsia="zh-CN"/>
        </w:rPr>
        <w:t>）</w:t>
      </w:r>
      <w:r>
        <w:rPr>
          <w:rFonts w:hint="eastAsia" w:ascii="仿宋_GB2312" w:eastAsia="仿宋_GB2312"/>
          <w:color w:val="auto"/>
          <w:sz w:val="28"/>
          <w:szCs w:val="28"/>
          <w:highlight w:val="none"/>
        </w:rPr>
        <w:t>被各级法院列入失信名单的（已依法解除的除外）；</w:t>
      </w:r>
    </w:p>
    <w:p w14:paraId="1B7C7195">
      <w:pPr>
        <w:wordWrap/>
        <w:adjustRightInd/>
        <w:snapToGrid/>
        <w:spacing w:line="560" w:lineRule="exact"/>
        <w:ind w:firstLine="280" w:firstLineChars="100"/>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（5）不符合《财政部关于在政府采购活动中查询及使用信用记录有关问题的通知》（财库2016〕125号）相关规定的；</w:t>
      </w:r>
    </w:p>
    <w:p w14:paraId="7E2D4391">
      <w:pPr>
        <w:wordWrap/>
        <w:adjustRightInd/>
        <w:snapToGrid/>
        <w:spacing w:line="560" w:lineRule="exac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   （6）法律法规规定的其他情形。</w:t>
      </w:r>
    </w:p>
    <w:p w14:paraId="410E0221">
      <w:pPr>
        <w:wordWrap/>
        <w:adjustRightInd/>
        <w:snapToGrid/>
        <w:spacing w:line="560" w:lineRule="exact"/>
        <w:ind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3.采购预算</w:t>
      </w:r>
    </w:p>
    <w:p w14:paraId="4EFD0F09">
      <w:pPr>
        <w:widowControl/>
        <w:wordWrap/>
        <w:adjustRightInd/>
        <w:snapToGrid/>
        <w:spacing w:line="560" w:lineRule="exact"/>
        <w:ind w:firstLine="555"/>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3.1 本次采购预算为</w:t>
      </w:r>
      <w:r>
        <w:rPr>
          <w:rFonts w:hint="eastAsia" w:ascii="仿宋_GB2312" w:hAnsi="仿宋_GB2312" w:eastAsia="仿宋_GB2312" w:cs="仿宋_GB2312"/>
          <w:color w:val="auto"/>
          <w:sz w:val="28"/>
          <w:szCs w:val="28"/>
          <w:highlight w:val="none"/>
          <w:lang w:val="en-US" w:eastAsia="zh-CN"/>
        </w:rPr>
        <w:t>人民币:1,150,000.00元（大写：壹佰壹拾伍万元整）</w:t>
      </w:r>
      <w:r>
        <w:rPr>
          <w:rFonts w:hint="eastAsia" w:ascii="仿宋_GB2312" w:hAnsi="仿宋_GB2312" w:eastAsia="仿宋_GB2312" w:cs="仿宋_GB2312"/>
          <w:color w:val="auto"/>
          <w:sz w:val="28"/>
          <w:szCs w:val="28"/>
          <w:highlight w:val="none"/>
        </w:rPr>
        <w:t xml:space="preserve">。 </w:t>
      </w:r>
    </w:p>
    <w:p w14:paraId="29F049ED">
      <w:pPr>
        <w:wordWrap/>
        <w:adjustRightInd/>
        <w:snapToGrid/>
        <w:spacing w:line="560" w:lineRule="exact"/>
        <w:ind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4.合格的供应商</w:t>
      </w:r>
    </w:p>
    <w:p w14:paraId="19B41517">
      <w:pPr>
        <w:wordWrap/>
        <w:adjustRightInd/>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4．1 符合《中华人民共和国政府采购法》第二十二条规定的条件：</w:t>
      </w:r>
    </w:p>
    <w:p w14:paraId="648FF79D">
      <w:pPr>
        <w:wordWrap/>
        <w:adjustRightInd/>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4.1.1具有独立承担民事责任的能力；</w:t>
      </w:r>
    </w:p>
    <w:p w14:paraId="35811973">
      <w:pPr>
        <w:wordWrap/>
        <w:adjustRightInd/>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4.1.2具有良好的商业信誉和健全的财务会计制度；</w:t>
      </w:r>
    </w:p>
    <w:p w14:paraId="6BF393CC">
      <w:pPr>
        <w:wordWrap/>
        <w:adjustRightInd/>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4.1.3具有履行合同所必需的设备和专业技术能力；</w:t>
      </w:r>
    </w:p>
    <w:p w14:paraId="2EC7DACC">
      <w:pPr>
        <w:wordWrap/>
        <w:adjustRightInd/>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4.1.4有依法缴纳税收和社会保障资金的良好记录；</w:t>
      </w:r>
    </w:p>
    <w:p w14:paraId="6D9ECB27">
      <w:pPr>
        <w:wordWrap/>
        <w:adjustRightInd/>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4.1.5参加政府采购活动前三年内，在经营活动中没有重大违法记录；</w:t>
      </w:r>
    </w:p>
    <w:p w14:paraId="5C5D426D">
      <w:pPr>
        <w:wordWrap/>
        <w:adjustRightInd/>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4.1.6法律、行政法规规定的其他条件。</w:t>
      </w:r>
    </w:p>
    <w:p w14:paraId="289952B2">
      <w:pPr>
        <w:wordWrap/>
        <w:spacing w:line="560" w:lineRule="exact"/>
        <w:ind w:firstLine="560" w:firstLineChars="200"/>
        <w:jc w:val="both"/>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注：（1）根据《焦作市财政局关于实施政府采购信用承诺制度的通知》的规定，供应商在响应时，按照规定提供相关承诺函，无需再提交上述证明材料。</w:t>
      </w:r>
    </w:p>
    <w:p w14:paraId="46929603">
      <w:pPr>
        <w:wordWrap/>
        <w:spacing w:line="560" w:lineRule="exact"/>
        <w:ind w:firstLine="560" w:firstLineChars="200"/>
        <w:jc w:val="both"/>
        <w:rPr>
          <w:rFonts w:hint="default" w:ascii="仿宋_GB2312" w:eastAsia="仿宋_GB2312"/>
          <w:b/>
          <w:bCs/>
          <w:color w:val="auto"/>
          <w:sz w:val="28"/>
          <w:szCs w:val="28"/>
          <w:highlight w:val="none"/>
          <w:lang w:val="en-US" w:eastAsia="zh-CN"/>
        </w:rPr>
      </w:pPr>
      <w:r>
        <w:rPr>
          <w:rFonts w:hint="eastAsia" w:ascii="仿宋_GB2312" w:eastAsia="仿宋_GB2312"/>
          <w:color w:val="auto"/>
          <w:sz w:val="28"/>
          <w:szCs w:val="28"/>
          <w:highlight w:val="none"/>
          <w:lang w:val="en-US" w:eastAsia="zh-CN"/>
        </w:rPr>
        <w:t>（2）供应商应当遵循诚实信用原则，不得作虚假承诺。供应商承诺不实的，属于提供虚假材料谋取中标、成交。按照《政府采购法》第七十七条规定，处以采购金额千分之五以上千分之十以下的罚款，列入不良行为记录名单，在一至三年内禁止参加政府采购活动；有违法所得的，并处没收违法所得，情节严重的，吊销营业执照；构成犯罪的，依法追究刑事责任。</w:t>
      </w:r>
    </w:p>
    <w:p w14:paraId="44475904">
      <w:pPr>
        <w:wordWrap/>
        <w:adjustRightInd/>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4.2符合本竞争性磋商文件规定的供应商资格要求及项目要求的其他条件，并按照要求提供相关证明材料。</w:t>
      </w:r>
    </w:p>
    <w:p w14:paraId="151C2621">
      <w:pPr>
        <w:wordWrap/>
        <w:adjustRightInd/>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4.3供应商应遵守国家法律、法规和采购代理机构有关竞争性磋商的规定。</w:t>
      </w:r>
    </w:p>
    <w:p w14:paraId="6F63D720">
      <w:pPr>
        <w:spacing w:line="560" w:lineRule="exact"/>
        <w:ind w:firstLine="560" w:firstLineChars="200"/>
        <w:rPr>
          <w:rFonts w:ascii="仿宋_GB2312" w:eastAsia="仿宋_GB2312"/>
          <w:color w:val="auto"/>
          <w:sz w:val="28"/>
          <w:szCs w:val="28"/>
          <w:highlight w:val="none"/>
        </w:rPr>
      </w:pPr>
      <w:r>
        <w:rPr>
          <w:rFonts w:hint="eastAsia" w:ascii="仿宋_GB2312" w:hAnsi="仿宋_GB2312" w:eastAsia="仿宋_GB2312" w:cs="仿宋_GB2312"/>
          <w:color w:val="auto"/>
          <w:sz w:val="28"/>
          <w:szCs w:val="28"/>
          <w:highlight w:val="none"/>
        </w:rPr>
        <w:t>4.</w:t>
      </w:r>
      <w:r>
        <w:rPr>
          <w:rFonts w:hint="eastAsia" w:ascii="仿宋_GB2312" w:hAnsi="仿宋_GB2312" w:eastAsia="仿宋_GB2312" w:cs="仿宋_GB2312"/>
          <w:color w:val="auto"/>
          <w:sz w:val="28"/>
          <w:szCs w:val="28"/>
          <w:highlight w:val="none"/>
          <w:lang w:val="en-US" w:eastAsia="zh-CN"/>
        </w:rPr>
        <w:t>4</w:t>
      </w:r>
      <w:r>
        <w:rPr>
          <w:rFonts w:hint="eastAsia" w:ascii="仿宋_GB2312" w:eastAsia="仿宋_GB2312"/>
          <w:color w:val="auto"/>
          <w:sz w:val="28"/>
          <w:szCs w:val="28"/>
          <w:highlight w:val="none"/>
        </w:rPr>
        <w:t>采用综合评分法的采购项目，提供相同品牌产品且通过资格审查、符合性审查的不同供应商参加同一合同项下投标的，按一家供应商计算，评审后得分最高的同品牌供应商获得成交供应商推荐资格；评审得分相同的，由采购人或者采购人委托评标委员会按照竞争性磋商文件规定的方式确定一个供应商获得成交供应商推荐资格，竞争性磋商文件未规定的采取随机抽取方式确定，其他同品牌供应商不作为成交候选人。</w:t>
      </w:r>
    </w:p>
    <w:p w14:paraId="386E6CC6">
      <w:pPr>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eastAsia="仿宋_GB2312"/>
          <w:color w:val="auto"/>
          <w:sz w:val="28"/>
          <w:szCs w:val="28"/>
          <w:highlight w:val="none"/>
        </w:rPr>
        <w:t>非单一产品采购项目，多家供应商提供的核心产品品牌相同的，按上述条款规定处理。</w:t>
      </w:r>
    </w:p>
    <w:p w14:paraId="3F11B63C">
      <w:pPr>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4.5单位负责人为同一人或者存在直接控股、管理关系的不同供应商，不得参加同一合同项下的政府采购活动。</w:t>
      </w:r>
    </w:p>
    <w:p w14:paraId="18221239">
      <w:pPr>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4.6本项目不接受联合体投标。</w:t>
      </w:r>
    </w:p>
    <w:p w14:paraId="518CBCB5">
      <w:pPr>
        <w:wordWrap/>
        <w:adjustRightInd/>
        <w:snapToGrid/>
        <w:spacing w:line="560" w:lineRule="exact"/>
        <w:ind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5.竞争性磋商费用</w:t>
      </w:r>
    </w:p>
    <w:p w14:paraId="0834239C">
      <w:pPr>
        <w:wordWrap/>
        <w:adjustRightInd/>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5.1无论竞争性磋商结果如何，供应商均应自行承担所有与竞争性磋商活动有关的全部费用。无论磋商结果如何，采购人和采购代理机构均无向磋商对象解释其成交或未成交原因的义务。</w:t>
      </w:r>
    </w:p>
    <w:p w14:paraId="3CA280B8">
      <w:pPr>
        <w:wordWrap/>
        <w:adjustRightInd/>
        <w:snapToGrid/>
        <w:spacing w:line="560" w:lineRule="exact"/>
        <w:ind w:firstLine="560" w:firstLineChars="200"/>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5.2 采购代理服务费：</w:t>
      </w:r>
      <w:r>
        <w:rPr>
          <w:rFonts w:hint="eastAsia" w:ascii="仿宋_GB2312" w:eastAsia="仿宋_GB2312"/>
          <w:color w:val="auto"/>
          <w:sz w:val="28"/>
          <w:szCs w:val="28"/>
          <w:highlight w:val="none"/>
          <w:lang w:val="en-US" w:eastAsia="zh-CN"/>
        </w:rPr>
        <w:t>成交</w:t>
      </w:r>
      <w:r>
        <w:rPr>
          <w:rFonts w:hint="eastAsia" w:ascii="仿宋_GB2312" w:eastAsia="仿宋_GB2312"/>
          <w:color w:val="auto"/>
          <w:sz w:val="28"/>
          <w:szCs w:val="28"/>
          <w:highlight w:val="none"/>
        </w:rPr>
        <w:t>金额100万元以下（含100万元）部分按1.7%收取，100万</w:t>
      </w:r>
      <w:r>
        <w:rPr>
          <w:rFonts w:hint="eastAsia" w:ascii="仿宋_GB2312" w:eastAsia="仿宋_GB2312"/>
          <w:color w:val="auto"/>
          <w:sz w:val="28"/>
          <w:szCs w:val="28"/>
          <w:highlight w:val="none"/>
          <w:lang w:val="en-US" w:eastAsia="zh-CN"/>
        </w:rPr>
        <w:t>-500万（含）</w:t>
      </w:r>
      <w:r>
        <w:rPr>
          <w:rFonts w:hint="eastAsia" w:ascii="仿宋_GB2312" w:eastAsia="仿宋_GB2312"/>
          <w:color w:val="auto"/>
          <w:sz w:val="28"/>
          <w:szCs w:val="28"/>
          <w:highlight w:val="none"/>
        </w:rPr>
        <w:t>部分按1.2%收取</w:t>
      </w:r>
      <w:r>
        <w:rPr>
          <w:rFonts w:hint="eastAsia" w:ascii="仿宋_GB2312" w:eastAsia="仿宋_GB2312"/>
          <w:color w:val="auto"/>
          <w:sz w:val="28"/>
          <w:szCs w:val="28"/>
          <w:highlight w:val="none"/>
          <w:lang w:val="en-US" w:eastAsia="zh-CN"/>
        </w:rPr>
        <w:t>。</w:t>
      </w:r>
      <w:r>
        <w:rPr>
          <w:rFonts w:hint="eastAsia" w:ascii="仿宋_GB2312" w:eastAsia="仿宋_GB2312"/>
          <w:color w:val="auto"/>
          <w:sz w:val="28"/>
          <w:szCs w:val="28"/>
          <w:highlight w:val="none"/>
        </w:rPr>
        <w:t>成交供应商在领取成交通知书时须以刷卡或转账的方式向采购代理机构</w:t>
      </w:r>
      <w:r>
        <w:rPr>
          <w:rFonts w:hint="eastAsia" w:ascii="仿宋_GB2312" w:eastAsia="仿宋_GB2312"/>
          <w:color w:val="auto"/>
          <w:sz w:val="28"/>
          <w:szCs w:val="28"/>
          <w:highlight w:val="none"/>
          <w:lang w:val="en-US" w:eastAsia="zh-CN"/>
        </w:rPr>
        <w:t>缴</w:t>
      </w:r>
      <w:r>
        <w:rPr>
          <w:rFonts w:hint="eastAsia" w:ascii="仿宋_GB2312" w:eastAsia="仿宋_GB2312"/>
          <w:color w:val="auto"/>
          <w:sz w:val="28"/>
          <w:szCs w:val="28"/>
          <w:highlight w:val="none"/>
        </w:rPr>
        <w:t>纳采购代理服务费。</w:t>
      </w:r>
    </w:p>
    <w:p w14:paraId="5208D997">
      <w:pPr>
        <w:wordWrap/>
        <w:adjustRightInd/>
        <w:snapToGrid/>
        <w:spacing w:line="560" w:lineRule="exact"/>
        <w:ind w:firstLine="560" w:firstLineChars="200"/>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账户名称：焦作市公共资源项目服务有限责任公司</w:t>
      </w:r>
    </w:p>
    <w:p w14:paraId="0F459A6D">
      <w:pPr>
        <w:wordWrap/>
        <w:adjustRightInd/>
        <w:snapToGrid/>
        <w:spacing w:line="560" w:lineRule="exact"/>
        <w:ind w:firstLine="560" w:firstLineChars="200"/>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开户银行：中国建设银行股份有限公司焦作焦西支行</w:t>
      </w:r>
    </w:p>
    <w:p w14:paraId="5F10E683">
      <w:pPr>
        <w:wordWrap/>
        <w:adjustRightInd/>
        <w:snapToGrid/>
        <w:spacing w:line="560" w:lineRule="exact"/>
        <w:ind w:firstLine="560" w:firstLineChars="200"/>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账号：4105 0164 6108 0000 0094。</w:t>
      </w:r>
    </w:p>
    <w:p w14:paraId="6D58C7E3">
      <w:pPr>
        <w:wordWrap/>
        <w:adjustRightInd/>
        <w:snapToGrid/>
        <w:spacing w:line="560" w:lineRule="exact"/>
        <w:ind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 xml:space="preserve">6.竞争性磋商文件的约束力 </w:t>
      </w:r>
    </w:p>
    <w:p w14:paraId="483FB053">
      <w:pPr>
        <w:wordWrap/>
        <w:adjustRightInd/>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6.l 供应商一旦参加竞争性磋商会，即被认为接受了本竞争性磋商文件中的所有条款和规定。</w:t>
      </w:r>
    </w:p>
    <w:p w14:paraId="08827DCD">
      <w:pPr>
        <w:wordWrap/>
        <w:adjustRightInd/>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6.2供应商如认为本竞争性磋商文件含有倾向性或排斥潜在供应商的条款而使自己的权益受到损害的，请以书面形式向采购人提出，否则，将视为对本竞争性磋商文件要求无任何异议，并不得因此在竞争性磋商会开始后提出任何异议。</w:t>
      </w:r>
    </w:p>
    <w:p w14:paraId="7F92584B">
      <w:pPr>
        <w:wordWrap/>
        <w:adjustRightInd/>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6.3 本竞争性磋商文件由采购人负责解释。  </w:t>
      </w:r>
    </w:p>
    <w:p w14:paraId="0FD49853">
      <w:pPr>
        <w:wordWrap/>
        <w:adjustRightInd/>
        <w:snapToGrid/>
        <w:spacing w:line="560" w:lineRule="exact"/>
        <w:jc w:val="center"/>
        <w:textAlignment w:val="auto"/>
        <w:rPr>
          <w:rFonts w:ascii="宋体" w:hAnsi="宋体" w:cs="宋体"/>
          <w:b/>
          <w:color w:val="auto"/>
          <w:sz w:val="28"/>
          <w:szCs w:val="28"/>
          <w:highlight w:val="none"/>
        </w:rPr>
      </w:pPr>
      <w:r>
        <w:rPr>
          <w:rFonts w:hint="eastAsia" w:ascii="宋体" w:hAnsi="宋体" w:cs="宋体"/>
          <w:b/>
          <w:color w:val="auto"/>
          <w:sz w:val="28"/>
          <w:szCs w:val="28"/>
          <w:highlight w:val="none"/>
        </w:rPr>
        <w:t>二、竞争性磋商文件</w:t>
      </w:r>
    </w:p>
    <w:p w14:paraId="0E0AC2FE">
      <w:pPr>
        <w:tabs>
          <w:tab w:val="left" w:pos="632"/>
          <w:tab w:val="left" w:pos="790"/>
        </w:tabs>
        <w:wordWrap/>
        <w:snapToGrid/>
        <w:spacing w:line="560" w:lineRule="exact"/>
        <w:ind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7．竞争性磋商文件的组成</w:t>
      </w:r>
    </w:p>
    <w:p w14:paraId="43A6E47B">
      <w:pPr>
        <w:wordWrap/>
        <w:autoSpaceDE w:val="0"/>
        <w:autoSpaceDN w:val="0"/>
        <w:adjustRightInd w:val="0"/>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7.1 竞争性磋商</w:t>
      </w:r>
      <w:r>
        <w:rPr>
          <w:rFonts w:hint="eastAsia" w:ascii="仿宋_GB2312" w:hAnsi="仿宋_GB2312" w:eastAsia="仿宋_GB2312" w:cs="仿宋_GB2312"/>
          <w:color w:val="auto"/>
          <w:sz w:val="28"/>
          <w:szCs w:val="28"/>
          <w:highlight w:val="none"/>
          <w:lang w:val="zh-CN"/>
        </w:rPr>
        <w:t>文件是用以阐明的采购需求、采购程序和合同格式等的规范性文件。竞争性磋商文件主要由以下部分组成：</w:t>
      </w:r>
    </w:p>
    <w:p w14:paraId="60988D9A">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（1）竞争性磋商邀请函；</w:t>
      </w:r>
    </w:p>
    <w:p w14:paraId="33815669">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（2）供应商须知；</w:t>
      </w:r>
    </w:p>
    <w:p w14:paraId="0B51FD85">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（3）采购需求；</w:t>
      </w:r>
    </w:p>
    <w:p w14:paraId="7D51DF3D">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（4）响应性文件内容及格式；</w:t>
      </w:r>
    </w:p>
    <w:p w14:paraId="7D94AEB4">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（5）合同主要条款</w:t>
      </w:r>
      <w:r>
        <w:rPr>
          <w:rFonts w:hint="eastAsia" w:ascii="仿宋_GB2312" w:hAnsi="仿宋_GB2312" w:eastAsia="仿宋_GB2312" w:cs="仿宋_GB2312"/>
          <w:color w:val="auto"/>
          <w:sz w:val="28"/>
          <w:szCs w:val="28"/>
          <w:highlight w:val="none"/>
          <w:lang w:eastAsia="zh-CN"/>
        </w:rPr>
        <w:t>（参考）</w:t>
      </w:r>
      <w:r>
        <w:rPr>
          <w:rFonts w:hint="eastAsia" w:ascii="仿宋_GB2312" w:hAnsi="仿宋_GB2312" w:eastAsia="仿宋_GB2312" w:cs="仿宋_GB2312"/>
          <w:color w:val="auto"/>
          <w:sz w:val="28"/>
          <w:szCs w:val="28"/>
          <w:highlight w:val="none"/>
        </w:rPr>
        <w:t>。</w:t>
      </w:r>
    </w:p>
    <w:p w14:paraId="44F06229">
      <w:pPr>
        <w:wordWrap/>
        <w:snapToGrid/>
        <w:spacing w:line="560" w:lineRule="exact"/>
        <w:ind w:firstLine="560" w:firstLineChars="200"/>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7.2 供应商收到竞争性磋商文件后，应仔细检查竞争性磋商文件是否齐全、是否有表述不明确或缺（错、重）字等问题。供应商发现任何页数和附件数量的遗缺，任何数字或词汇模糊不清，任何词义含混不清的情形，应立即与采购人联系解决。如果供应商因未按上述提出要求而造成不良后果的，采购人不承担任何责任。　　　　</w:t>
      </w:r>
    </w:p>
    <w:p w14:paraId="74075391">
      <w:pPr>
        <w:wordWrap/>
        <w:snapToGrid/>
        <w:spacing w:line="560" w:lineRule="exact"/>
        <w:ind w:firstLine="560" w:firstLineChars="200"/>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7.3 供应商被视为充分熟悉本采购项目所在地的与履行合同有关的各种情况，包括自然环境、气候条件、劳动力及公用设施等，本竞争性磋商文件不再对上述情况进行描述。</w:t>
      </w:r>
    </w:p>
    <w:p w14:paraId="57716FA1">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eastAsia="仿宋_GB2312"/>
          <w:color w:val="auto"/>
          <w:sz w:val="28"/>
          <w:szCs w:val="28"/>
          <w:highlight w:val="none"/>
        </w:rPr>
        <w:t>7.4 供应商必须详阅竞争性磋商文件的所有条款、文件及表格格式等。供应商若未按竞争性磋商文件的要求和规范编制、提交响应性文件，将有可能导致响应性文件被拒绝接受或被视为无效。</w:t>
      </w:r>
      <w:r>
        <w:rPr>
          <w:rFonts w:hint="eastAsia" w:ascii="仿宋_GB2312" w:hAnsi="仿宋_GB2312" w:eastAsia="仿宋_GB2312" w:cs="仿宋_GB2312"/>
          <w:color w:val="auto"/>
          <w:sz w:val="28"/>
          <w:szCs w:val="28"/>
          <w:highlight w:val="none"/>
        </w:rPr>
        <w:t xml:space="preserve"> </w:t>
      </w:r>
    </w:p>
    <w:p w14:paraId="10FC5E2D">
      <w:pPr>
        <w:widowControl/>
        <w:wordWrap/>
        <w:snapToGrid/>
        <w:spacing w:line="560" w:lineRule="exact"/>
        <w:ind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8.竞争性磋商文件的澄清与修改</w:t>
      </w:r>
    </w:p>
    <w:p w14:paraId="0839BABC">
      <w:pPr>
        <w:wordWrap/>
        <w:autoSpaceDE w:val="0"/>
        <w:autoSpaceDN w:val="0"/>
        <w:adjustRightInd w:val="0"/>
        <w:snapToGrid/>
        <w:spacing w:line="560" w:lineRule="exact"/>
        <w:ind w:firstLine="560" w:firstLineChars="200"/>
        <w:textAlignment w:val="auto"/>
        <w:rPr>
          <w:rFonts w:ascii="仿宋_GB2312" w:hAnsi="仿宋" w:eastAsia="仿宋_GB2312" w:cs="仿宋"/>
          <w:color w:val="auto"/>
          <w:sz w:val="28"/>
          <w:szCs w:val="28"/>
          <w:highlight w:val="none"/>
          <w:lang w:val="zh-CN"/>
        </w:rPr>
      </w:pPr>
      <w:r>
        <w:rPr>
          <w:rFonts w:hint="eastAsia" w:ascii="仿宋_GB2312" w:hAnsi="仿宋" w:eastAsia="仿宋_GB2312" w:cs="仿宋"/>
          <w:color w:val="auto"/>
          <w:sz w:val="28"/>
          <w:szCs w:val="28"/>
          <w:highlight w:val="none"/>
          <w:lang w:val="zh-CN"/>
        </w:rPr>
        <w:t>8.1 采购代理机构可以对已发出的磋商文件进行必要的澄清或者修改，改变采购标的和资格条件除外。澄清或者修改的内容将在原公告发布媒体上发布澄清（变更）公告。澄清或者修改的内容为磋商文件的组成部分。</w:t>
      </w:r>
    </w:p>
    <w:p w14:paraId="515FB327">
      <w:pPr>
        <w:wordWrap/>
        <w:autoSpaceDE w:val="0"/>
        <w:autoSpaceDN w:val="0"/>
        <w:adjustRightInd w:val="0"/>
        <w:snapToGrid/>
        <w:spacing w:line="560" w:lineRule="exact"/>
        <w:ind w:firstLine="560" w:firstLineChars="200"/>
        <w:textAlignment w:val="auto"/>
        <w:rPr>
          <w:rFonts w:ascii="仿宋_GB2312" w:hAnsi="仿宋" w:eastAsia="仿宋_GB2312" w:cs="仿宋"/>
          <w:color w:val="auto"/>
          <w:sz w:val="28"/>
          <w:szCs w:val="28"/>
          <w:highlight w:val="none"/>
          <w:lang w:val="zh-CN"/>
        </w:rPr>
      </w:pPr>
      <w:r>
        <w:rPr>
          <w:rFonts w:hint="eastAsia" w:ascii="仿宋_GB2312" w:hAnsi="仿宋" w:eastAsia="仿宋_GB2312" w:cs="仿宋"/>
          <w:color w:val="auto"/>
          <w:sz w:val="28"/>
          <w:szCs w:val="28"/>
          <w:highlight w:val="none"/>
          <w:lang w:val="zh-CN"/>
        </w:rPr>
        <w:t>8.2 澄清或者修改的内容可能影响响应性文件编制的，采购代理机构将在首次递交响应性文件截止之日5日前，以书面形式（发布变更公告）通知所有获取磋商文件的潜在供应商；不足5日的，将顺延提交响应性文件的截止时间。</w:t>
      </w:r>
    </w:p>
    <w:p w14:paraId="0B7539D6">
      <w:pPr>
        <w:wordWrap/>
        <w:snapToGrid/>
        <w:spacing w:line="560" w:lineRule="exact"/>
        <w:jc w:val="center"/>
        <w:textAlignment w:val="auto"/>
        <w:rPr>
          <w:rFonts w:ascii="宋体" w:hAnsi="宋体" w:cs="宋体"/>
          <w:b/>
          <w:color w:val="auto"/>
          <w:sz w:val="28"/>
          <w:szCs w:val="28"/>
          <w:highlight w:val="none"/>
        </w:rPr>
      </w:pPr>
      <w:r>
        <w:rPr>
          <w:rFonts w:hint="eastAsia" w:ascii="宋体" w:hAnsi="宋体" w:cs="宋体"/>
          <w:b/>
          <w:color w:val="auto"/>
          <w:sz w:val="28"/>
          <w:szCs w:val="28"/>
          <w:highlight w:val="none"/>
        </w:rPr>
        <w:t>三、响应性文件的编制</w:t>
      </w:r>
    </w:p>
    <w:p w14:paraId="64FF2E39">
      <w:pPr>
        <w:wordWrap/>
        <w:snapToGrid/>
        <w:spacing w:line="560" w:lineRule="exact"/>
        <w:ind w:firstLine="562"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9.要求</w:t>
      </w:r>
    </w:p>
    <w:p w14:paraId="09481FB2">
      <w:pPr>
        <w:wordWrap/>
        <w:snapToGrid/>
        <w:spacing w:line="560" w:lineRule="exact"/>
        <w:ind w:firstLine="560" w:firstLineChars="200"/>
        <w:textAlignment w:val="auto"/>
        <w:rPr>
          <w:rFonts w:hint="eastAsia" w:ascii="仿宋_GB2312" w:eastAsia="仿宋_GB2312"/>
          <w:color w:val="auto"/>
          <w:sz w:val="28"/>
          <w:szCs w:val="28"/>
          <w:highlight w:val="none"/>
        </w:rPr>
      </w:pPr>
      <w:r>
        <w:rPr>
          <w:rFonts w:hint="eastAsia" w:ascii="仿宋_GB2312" w:hAnsi="仿宋_GB2312" w:eastAsia="仿宋_GB2312" w:cs="仿宋_GB2312"/>
          <w:color w:val="auto"/>
          <w:sz w:val="28"/>
          <w:szCs w:val="28"/>
          <w:highlight w:val="none"/>
        </w:rPr>
        <w:t>9.1</w:t>
      </w:r>
      <w:r>
        <w:rPr>
          <w:rFonts w:hint="eastAsia" w:ascii="仿宋_GB2312" w:eastAsia="仿宋_GB2312"/>
          <w:color w:val="auto"/>
          <w:sz w:val="28"/>
          <w:szCs w:val="28"/>
          <w:highlight w:val="none"/>
        </w:rPr>
        <w:t>响应性文件应对磋商文件的要求作出实质性响应（包括供应商资格要求、</w:t>
      </w:r>
      <w:r>
        <w:rPr>
          <w:rFonts w:hint="eastAsia" w:ascii="仿宋_GB2312" w:eastAsia="仿宋_GB2312"/>
          <w:color w:val="auto"/>
          <w:sz w:val="28"/>
          <w:szCs w:val="28"/>
          <w:highlight w:val="none"/>
          <w:lang w:val="en-US" w:eastAsia="zh-CN"/>
        </w:rPr>
        <w:t>技术</w:t>
      </w:r>
      <w:r>
        <w:rPr>
          <w:rFonts w:hint="eastAsia" w:ascii="仿宋_GB2312" w:eastAsia="仿宋_GB2312"/>
          <w:color w:val="auto"/>
          <w:sz w:val="28"/>
          <w:szCs w:val="28"/>
          <w:highlight w:val="none"/>
        </w:rPr>
        <w:t>要求、商务要求等）</w:t>
      </w:r>
      <w:r>
        <w:rPr>
          <w:rFonts w:hint="eastAsia" w:ascii="仿宋_GB2312" w:eastAsia="仿宋_GB2312"/>
          <w:color w:val="auto"/>
          <w:sz w:val="28"/>
          <w:szCs w:val="28"/>
          <w:highlight w:val="none"/>
          <w:lang w:eastAsia="zh-CN"/>
        </w:rPr>
        <w:t>，</w:t>
      </w:r>
      <w:r>
        <w:rPr>
          <w:rFonts w:hint="eastAsia" w:ascii="仿宋_GB2312" w:eastAsia="仿宋_GB2312"/>
          <w:color w:val="auto"/>
          <w:sz w:val="28"/>
          <w:szCs w:val="28"/>
          <w:highlight w:val="none"/>
        </w:rPr>
        <w:t>所提供的全部资料</w:t>
      </w:r>
      <w:r>
        <w:rPr>
          <w:rFonts w:hint="eastAsia" w:ascii="仿宋_GB2312" w:eastAsia="仿宋_GB2312"/>
          <w:color w:val="auto"/>
          <w:sz w:val="28"/>
          <w:szCs w:val="28"/>
          <w:highlight w:val="none"/>
          <w:lang w:val="en-US" w:eastAsia="zh-CN"/>
        </w:rPr>
        <w:t>具有</w:t>
      </w:r>
      <w:r>
        <w:rPr>
          <w:rFonts w:hint="eastAsia" w:ascii="仿宋_GB2312" w:eastAsia="仿宋_GB2312"/>
          <w:color w:val="auto"/>
          <w:sz w:val="28"/>
          <w:szCs w:val="28"/>
          <w:highlight w:val="none"/>
        </w:rPr>
        <w:t>真实性、合法性，否则其</w:t>
      </w:r>
      <w:r>
        <w:rPr>
          <w:rFonts w:hint="eastAsia" w:ascii="仿宋_GB2312" w:eastAsia="仿宋_GB2312"/>
          <w:color w:val="auto"/>
          <w:sz w:val="28"/>
          <w:szCs w:val="28"/>
          <w:highlight w:val="none"/>
          <w:lang w:val="en-US" w:eastAsia="zh-CN"/>
        </w:rPr>
        <w:t>响应性</w:t>
      </w:r>
      <w:r>
        <w:rPr>
          <w:rFonts w:hint="eastAsia" w:ascii="仿宋_GB2312" w:eastAsia="仿宋_GB2312"/>
          <w:color w:val="auto"/>
          <w:sz w:val="28"/>
          <w:szCs w:val="28"/>
          <w:highlight w:val="none"/>
        </w:rPr>
        <w:t>文件将作为无效处理。</w:t>
      </w:r>
    </w:p>
    <w:p w14:paraId="2AA50E97">
      <w:pPr>
        <w:wordWrap/>
        <w:snapToGrid/>
        <w:spacing w:line="560" w:lineRule="exact"/>
        <w:ind w:firstLine="560" w:firstLineChars="200"/>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9.2 任何对竞争性磋商文件的忽略或误解不能作为响应性文件没有完全响应竞争性磋商文件的有效理由。</w:t>
      </w:r>
    </w:p>
    <w:p w14:paraId="6DCF5902">
      <w:pPr>
        <w:wordWrap/>
        <w:snapToGrid/>
        <w:spacing w:line="560" w:lineRule="exact"/>
        <w:ind w:firstLine="560" w:firstLineChars="200"/>
        <w:textAlignment w:val="auto"/>
        <w:rPr>
          <w:rFonts w:ascii="仿宋_GB2312" w:eastAsia="仿宋_GB2312"/>
          <w:i/>
          <w:iCs/>
          <w:color w:val="auto"/>
          <w:sz w:val="28"/>
          <w:szCs w:val="28"/>
          <w:highlight w:val="none"/>
        </w:rPr>
      </w:pPr>
      <w:r>
        <w:rPr>
          <w:rFonts w:hint="eastAsia" w:ascii="仿宋_GB2312" w:eastAsia="仿宋_GB2312"/>
          <w:color w:val="auto"/>
          <w:sz w:val="28"/>
          <w:szCs w:val="28"/>
          <w:highlight w:val="none"/>
        </w:rPr>
        <w:t>9.3 供应商没有按照竞争性磋商文件要求提供全部资料，或者供应商没有对竞争性磋商文件在各方面都作出实质性响应是供应商的风险，并可能导致其响应性文件无效。</w:t>
      </w:r>
    </w:p>
    <w:p w14:paraId="714AE4EA">
      <w:pPr>
        <w:widowControl/>
        <w:wordWrap/>
        <w:snapToGrid/>
        <w:spacing w:line="560" w:lineRule="exact"/>
        <w:ind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 xml:space="preserve">10.响应性文件的语言及度量衡 </w:t>
      </w:r>
    </w:p>
    <w:p w14:paraId="218D6257">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10.1响应性文件以及供应商与采购代理机构之间的所有书面往来都应用简体中文书写。 </w:t>
      </w:r>
    </w:p>
    <w:p w14:paraId="566B1F8F">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10.2 供应商提供已印刷好的产品资料如产品样本、说明书等可以用其他语言，但在解释响应性文件时，以译文为准。 </w:t>
      </w:r>
    </w:p>
    <w:p w14:paraId="4059C6B8">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10.3 关于计量单位，竞争性磋商文件已有明确规定的，使用竞争性磋商文件规定的计量单位；竞争性磋商文件没有规定的，应采用中华人民共和国法定计量单位。</w:t>
      </w:r>
    </w:p>
    <w:p w14:paraId="1239CFB2">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10.4本竞争性磋商文件所表述的时间均为北京时间。 </w:t>
      </w:r>
    </w:p>
    <w:p w14:paraId="09518175">
      <w:pPr>
        <w:wordWrap/>
        <w:snapToGrid/>
        <w:spacing w:line="560" w:lineRule="exact"/>
        <w:ind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11.响应性文件的组成</w:t>
      </w:r>
    </w:p>
    <w:p w14:paraId="59F5698B">
      <w:pPr>
        <w:widowControl/>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11.1响应性文件由</w:t>
      </w:r>
      <w:r>
        <w:rPr>
          <w:rFonts w:hint="eastAsia" w:ascii="仿宋_GB2312" w:hAnsi="仿宋_GB2312" w:eastAsia="仿宋_GB2312" w:cs="仿宋_GB2312"/>
          <w:bCs/>
          <w:color w:val="auto"/>
          <w:sz w:val="28"/>
          <w:szCs w:val="28"/>
          <w:highlight w:val="none"/>
          <w:u w:val="single"/>
        </w:rPr>
        <w:t>资格性证明材料</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u w:val="single"/>
        </w:rPr>
        <w:t>符合性证明材料</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u w:val="single"/>
        </w:rPr>
        <w:t>其他材料</w:t>
      </w:r>
      <w:r>
        <w:rPr>
          <w:rFonts w:hint="eastAsia" w:ascii="仿宋_GB2312" w:hAnsi="仿宋_GB2312" w:eastAsia="仿宋_GB2312" w:cs="仿宋_GB2312"/>
          <w:color w:val="auto"/>
          <w:sz w:val="28"/>
          <w:szCs w:val="28"/>
          <w:highlight w:val="none"/>
        </w:rPr>
        <w:t>三部分组成。具体内容和格式见竞争性磋商文件</w:t>
      </w:r>
      <w:r>
        <w:rPr>
          <w:rFonts w:hint="eastAsia" w:ascii="仿宋_GB2312" w:hAnsi="仿宋_GB2312" w:eastAsia="仿宋_GB2312" w:cs="仿宋_GB2312"/>
          <w:bCs/>
          <w:color w:val="auto"/>
          <w:sz w:val="28"/>
          <w:szCs w:val="28"/>
          <w:highlight w:val="none"/>
        </w:rPr>
        <w:t>第四章</w:t>
      </w:r>
      <w:r>
        <w:rPr>
          <w:rFonts w:hint="eastAsia" w:ascii="仿宋_GB2312" w:hAnsi="仿宋_GB2312" w:eastAsia="仿宋_GB2312" w:cs="仿宋_GB2312"/>
          <w:color w:val="auto"/>
          <w:sz w:val="28"/>
          <w:szCs w:val="28"/>
          <w:highlight w:val="none"/>
        </w:rPr>
        <w:t>。</w:t>
      </w:r>
    </w:p>
    <w:p w14:paraId="41ED71D6">
      <w:pPr>
        <w:wordWrap/>
        <w:snapToGrid/>
        <w:spacing w:line="560" w:lineRule="exact"/>
        <w:ind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12.响应性文件格式</w:t>
      </w:r>
    </w:p>
    <w:p w14:paraId="03352375">
      <w:pPr>
        <w:widowControl/>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12.1供应商可按照竞争性磋商文件提供的格式编写响应性文件，但不得缺少或私自更改任何竞争性磋商文件要求填写的表格或提交的资料。竞争性磋商文件提供格式的按格式填列，未提供格式的可自行拟定。</w:t>
      </w:r>
    </w:p>
    <w:p w14:paraId="2D51EC02">
      <w:pPr>
        <w:wordWrap/>
        <w:snapToGrid/>
        <w:spacing w:line="560" w:lineRule="exact"/>
        <w:ind w:firstLine="562"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13.竞争性磋商报价</w:t>
      </w:r>
    </w:p>
    <w:p w14:paraId="2F8FD636">
      <w:pPr>
        <w:wordWrap/>
        <w:snapToGrid/>
        <w:spacing w:line="560" w:lineRule="exact"/>
        <w:ind w:firstLine="560" w:firstLineChars="200"/>
        <w:jc w:val="both"/>
        <w:textAlignment w:val="auto"/>
        <w:rPr>
          <w:rFonts w:hint="eastAsia" w:eastAsia="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13.1所有磋商报价均以人民币元为计算单位。</w:t>
      </w:r>
      <w:r>
        <w:rPr>
          <w:rFonts w:hint="eastAsia" w:ascii="仿宋_GB2312" w:eastAsia="仿宋_GB2312"/>
          <w:color w:val="auto"/>
          <w:sz w:val="28"/>
          <w:szCs w:val="28"/>
          <w:highlight w:val="none"/>
          <w:lang w:eastAsia="zh-CN"/>
        </w:rPr>
        <w:t>供应商的报价为交货地点交货价格，包括</w:t>
      </w:r>
      <w:r>
        <w:rPr>
          <w:rFonts w:hint="eastAsia" w:ascii="仿宋_GB2312" w:eastAsia="仿宋_GB2312"/>
          <w:color w:val="auto"/>
          <w:sz w:val="28"/>
          <w:szCs w:val="28"/>
          <w:highlight w:val="none"/>
          <w:lang w:val="en-US" w:eastAsia="zh-CN"/>
        </w:rPr>
        <w:t>设备供货、运输、保险、装卸、安装、验收交付、技术支持、售后保修及相关伴随服务，</w:t>
      </w:r>
      <w:r>
        <w:rPr>
          <w:rFonts w:hint="eastAsia" w:ascii="仿宋_GB2312" w:eastAsia="仿宋_GB2312"/>
          <w:color w:val="auto"/>
          <w:sz w:val="28"/>
          <w:szCs w:val="28"/>
          <w:highlight w:val="none"/>
          <w:lang w:eastAsia="zh-CN"/>
        </w:rPr>
        <w:t>采购人不再追加任何费用。</w:t>
      </w:r>
    </w:p>
    <w:p w14:paraId="2A00460D">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13.2响应性文件中的报价并非最后报价，在竞争性磋商结束后由供应商再提交最后报价。</w:t>
      </w:r>
    </w:p>
    <w:p w14:paraId="35C718EA">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13.3 采购代理机构不接受有选择的报价。 </w:t>
      </w:r>
    </w:p>
    <w:p w14:paraId="2ACA8EA6">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13.4 最后报价不得超过采购预算。 </w:t>
      </w:r>
    </w:p>
    <w:p w14:paraId="77649E5D">
      <w:pPr>
        <w:wordWrap/>
        <w:snapToGrid/>
        <w:spacing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13.5报价均须以人民币为计算单位。</w:t>
      </w:r>
    </w:p>
    <w:p w14:paraId="3C8FAD72">
      <w:pPr>
        <w:keepNext w:val="0"/>
        <w:keepLines w:val="0"/>
        <w:pageBreakBefore w:val="0"/>
        <w:kinsoku/>
        <w:wordWrap/>
        <w:overflowPunct/>
        <w:topLinePunct w:val="0"/>
        <w:bidi w:val="0"/>
        <w:snapToGrid/>
        <w:spacing w:line="56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13.6需要落实政府采购政策</w:t>
      </w:r>
    </w:p>
    <w:p w14:paraId="019B61A0">
      <w:pPr>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13.</w:t>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.1对小型或微型企业投标的扶持：(本项目非专门面向中小企业采购）</w:t>
      </w:r>
    </w:p>
    <w:p w14:paraId="3F881A8D">
      <w:pPr>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所投产品制造商</w:t>
      </w:r>
      <w:r>
        <w:rPr>
          <w:rFonts w:hint="eastAsia" w:ascii="仿宋_GB2312" w:hAnsi="仿宋_GB2312" w:eastAsia="仿宋_GB2312" w:cs="仿宋_GB2312"/>
          <w:color w:val="auto"/>
          <w:sz w:val="28"/>
          <w:szCs w:val="28"/>
          <w:highlight w:val="none"/>
          <w:lang w:val="en-US" w:eastAsia="zh-CN"/>
        </w:rPr>
        <w:t>为</w:t>
      </w:r>
      <w:r>
        <w:rPr>
          <w:rFonts w:hint="eastAsia" w:ascii="仿宋_GB2312" w:hAnsi="仿宋_GB2312" w:eastAsia="仿宋_GB2312" w:cs="仿宋_GB2312"/>
          <w:color w:val="auto"/>
          <w:sz w:val="28"/>
          <w:szCs w:val="28"/>
          <w:highlight w:val="none"/>
        </w:rPr>
        <w:t>小型或微型企业时，报价给予C1的价格扣除（C1的取值为20%），即：</w:t>
      </w:r>
      <w:r>
        <w:rPr>
          <w:rFonts w:hint="eastAsia" w:ascii="仿宋_GB2312" w:hAnsi="仿宋_GB2312" w:eastAsia="仿宋_GB2312" w:cs="仿宋_GB2312"/>
          <w:color w:val="auto"/>
          <w:sz w:val="28"/>
          <w:szCs w:val="28"/>
          <w:highlight w:val="none"/>
          <w:lang w:val="en-US" w:eastAsia="zh-CN"/>
        </w:rPr>
        <w:t>评标价＝磋商报价×(1－C1）</w:t>
      </w:r>
      <w:r>
        <w:rPr>
          <w:rFonts w:hint="eastAsia" w:ascii="仿宋_GB2312" w:hAnsi="仿宋_GB2312" w:eastAsia="仿宋_GB2312" w:cs="仿宋_GB2312"/>
          <w:color w:val="auto"/>
          <w:sz w:val="28"/>
          <w:szCs w:val="28"/>
          <w:highlight w:val="none"/>
        </w:rPr>
        <w:t>；</w:t>
      </w:r>
    </w:p>
    <w:p w14:paraId="7FA7E85D">
      <w:pPr>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小微企业应当列明本项目中所投的“小型和微型企业产品的清单”并提供《中小企业声明函》（见格式1</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w:t>
      </w:r>
    </w:p>
    <w:p w14:paraId="4E19E0C5">
      <w:pPr>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按照《政府采购促进中小企业发展管理办法》有关规定，供应商提供的货物、工程或者服务符合下列情形的，享受本办法规定的中小企业扶持政策：</w:t>
      </w:r>
    </w:p>
    <w:p w14:paraId="0FD7A724">
      <w:pPr>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在货物采购项目中，货物由中小企业制造，即货物由中小企业生产且使用该中小企业商号或者注册商标；</w:t>
      </w:r>
    </w:p>
    <w:p w14:paraId="3278EA22">
      <w:pPr>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①</w:t>
      </w:r>
      <w:r>
        <w:rPr>
          <w:rFonts w:hint="eastAsia" w:ascii="仿宋_GB2312" w:hAnsi="仿宋_GB2312" w:eastAsia="仿宋_GB2312" w:cs="仿宋_GB2312"/>
          <w:color w:val="auto"/>
          <w:sz w:val="28"/>
          <w:szCs w:val="28"/>
          <w:highlight w:val="none"/>
        </w:rPr>
        <w:t>在工程采购项目中，工程由中小企业承建，即工程施工单位为中小企业；</w:t>
      </w:r>
    </w:p>
    <w:p w14:paraId="2204408A">
      <w:pPr>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②</w:t>
      </w:r>
      <w:r>
        <w:rPr>
          <w:rFonts w:hint="eastAsia" w:ascii="仿宋_GB2312" w:hAnsi="仿宋_GB2312" w:eastAsia="仿宋_GB2312" w:cs="仿宋_GB2312"/>
          <w:color w:val="auto"/>
          <w:sz w:val="28"/>
          <w:szCs w:val="28"/>
          <w:highlight w:val="none"/>
        </w:rPr>
        <w:t>在服务采购项目中，服务由中小企业承接，即提供服务的人员为中小企业依照《中华人民共和国劳动合同法》订立劳动合同的从业人员。</w:t>
      </w:r>
    </w:p>
    <w:p w14:paraId="71FA7F69">
      <w:pPr>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③</w:t>
      </w:r>
      <w:r>
        <w:rPr>
          <w:rFonts w:hint="eastAsia" w:ascii="仿宋_GB2312" w:hAnsi="仿宋_GB2312" w:eastAsia="仿宋_GB2312" w:cs="仿宋_GB2312"/>
          <w:color w:val="auto"/>
          <w:sz w:val="28"/>
          <w:szCs w:val="28"/>
          <w:highlight w:val="none"/>
        </w:rPr>
        <w:t>在货物采购项目中，供应商提供的货物既有中小企业制造货物，也有大型企业制造货物的，不享受本办法规定的中小企业扶持政策。</w:t>
      </w:r>
    </w:p>
    <w:p w14:paraId="67A722E4">
      <w:pPr>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④</w:t>
      </w:r>
      <w:r>
        <w:rPr>
          <w:rFonts w:hint="eastAsia" w:ascii="仿宋_GB2312" w:hAnsi="仿宋_GB2312" w:eastAsia="仿宋_GB2312" w:cs="仿宋_GB2312"/>
          <w:color w:val="auto"/>
          <w:sz w:val="28"/>
          <w:szCs w:val="28"/>
          <w:highlight w:val="none"/>
        </w:rPr>
        <w:t>以联合体形式参加政府采购活动，联合体各方均为中小企业的，联合体视同中小企业。其中，联合体各方均为小微企业的，联合体视同小微企业。</w:t>
      </w:r>
    </w:p>
    <w:p w14:paraId="588C16C5">
      <w:pPr>
        <w:spacing w:line="560" w:lineRule="exact"/>
        <w:ind w:firstLine="560" w:firstLineChars="200"/>
        <w:jc w:val="both"/>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享受扶持政策获得政府采购合同的，小微企业不得将合同分包给大中型企业，中型企业不得将合同分包给大型企业；</w:t>
      </w:r>
    </w:p>
    <w:p w14:paraId="45FE18A2">
      <w:pPr>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监狱企业视同小型、微型企业，享受小型、微型企业同等政策待遇。监狱企业参加政府采购活动时，应当提供省级以上监狱管理局、戒毒管理局（含新疆生产建设兵团）出具的属于监狱企业的证明文件。</w:t>
      </w:r>
    </w:p>
    <w:p w14:paraId="34E3177C">
      <w:pPr>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rPr>
        <w:t>为了发挥政府采购促进残疾人就业的作用，进一步保障残疾人权益，根据财库【2017】141号的规定，给予残疾人福利性单位（投标人为残疾人福利性单位且提供的所有投标产品均为残疾人福利性单位产品）价格20%的扣除，用扣除后的价格参与评审，残疾人福利性单位投标报价=残疾人福利性单位报价×（1-20%）。</w:t>
      </w:r>
    </w:p>
    <w:p w14:paraId="479419FB">
      <w:pPr>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rPr>
        <w:t>小微企业、监狱、残疾人福利性企业的产品仅给予一次价格20%的扣除，不重复享受政策。</w:t>
      </w:r>
    </w:p>
    <w:p w14:paraId="7D26F712">
      <w:pPr>
        <w:spacing w:line="560" w:lineRule="exact"/>
        <w:ind w:firstLine="560" w:firstLineChars="200"/>
        <w:jc w:val="both"/>
        <w:rPr>
          <w:rFonts w:hint="eastAsia" w:ascii="仿宋_GB2312" w:eastAsia="仿宋_GB2312" w:cs="宋体"/>
          <w:color w:val="auto"/>
          <w:sz w:val="28"/>
          <w:szCs w:val="28"/>
          <w:highlight w:val="none"/>
          <w:lang w:val="en-US" w:eastAsia="zh-CN"/>
        </w:rPr>
      </w:pPr>
      <w:r>
        <w:rPr>
          <w:rFonts w:hint="eastAsia" w:ascii="仿宋_GB2312" w:eastAsia="仿宋_GB2312" w:cs="宋体"/>
          <w:color w:val="auto"/>
          <w:sz w:val="28"/>
          <w:szCs w:val="28"/>
          <w:highlight w:val="none"/>
          <w:lang w:val="en-US" w:eastAsia="zh-CN"/>
        </w:rPr>
        <w:t>13.6.2在政府采购中实施本国产品标准及相关政策</w:t>
      </w:r>
    </w:p>
    <w:p w14:paraId="70C92E68">
      <w:pPr>
        <w:spacing w:line="560" w:lineRule="exact"/>
        <w:ind w:firstLine="560" w:firstLineChars="200"/>
        <w:jc w:val="both"/>
        <w:rPr>
          <w:rFonts w:hint="eastAsia" w:ascii="仿宋_GB2312" w:eastAsia="仿宋_GB2312" w:cs="宋体"/>
          <w:color w:val="auto"/>
          <w:sz w:val="28"/>
          <w:szCs w:val="28"/>
          <w:highlight w:val="none"/>
          <w:lang w:val="en-US" w:eastAsia="zh-CN"/>
        </w:rPr>
      </w:pPr>
      <w:r>
        <w:rPr>
          <w:rFonts w:hint="eastAsia" w:ascii="仿宋_GB2312" w:eastAsia="仿宋_GB2312" w:cs="宋体"/>
          <w:color w:val="auto"/>
          <w:sz w:val="28"/>
          <w:szCs w:val="28"/>
          <w:highlight w:val="none"/>
          <w:lang w:val="en-US" w:eastAsia="zh-CN"/>
        </w:rPr>
        <w:t>（1）根据《国务院办公厅关于在政府采购中实施本国产品标准及相关政策的通知》供应商对其提供的产品出具《关于符合本国产品标准的声明函》（见附件15，以下简称《声明函》）或财政部会同有关部门规定的有关证明文件。出具符合要求的《声明函》或有关证明文件的，该产品视为本国产品，供应商提供虚假《声明函》、虚假证明文件谋取中标、成交的，依照《中华人民共和国政府采购法》等法律法规规定追究相应责任。</w:t>
      </w:r>
    </w:p>
    <w:p w14:paraId="48C2F236">
      <w:pPr>
        <w:spacing w:line="560" w:lineRule="exact"/>
        <w:ind w:firstLine="560" w:firstLineChars="200"/>
        <w:jc w:val="both"/>
        <w:rPr>
          <w:rFonts w:hint="default" w:ascii="仿宋_GB2312" w:hAnsi="Times New Roman" w:eastAsia="仿宋_GB2312" w:cs="宋体"/>
          <w:color w:val="auto"/>
          <w:sz w:val="28"/>
          <w:szCs w:val="28"/>
          <w:highlight w:val="none"/>
          <w:lang w:val="en-US" w:eastAsia="zh-CN"/>
        </w:rPr>
      </w:pPr>
      <w:r>
        <w:rPr>
          <w:rFonts w:hint="eastAsia" w:ascii="仿宋_GB2312" w:eastAsia="仿宋_GB2312" w:cs="宋体"/>
          <w:color w:val="auto"/>
          <w:sz w:val="28"/>
          <w:szCs w:val="28"/>
          <w:highlight w:val="none"/>
          <w:lang w:val="en-US" w:eastAsia="zh-CN"/>
        </w:rPr>
        <w:t>（2）根据关于贯彻落实《国务院办公厅关于在政府采购中实施本国产品标准及相关政策的通知》的意见（财库〔2025〕30号）评审中发现《声明函》内容含义不明确、同类事项与投标（响应）文件表述不一致或者有明显文字</w:t>
      </w:r>
      <w:r>
        <w:rPr>
          <w:rFonts w:hint="eastAsia" w:ascii="仿宋_GB2312" w:hAnsi="Times New Roman" w:eastAsia="仿宋_GB2312" w:cs="宋体"/>
          <w:color w:val="auto"/>
          <w:sz w:val="28"/>
          <w:szCs w:val="28"/>
          <w:highlight w:val="none"/>
          <w:lang w:val="en-US" w:eastAsia="zh-CN"/>
        </w:rPr>
        <w:t>错误等情况的，应当以书面形式要求供应商作出必要的澄清、说明或者补正。经澄清、说明或者补正的《声明函》仍然不符合《通知》规定要求的，供应商提供的相关产品视为不符合本国产品标准。</w:t>
      </w:r>
    </w:p>
    <w:p w14:paraId="0988EF39">
      <w:pPr>
        <w:spacing w:line="560" w:lineRule="exact"/>
        <w:ind w:firstLine="560" w:firstLineChars="200"/>
        <w:jc w:val="both"/>
        <w:rPr>
          <w:rFonts w:hint="default" w:ascii="仿宋_GB2312" w:hAnsi="Times New Roman" w:eastAsia="仿宋_GB2312" w:cs="宋体"/>
          <w:color w:val="auto"/>
          <w:sz w:val="28"/>
          <w:szCs w:val="28"/>
          <w:highlight w:val="none"/>
          <w:lang w:val="en-US" w:eastAsia="zh-CN"/>
        </w:rPr>
      </w:pPr>
      <w:r>
        <w:rPr>
          <w:rFonts w:hint="eastAsia" w:ascii="仿宋_GB2312" w:eastAsia="仿宋_GB2312" w:cs="宋体"/>
          <w:color w:val="auto"/>
          <w:sz w:val="28"/>
          <w:szCs w:val="28"/>
          <w:highlight w:val="none"/>
          <w:lang w:val="en-US" w:eastAsia="zh-CN"/>
        </w:rPr>
        <w:t>（3）本国产品标准适用于货物，包括政府采购货物项目和服务项目中涉及的货物。</w:t>
      </w:r>
      <w:r>
        <w:rPr>
          <w:rFonts w:hint="eastAsia" w:ascii="仿宋_GB2312" w:hAnsi="Times New Roman" w:eastAsia="仿宋_GB2312" w:cs="宋体"/>
          <w:color w:val="auto"/>
          <w:sz w:val="28"/>
          <w:szCs w:val="28"/>
          <w:highlight w:val="none"/>
          <w:lang w:val="en-US" w:eastAsia="zh-CN"/>
        </w:rPr>
        <w:t>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B551DFD">
      <w:pPr>
        <w:spacing w:line="560" w:lineRule="exact"/>
        <w:ind w:firstLine="560" w:firstLineChars="200"/>
        <w:jc w:val="both"/>
        <w:rPr>
          <w:rFonts w:hint="eastAsia" w:ascii="仿宋_GB2312" w:hAnsi="Times New Roman" w:eastAsia="仿宋_GB2312" w:cs="宋体"/>
          <w:color w:val="auto"/>
          <w:sz w:val="28"/>
          <w:szCs w:val="28"/>
          <w:highlight w:val="none"/>
          <w:lang w:val="en-US" w:eastAsia="zh-CN"/>
        </w:rPr>
      </w:pPr>
      <w:r>
        <w:rPr>
          <w:rFonts w:hint="eastAsia" w:ascii="仿宋_GB2312" w:eastAsia="仿宋_GB2312" w:cs="宋体"/>
          <w:color w:val="auto"/>
          <w:sz w:val="28"/>
          <w:szCs w:val="28"/>
          <w:highlight w:val="none"/>
          <w:lang w:val="en-US" w:eastAsia="zh-CN"/>
        </w:rPr>
        <w:t>（4）</w:t>
      </w:r>
      <w:r>
        <w:rPr>
          <w:rFonts w:hint="eastAsia" w:ascii="仿宋_GB2312" w:hAnsi="Times New Roman" w:eastAsia="仿宋_GB2312" w:cs="宋体"/>
          <w:color w:val="auto"/>
          <w:sz w:val="28"/>
          <w:szCs w:val="28"/>
          <w:highlight w:val="none"/>
          <w:lang w:val="en-US" w:eastAsia="zh-CN"/>
        </w:rPr>
        <w:t>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C72AECD">
      <w:pPr>
        <w:wordWrap/>
        <w:snapToGrid/>
        <w:spacing w:line="560" w:lineRule="exact"/>
        <w:ind w:firstLine="562"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 xml:space="preserve">14．响应性文件有效期 </w:t>
      </w:r>
    </w:p>
    <w:p w14:paraId="3652A8B2">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14.l 响应性文件有效期为自竞争性磋商会开始之日起60天，有效期短于此规定的响应性文件将被视为无效。</w:t>
      </w:r>
    </w:p>
    <w:p w14:paraId="0BE50C4C">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14.2 特殊情况下，采购代理机构可于响应性文件有效期满之前书面要求供应商同意延长有效期，供应商应在采购代理机构规定的期限内以书面形式予以答复。供应商答复不明确或逾期未答复的，均视为同意上述要求。 </w:t>
      </w:r>
    </w:p>
    <w:p w14:paraId="2609AC47">
      <w:pPr>
        <w:wordWrap/>
        <w:snapToGrid/>
        <w:spacing w:line="560" w:lineRule="exact"/>
        <w:ind w:firstLine="562" w:firstLineChars="200"/>
        <w:textAlignment w:val="auto"/>
        <w:rPr>
          <w:rFonts w:hint="eastAsia" w:ascii="仿宋_GB2312" w:hAnsi="仿宋_GB2312" w:eastAsia="仿宋_GB2312" w:cs="仿宋_GB2312"/>
          <w:b/>
          <w:bCs/>
          <w:color w:val="auto"/>
          <w:sz w:val="28"/>
          <w:szCs w:val="28"/>
          <w:highlight w:val="none"/>
          <w:lang w:eastAsia="zh-CN"/>
        </w:rPr>
      </w:pPr>
      <w:r>
        <w:rPr>
          <w:rFonts w:hint="eastAsia" w:ascii="仿宋_GB2312" w:hAnsi="仿宋_GB2312" w:eastAsia="仿宋_GB2312" w:cs="仿宋_GB2312"/>
          <w:b/>
          <w:bCs/>
          <w:color w:val="auto"/>
          <w:sz w:val="28"/>
          <w:szCs w:val="28"/>
          <w:highlight w:val="none"/>
        </w:rPr>
        <w:t>15.响应性文件的签署、盖章及</w:t>
      </w:r>
      <w:r>
        <w:rPr>
          <w:rFonts w:hint="eastAsia" w:ascii="仿宋_GB2312" w:hAnsi="仿宋_GB2312" w:eastAsia="仿宋_GB2312" w:cs="仿宋_GB2312"/>
          <w:b/>
          <w:bCs/>
          <w:color w:val="auto"/>
          <w:sz w:val="28"/>
          <w:szCs w:val="28"/>
          <w:highlight w:val="none"/>
          <w:lang w:val="en-US" w:eastAsia="zh-CN"/>
        </w:rPr>
        <w:t>提交</w:t>
      </w:r>
    </w:p>
    <w:p w14:paraId="6488AA37">
      <w:pPr>
        <w:wordWrap/>
        <w:snapToGrid/>
        <w:spacing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 xml:space="preserve">15.1供应商登录“焦作市公共资源交易中心”网站，按要求下载“新点投标文件制作软件”。 </w:t>
      </w:r>
    </w:p>
    <w:p w14:paraId="213783F5">
      <w:pPr>
        <w:wordWrap/>
        <w:snapToGrid/>
        <w:spacing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 xml:space="preserve">15.2 供应商凭CA 锁登录，并按网上提示自行下载磋商文件。使用“新点投标文件制作软件”按要求制作电子响应性文件。供应商在制作电子响应性文件时，应按要求进行电子签章。供应商编辑电子响应性文件时，根据磋商文件要求用法定代表人CA锁和企业CA锁进行签章制作；最后一步生成电子响应文件时，只能用本单位的企业CA 锁。 </w:t>
      </w:r>
    </w:p>
    <w:p w14:paraId="45EE1846">
      <w:pPr>
        <w:wordWrap/>
        <w:snapToGrid/>
        <w:spacing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 xml:space="preserve">15.3加密的电子响应性文件为“焦作市公共资源交易中心”网站提供的“新点投标文件制作软件”制作生成的加密版响应性文件。未加密的电子响应性文件应与加密的电子响应性文件为同时生成的版本。 </w:t>
      </w:r>
    </w:p>
    <w:p w14:paraId="1F1E23C8">
      <w:pPr>
        <w:wordWrap/>
        <w:snapToGrid/>
        <w:spacing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 xml:space="preserve">15.4响应性文件格式所要求包含的全部资料应全部制作在响应性文件内，严格按照本项目响应性文件所有格式如实填写（不涉及的内容除外），不应存在漏项或缺项，否则将存在响应性文件被否决的风险。 </w:t>
      </w:r>
    </w:p>
    <w:p w14:paraId="7A2A552A">
      <w:pPr>
        <w:wordWrap/>
        <w:snapToGrid/>
        <w:spacing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15.5 响应文件所附证明材料均为原件的扫描件（或照片），尺寸和清晰度应该能够在电脑上被阅读、识别和判断；若供应商未按要求提供证明材料或提供不清晰的扫描件（或照片）的，磋商小组有权认定其响应文件未对磋商文件有关要求进行响应，涉及资格审查性或符合性审查的将不予通过。</w:t>
      </w:r>
    </w:p>
    <w:p w14:paraId="47B2E546">
      <w:pPr>
        <w:wordWrap/>
        <w:snapToGrid/>
        <w:spacing w:line="560" w:lineRule="exact"/>
        <w:ind w:firstLine="560" w:firstLineChars="200"/>
        <w:textAlignment w:val="auto"/>
        <w:rPr>
          <w:rFonts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rPr>
        <w:t>15.</w:t>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 xml:space="preserve"> 供应商可按本竞争性磋商文件规定的格式编制响应性文件。除了响应性文件封面以外，每个页面都要在明显位置编制页码，</w:t>
      </w:r>
      <w:r>
        <w:rPr>
          <w:rFonts w:hint="eastAsia" w:ascii="仿宋_GB2312" w:hAnsi="仿宋_GB2312" w:eastAsia="仿宋_GB2312" w:cs="仿宋_GB2312"/>
          <w:color w:val="auto"/>
          <w:sz w:val="28"/>
          <w:szCs w:val="28"/>
          <w:highlight w:val="none"/>
          <w:lang w:val="zh-CN"/>
        </w:rPr>
        <w:t>字迹需清晰可认，响应性文件的目录</w:t>
      </w:r>
      <w:r>
        <w:rPr>
          <w:rFonts w:hint="eastAsia" w:ascii="仿宋_GB2312" w:hAnsi="仿宋_GB2312" w:eastAsia="仿宋_GB2312" w:cs="仿宋_GB2312"/>
          <w:color w:val="auto"/>
          <w:sz w:val="28"/>
          <w:szCs w:val="28"/>
          <w:highlight w:val="none"/>
        </w:rPr>
        <w:t>需</w:t>
      </w:r>
      <w:r>
        <w:rPr>
          <w:rFonts w:hint="eastAsia" w:ascii="仿宋_GB2312" w:hAnsi="仿宋_GB2312" w:eastAsia="仿宋_GB2312" w:cs="仿宋_GB2312"/>
          <w:color w:val="auto"/>
          <w:sz w:val="28"/>
          <w:szCs w:val="28"/>
          <w:highlight w:val="none"/>
          <w:lang w:val="zh-CN"/>
        </w:rPr>
        <w:t>编序。响应性文件内容不完整、编排混乱导致被误读、漏读或者查找不到相关内容的，由供应商负责。</w:t>
      </w:r>
    </w:p>
    <w:p w14:paraId="38825F00">
      <w:pPr>
        <w:wordWrap/>
        <w:snapToGrid/>
        <w:spacing w:line="560" w:lineRule="exact"/>
        <w:ind w:firstLine="560" w:firstLineChars="200"/>
        <w:textAlignment w:val="auto"/>
        <w:rPr>
          <w:rFonts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rPr>
        <w:t>15.</w:t>
      </w: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rPr>
        <w:t xml:space="preserve"> 响应</w:t>
      </w:r>
      <w:r>
        <w:rPr>
          <w:rFonts w:hint="eastAsia" w:ascii="仿宋_GB2312" w:hAnsi="仿宋_GB2312" w:eastAsia="仿宋_GB2312" w:cs="仿宋_GB2312"/>
          <w:color w:val="auto"/>
          <w:sz w:val="28"/>
          <w:szCs w:val="28"/>
          <w:highlight w:val="none"/>
          <w:lang w:val="zh-CN"/>
        </w:rPr>
        <w:t>文件未按要求签字或加盖公章的视为无效文件。本采购文件所表述（指定）的公章是指法人（供应商）行政公章，不包括专用章。</w:t>
      </w:r>
    </w:p>
    <w:p w14:paraId="23070E52">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15.</w:t>
      </w: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rPr>
        <w:t xml:space="preserve"> 响应性文件应无涂改和行间插字，除非这些改动是为改正供应商造成的必须修改的错误进行的。有改动时，修改处应由供应商代表签署证明或加盖公章，但非供应商出具的材料，供应商改动无效。</w:t>
      </w:r>
    </w:p>
    <w:p w14:paraId="70A0ED1B">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15.</w:t>
      </w:r>
      <w:r>
        <w:rPr>
          <w:rFonts w:hint="eastAsia" w:ascii="仿宋_GB2312" w:hAnsi="仿宋_GB2312" w:eastAsia="仿宋_GB2312" w:cs="仿宋_GB2312"/>
          <w:color w:val="auto"/>
          <w:sz w:val="28"/>
          <w:szCs w:val="28"/>
          <w:highlight w:val="none"/>
          <w:lang w:val="en-US" w:eastAsia="zh-CN"/>
        </w:rPr>
        <w:t>9</w:t>
      </w:r>
      <w:r>
        <w:rPr>
          <w:rFonts w:hint="eastAsia" w:ascii="仿宋_GB2312" w:hAnsi="仿宋_GB2312" w:eastAsia="仿宋_GB2312" w:cs="仿宋_GB2312"/>
          <w:color w:val="auto"/>
          <w:sz w:val="28"/>
          <w:szCs w:val="28"/>
          <w:highlight w:val="none"/>
        </w:rPr>
        <w:t>供应商提交的资料应证明其满足竞争性磋商文件要求，该文件可以是文字资料、图纸和数据，以及拟提供货物的主要技术参数、指标和性能，提供服务的详细描述等资料。</w:t>
      </w:r>
    </w:p>
    <w:p w14:paraId="7BFECE9B">
      <w:pPr>
        <w:numPr>
          <w:ilvl w:val="0"/>
          <w:numId w:val="4"/>
        </w:numPr>
        <w:wordWrap/>
        <w:snapToGrid/>
        <w:spacing w:line="560" w:lineRule="exact"/>
        <w:jc w:val="center"/>
        <w:textAlignment w:val="auto"/>
        <w:rPr>
          <w:rFonts w:ascii="宋体" w:hAnsi="宋体" w:cs="宋体"/>
          <w:b/>
          <w:color w:val="auto"/>
          <w:sz w:val="28"/>
          <w:szCs w:val="28"/>
          <w:highlight w:val="none"/>
        </w:rPr>
      </w:pPr>
      <w:r>
        <w:rPr>
          <w:rFonts w:hint="eastAsia" w:ascii="宋体" w:hAnsi="宋体" w:cs="宋体"/>
          <w:b/>
          <w:color w:val="auto"/>
          <w:sz w:val="28"/>
          <w:szCs w:val="28"/>
          <w:highlight w:val="none"/>
        </w:rPr>
        <w:t>响应性文件的递交</w:t>
      </w:r>
    </w:p>
    <w:p w14:paraId="1B131301">
      <w:pPr>
        <w:wordWrap/>
        <w:snapToGrid/>
        <w:spacing w:line="560" w:lineRule="exact"/>
        <w:ind w:firstLine="562"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rPr>
        <w:t>16.响应性文件的密封和标记</w:t>
      </w:r>
    </w:p>
    <w:p w14:paraId="1091DC0A">
      <w:pPr>
        <w:wordWrap/>
        <w:snapToGrid/>
        <w:spacing w:line="560" w:lineRule="exact"/>
        <w:ind w:firstLine="560" w:firstLineChars="20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16.1本项目为不见面开标，加密电子</w:t>
      </w:r>
      <w:r>
        <w:rPr>
          <w:rFonts w:hint="eastAsia" w:ascii="仿宋_GB2312" w:hAnsi="仿宋_GB2312" w:eastAsia="仿宋_GB2312" w:cs="仿宋_GB2312"/>
          <w:color w:val="auto"/>
          <w:sz w:val="28"/>
          <w:szCs w:val="28"/>
          <w:highlight w:val="none"/>
          <w:lang w:val="en-US" w:eastAsia="zh-CN"/>
        </w:rPr>
        <w:t>响应性</w:t>
      </w:r>
      <w:r>
        <w:rPr>
          <w:rFonts w:hint="eastAsia" w:ascii="仿宋_GB2312" w:hAnsi="仿宋_GB2312" w:eastAsia="仿宋_GB2312" w:cs="仿宋_GB2312"/>
          <w:color w:val="auto"/>
          <w:sz w:val="28"/>
          <w:szCs w:val="28"/>
          <w:highlight w:val="none"/>
        </w:rPr>
        <w:t>文件须在</w:t>
      </w:r>
      <w:r>
        <w:rPr>
          <w:rFonts w:hint="eastAsia" w:ascii="仿宋_GB2312" w:hAnsi="仿宋_GB2312" w:eastAsia="仿宋_GB2312" w:cs="仿宋_GB2312"/>
          <w:color w:val="auto"/>
          <w:sz w:val="28"/>
          <w:szCs w:val="28"/>
          <w:highlight w:val="none"/>
          <w:lang w:val="en-US" w:eastAsia="zh-CN"/>
        </w:rPr>
        <w:t>响应性文件提交</w:t>
      </w:r>
      <w:r>
        <w:rPr>
          <w:rFonts w:hint="eastAsia" w:ascii="仿宋_GB2312" w:hAnsi="仿宋_GB2312" w:eastAsia="仿宋_GB2312" w:cs="仿宋_GB2312"/>
          <w:color w:val="auto"/>
          <w:sz w:val="28"/>
          <w:szCs w:val="28"/>
          <w:highlight w:val="none"/>
        </w:rPr>
        <w:t>截止时间前通过“焦作市公共资源交易中心（</w:t>
      </w:r>
      <w:r>
        <w:rPr>
          <w:rFonts w:hint="eastAsia" w:ascii="仿宋_GB2312" w:hAnsi="仿宋_GB2312" w:eastAsia="仿宋_GB2312" w:cs="仿宋_GB2312"/>
          <w:color w:val="auto"/>
          <w:sz w:val="28"/>
          <w:szCs w:val="28"/>
          <w:highlight w:val="none"/>
          <w:lang w:eastAsia="zh-CN"/>
        </w:rPr>
        <w:t>https://ggzy.jiaozuo.gov.cn/</w:t>
      </w:r>
      <w:r>
        <w:rPr>
          <w:rFonts w:hint="eastAsia" w:ascii="仿宋_GB2312" w:hAnsi="仿宋_GB2312" w:eastAsia="仿宋_GB2312" w:cs="仿宋_GB2312"/>
          <w:color w:val="auto"/>
          <w:sz w:val="28"/>
          <w:szCs w:val="28"/>
          <w:highlight w:val="none"/>
        </w:rPr>
        <w:t>）”网站-交易平台加密上传。除电子</w:t>
      </w:r>
      <w:r>
        <w:rPr>
          <w:rFonts w:hint="eastAsia" w:ascii="仿宋_GB2312" w:hAnsi="仿宋_GB2312" w:eastAsia="仿宋_GB2312" w:cs="仿宋_GB2312"/>
          <w:color w:val="auto"/>
          <w:sz w:val="28"/>
          <w:szCs w:val="28"/>
          <w:highlight w:val="none"/>
          <w:lang w:val="en-US" w:eastAsia="zh-CN"/>
        </w:rPr>
        <w:t>响应性</w:t>
      </w:r>
      <w:r>
        <w:rPr>
          <w:rFonts w:hint="eastAsia" w:ascii="仿宋_GB2312" w:hAnsi="仿宋_GB2312" w:eastAsia="仿宋_GB2312" w:cs="仿宋_GB2312"/>
          <w:color w:val="auto"/>
          <w:sz w:val="28"/>
          <w:szCs w:val="28"/>
          <w:highlight w:val="none"/>
        </w:rPr>
        <w:t>文件外，</w:t>
      </w:r>
      <w:r>
        <w:rPr>
          <w:rFonts w:hint="eastAsia" w:ascii="仿宋_GB2312" w:hAnsi="仿宋_GB2312" w:eastAsia="仿宋_GB2312" w:cs="仿宋_GB2312"/>
          <w:color w:val="auto"/>
          <w:sz w:val="28"/>
          <w:szCs w:val="28"/>
          <w:highlight w:val="none"/>
          <w:lang w:val="en-US" w:eastAsia="zh-CN"/>
        </w:rPr>
        <w:t>磋商</w:t>
      </w:r>
      <w:r>
        <w:rPr>
          <w:rFonts w:hint="eastAsia" w:ascii="仿宋_GB2312" w:hAnsi="仿宋_GB2312" w:eastAsia="仿宋_GB2312" w:cs="仿宋_GB2312"/>
          <w:color w:val="auto"/>
          <w:sz w:val="28"/>
          <w:szCs w:val="28"/>
          <w:highlight w:val="none"/>
        </w:rPr>
        <w:t>时不再接受任何纸质文件、资料等。</w:t>
      </w:r>
    </w:p>
    <w:p w14:paraId="61012B2C">
      <w:pPr>
        <w:wordWrap/>
        <w:snapToGrid/>
        <w:spacing w:line="560" w:lineRule="exact"/>
        <w:ind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17.响应性文件的递交</w:t>
      </w:r>
    </w:p>
    <w:p w14:paraId="687E28FD">
      <w:pPr>
        <w:wordWrap/>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17.1 供应商应在竞争性磋商邀请函中规定的截止日期和时间前，将响应性文件</w:t>
      </w:r>
      <w:r>
        <w:rPr>
          <w:rFonts w:hint="eastAsia" w:ascii="仿宋_GB2312" w:hAnsi="仿宋_GB2312" w:eastAsia="仿宋_GB2312" w:cs="仿宋_GB2312"/>
          <w:color w:val="auto"/>
          <w:sz w:val="28"/>
          <w:szCs w:val="28"/>
          <w:highlight w:val="none"/>
          <w:lang w:val="en-US" w:eastAsia="zh-CN"/>
        </w:rPr>
        <w:t>进行上传</w:t>
      </w:r>
      <w:r>
        <w:rPr>
          <w:rFonts w:hint="eastAsia" w:ascii="仿宋_GB2312" w:hAnsi="仿宋_GB2312" w:eastAsia="仿宋_GB2312" w:cs="仿宋_GB2312"/>
          <w:color w:val="auto"/>
          <w:sz w:val="28"/>
          <w:szCs w:val="28"/>
          <w:highlight w:val="none"/>
        </w:rPr>
        <w:t>，递交（接收）</w:t>
      </w:r>
      <w:r>
        <w:rPr>
          <w:rFonts w:hint="eastAsia" w:ascii="仿宋_GB2312" w:hAnsi="仿宋_GB2312" w:eastAsia="仿宋_GB2312" w:cs="仿宋_GB2312"/>
          <w:color w:val="auto"/>
          <w:sz w:val="28"/>
          <w:szCs w:val="28"/>
          <w:highlight w:val="none"/>
          <w:lang w:val="en-US" w:eastAsia="zh-CN"/>
        </w:rPr>
        <w:t>截止时间</w:t>
      </w:r>
      <w:r>
        <w:rPr>
          <w:rFonts w:hint="eastAsia" w:ascii="仿宋_GB2312" w:hAnsi="仿宋_GB2312" w:eastAsia="仿宋_GB2312" w:cs="仿宋_GB2312"/>
          <w:color w:val="auto"/>
          <w:sz w:val="28"/>
          <w:szCs w:val="28"/>
          <w:highlight w:val="none"/>
        </w:rPr>
        <w:t>为竞争性磋商邀请函中规定的</w:t>
      </w:r>
      <w:r>
        <w:rPr>
          <w:rFonts w:hint="eastAsia" w:ascii="仿宋_GB2312" w:hAnsi="仿宋_GB2312" w:eastAsia="仿宋_GB2312" w:cs="仿宋_GB2312"/>
          <w:color w:val="auto"/>
          <w:sz w:val="28"/>
          <w:szCs w:val="28"/>
          <w:highlight w:val="none"/>
          <w:lang w:val="en-US" w:eastAsia="zh-CN"/>
        </w:rPr>
        <w:t>响应性文件提交截止时间</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由于对网上投标操作程序不熟悉或自身电脑、网络的原因导致不能在响应性文件提交截止时间之前上传电子响应性文件，由供应商自行负责。</w:t>
      </w:r>
    </w:p>
    <w:p w14:paraId="7B16B114">
      <w:pPr>
        <w:wordWrap/>
        <w:snapToGrid/>
        <w:spacing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17.2</w:t>
      </w:r>
      <w:r>
        <w:rPr>
          <w:rFonts w:hint="eastAsia" w:ascii="仿宋_GB2312" w:eastAsia="仿宋_GB2312"/>
          <w:color w:val="auto"/>
          <w:sz w:val="28"/>
          <w:szCs w:val="28"/>
          <w:highlight w:val="none"/>
          <w:lang w:val="en-US" w:eastAsia="zh-CN"/>
        </w:rPr>
        <w:t>未在</w:t>
      </w:r>
      <w:r>
        <w:rPr>
          <w:rFonts w:hint="eastAsia" w:ascii="仿宋_GB2312" w:hAnsi="仿宋_GB2312" w:eastAsia="仿宋_GB2312" w:cs="仿宋_GB2312"/>
          <w:color w:val="auto"/>
          <w:sz w:val="28"/>
          <w:szCs w:val="28"/>
          <w:highlight w:val="none"/>
          <w:lang w:val="en-US" w:eastAsia="zh-CN"/>
        </w:rPr>
        <w:t>响应性文件提交截止时间</w:t>
      </w:r>
      <w:r>
        <w:rPr>
          <w:rFonts w:hint="eastAsia" w:ascii="仿宋_GB2312" w:eastAsia="仿宋_GB2312"/>
          <w:color w:val="auto"/>
          <w:sz w:val="28"/>
          <w:szCs w:val="28"/>
          <w:highlight w:val="none"/>
          <w:lang w:val="en-US" w:eastAsia="zh-CN"/>
        </w:rPr>
        <w:t>前完成上传加密的电子响应性文件视为逾期送达。逾期上传或未按规定方式上传加密的电子响应性文件，投标无效</w:t>
      </w:r>
      <w:r>
        <w:rPr>
          <w:rFonts w:hint="eastAsia" w:ascii="仿宋_GB2312" w:hAnsi="仿宋_GB2312" w:eastAsia="仿宋_GB2312" w:cs="仿宋_GB2312"/>
          <w:color w:val="auto"/>
          <w:sz w:val="28"/>
          <w:szCs w:val="28"/>
          <w:highlight w:val="none"/>
        </w:rPr>
        <w:t>。</w:t>
      </w:r>
    </w:p>
    <w:p w14:paraId="775BAAAF">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17.3</w:t>
      </w:r>
      <w:r>
        <w:rPr>
          <w:rFonts w:hint="eastAsia" w:ascii="仿宋_GB2312" w:hAnsi="仿宋_GB2312" w:eastAsia="仿宋_GB2312" w:cs="仿宋_GB2312"/>
          <w:color w:val="auto"/>
          <w:sz w:val="28"/>
          <w:szCs w:val="28"/>
          <w:highlight w:val="none"/>
        </w:rPr>
        <w:t xml:space="preserve">若采购代理机构推迟了响应性文件接收截止时间，采购代理机构和供应商受响应性文件接收截止时间制约的所有权利和义务均应以新的截止时间为准。 </w:t>
      </w:r>
    </w:p>
    <w:p w14:paraId="4BDF0323">
      <w:pPr>
        <w:pStyle w:val="41"/>
        <w:wordWrap/>
        <w:snapToGrid/>
        <w:spacing w:line="560" w:lineRule="exact"/>
        <w:ind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bCs/>
          <w:color w:val="auto"/>
          <w:sz w:val="28"/>
          <w:szCs w:val="28"/>
          <w:highlight w:val="none"/>
        </w:rPr>
        <w:t>18</w:t>
      </w:r>
      <w:r>
        <w:rPr>
          <w:rFonts w:hint="eastAsia" w:ascii="仿宋_GB2312" w:hAnsi="仿宋_GB2312" w:eastAsia="仿宋_GB2312" w:cs="仿宋_GB2312"/>
          <w:b/>
          <w:color w:val="auto"/>
          <w:sz w:val="28"/>
          <w:szCs w:val="28"/>
          <w:highlight w:val="none"/>
        </w:rPr>
        <w:t>.响应性文件的修改和撤回</w:t>
      </w:r>
    </w:p>
    <w:p w14:paraId="3D8F1BAA">
      <w:pPr>
        <w:pStyle w:val="41"/>
        <w:wordWrap/>
        <w:snapToGrid/>
        <w:spacing w:line="560" w:lineRule="exact"/>
        <w:ind w:firstLine="560"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color w:val="auto"/>
          <w:sz w:val="28"/>
          <w:szCs w:val="28"/>
          <w:highlight w:val="none"/>
        </w:rPr>
        <w:t xml:space="preserve">18.1 </w:t>
      </w:r>
      <w:r>
        <w:rPr>
          <w:rFonts w:hint="eastAsia" w:ascii="仿宋_GB2312" w:hAnsi="仿宋_GB2312" w:eastAsia="仿宋_GB2312" w:cs="仿宋_GB2312"/>
          <w:color w:val="auto"/>
          <w:sz w:val="28"/>
          <w:szCs w:val="28"/>
          <w:highlight w:val="none"/>
          <w:lang w:val="en-US" w:eastAsia="zh-CN"/>
        </w:rPr>
        <w:t>供应商</w:t>
      </w:r>
      <w:r>
        <w:rPr>
          <w:rFonts w:hint="eastAsia" w:ascii="仿宋_GB2312" w:hAnsi="仿宋_GB2312" w:eastAsia="仿宋_GB2312" w:cs="仿宋_GB2312"/>
          <w:color w:val="auto"/>
          <w:sz w:val="28"/>
          <w:szCs w:val="28"/>
          <w:highlight w:val="none"/>
        </w:rPr>
        <w:t>在提交</w:t>
      </w:r>
      <w:r>
        <w:rPr>
          <w:rFonts w:hint="eastAsia" w:ascii="仿宋_GB2312" w:hAnsi="仿宋_GB2312" w:eastAsia="仿宋_GB2312" w:cs="仿宋_GB2312"/>
          <w:color w:val="auto"/>
          <w:sz w:val="28"/>
          <w:szCs w:val="28"/>
          <w:highlight w:val="none"/>
          <w:lang w:val="en-US" w:eastAsia="zh-CN"/>
        </w:rPr>
        <w:t>响应性</w:t>
      </w:r>
      <w:r>
        <w:rPr>
          <w:rFonts w:hint="eastAsia" w:ascii="仿宋_GB2312" w:hAnsi="仿宋_GB2312" w:eastAsia="仿宋_GB2312" w:cs="仿宋_GB2312"/>
          <w:color w:val="auto"/>
          <w:sz w:val="28"/>
          <w:szCs w:val="28"/>
          <w:highlight w:val="none"/>
        </w:rPr>
        <w:t>文件后可对其</w:t>
      </w:r>
      <w:r>
        <w:rPr>
          <w:rFonts w:hint="eastAsia" w:ascii="仿宋_GB2312" w:hAnsi="仿宋_GB2312" w:eastAsia="仿宋_GB2312" w:cs="仿宋_GB2312"/>
          <w:color w:val="auto"/>
          <w:sz w:val="28"/>
          <w:szCs w:val="28"/>
          <w:highlight w:val="none"/>
          <w:lang w:val="en-US" w:eastAsia="zh-CN"/>
        </w:rPr>
        <w:t>响应性</w:t>
      </w:r>
      <w:r>
        <w:rPr>
          <w:rFonts w:hint="eastAsia" w:ascii="仿宋_GB2312" w:hAnsi="仿宋_GB2312" w:eastAsia="仿宋_GB2312" w:cs="仿宋_GB2312"/>
          <w:color w:val="auto"/>
          <w:sz w:val="28"/>
          <w:szCs w:val="28"/>
          <w:highlight w:val="none"/>
        </w:rPr>
        <w:t>文件进行修改</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撤回</w:t>
      </w:r>
      <w:r>
        <w:rPr>
          <w:rFonts w:hint="eastAsia" w:ascii="仿宋_GB2312" w:hAnsi="仿宋_GB2312" w:eastAsia="仿宋_GB2312" w:cs="仿宋_GB2312"/>
          <w:color w:val="auto"/>
          <w:sz w:val="28"/>
          <w:szCs w:val="28"/>
          <w:highlight w:val="none"/>
          <w:lang w:val="en-US" w:eastAsia="zh-CN"/>
        </w:rPr>
        <w:t>，但需要在响应性文件接收截止时间前</w:t>
      </w:r>
      <w:r>
        <w:rPr>
          <w:rFonts w:hint="eastAsia" w:ascii="仿宋_GB2312" w:hAnsi="仿宋_GB2312" w:eastAsia="仿宋_GB2312" w:cs="仿宋_GB2312"/>
          <w:color w:val="auto"/>
          <w:sz w:val="28"/>
          <w:szCs w:val="28"/>
          <w:highlight w:val="none"/>
        </w:rPr>
        <w:t>重新上传</w:t>
      </w:r>
      <w:r>
        <w:rPr>
          <w:rFonts w:hint="eastAsia" w:ascii="仿宋_GB2312" w:hAnsi="仿宋_GB2312" w:eastAsia="仿宋_GB2312" w:cs="仿宋_GB2312"/>
          <w:color w:val="auto"/>
          <w:sz w:val="28"/>
          <w:szCs w:val="28"/>
          <w:highlight w:val="none"/>
          <w:lang w:val="en-US" w:eastAsia="zh-CN"/>
        </w:rPr>
        <w:t>响应性</w:t>
      </w:r>
      <w:r>
        <w:rPr>
          <w:rFonts w:hint="eastAsia" w:ascii="仿宋_GB2312" w:hAnsi="仿宋_GB2312" w:eastAsia="仿宋_GB2312" w:cs="仿宋_GB2312"/>
          <w:color w:val="auto"/>
          <w:sz w:val="28"/>
          <w:szCs w:val="28"/>
          <w:highlight w:val="none"/>
        </w:rPr>
        <w:t>文件。</w:t>
      </w:r>
    </w:p>
    <w:p w14:paraId="3F2DD960">
      <w:pPr>
        <w:pStyle w:val="41"/>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18.</w:t>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 xml:space="preserve"> 供应商在响应性文件接收截止时间后不得修改、撤回响应性文件。供应商在响应性文件接收截止时间后修改响应性文件的，将被拒绝接受。</w:t>
      </w:r>
    </w:p>
    <w:p w14:paraId="11C7C884">
      <w:pPr>
        <w:pStyle w:val="41"/>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18.</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 xml:space="preserve"> 供应商有下列情形之一的，采购代理机构将拒绝接受其响应性文件：</w:t>
      </w:r>
    </w:p>
    <w:p w14:paraId="5DB668B3">
      <w:pPr>
        <w:pStyle w:val="41"/>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18.</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.1 在竞争性磋商文件规定的响应性文件接收截止时间之后递交响应性文件的；</w:t>
      </w:r>
    </w:p>
    <w:p w14:paraId="24B44C86">
      <w:pPr>
        <w:pStyle w:val="41"/>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18.</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.2 响应性文件未按竞争性磋商文件规定签署、盖章的；</w:t>
      </w:r>
    </w:p>
    <w:p w14:paraId="2DC24BE2">
      <w:pPr>
        <w:pStyle w:val="41"/>
        <w:wordWrap/>
        <w:snapToGrid/>
        <w:spacing w:line="560" w:lineRule="exact"/>
        <w:ind w:firstLine="560" w:firstLineChars="200"/>
        <w:textAlignment w:val="auto"/>
        <w:outlineLvl w:val="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18.</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.3 未获取竞争性磋商文件参加竞争性磋商的；</w:t>
      </w:r>
    </w:p>
    <w:p w14:paraId="28CDD726">
      <w:pPr>
        <w:pStyle w:val="41"/>
        <w:wordWrap/>
        <w:snapToGrid/>
        <w:spacing w:line="560" w:lineRule="exact"/>
        <w:ind w:firstLine="560" w:firstLineChars="200"/>
        <w:textAlignment w:val="auto"/>
        <w:rPr>
          <w:rFonts w:hint="eastAsia" w:ascii="宋体" w:hAnsi="宋体" w:eastAsia="仿宋_GB2312"/>
          <w:b/>
          <w:color w:val="auto"/>
          <w:sz w:val="28"/>
          <w:szCs w:val="28"/>
          <w:highlight w:val="none"/>
          <w:lang w:eastAsia="zh-CN"/>
        </w:rPr>
      </w:pPr>
      <w:r>
        <w:rPr>
          <w:rFonts w:hint="eastAsia" w:ascii="仿宋_GB2312" w:hAnsi="仿宋_GB2312" w:eastAsia="仿宋_GB2312" w:cs="仿宋_GB2312"/>
          <w:color w:val="auto"/>
          <w:sz w:val="28"/>
          <w:szCs w:val="28"/>
          <w:highlight w:val="none"/>
        </w:rPr>
        <w:t>18.</w:t>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.4 一个供应商不止递交一套响应性文件的</w:t>
      </w:r>
      <w:r>
        <w:rPr>
          <w:rFonts w:hint="eastAsia" w:ascii="仿宋_GB2312" w:hAnsi="仿宋_GB2312" w:eastAsia="仿宋_GB2312" w:cs="仿宋_GB2312"/>
          <w:color w:val="auto"/>
          <w:sz w:val="28"/>
          <w:szCs w:val="28"/>
          <w:highlight w:val="none"/>
          <w:lang w:eastAsia="zh-CN"/>
        </w:rPr>
        <w:t>。</w:t>
      </w:r>
    </w:p>
    <w:p w14:paraId="069F8849">
      <w:pPr>
        <w:wordWrap/>
        <w:snapToGrid/>
        <w:spacing w:line="560" w:lineRule="exact"/>
        <w:jc w:val="center"/>
        <w:textAlignment w:val="auto"/>
        <w:rPr>
          <w:rFonts w:ascii="宋体" w:hAnsi="宋体" w:cs="宋体"/>
          <w:b/>
          <w:color w:val="auto"/>
          <w:sz w:val="28"/>
          <w:szCs w:val="28"/>
          <w:highlight w:val="none"/>
        </w:rPr>
      </w:pPr>
      <w:r>
        <w:rPr>
          <w:rFonts w:hint="eastAsia" w:ascii="宋体" w:hAnsi="宋体" w:cs="宋体"/>
          <w:b/>
          <w:color w:val="auto"/>
          <w:sz w:val="28"/>
          <w:szCs w:val="28"/>
          <w:highlight w:val="none"/>
        </w:rPr>
        <w:t>五、</w:t>
      </w:r>
      <w:r>
        <w:rPr>
          <w:rFonts w:hint="eastAsia" w:ascii="宋体" w:hAnsi="宋体" w:cs="宋体"/>
          <w:b/>
          <w:color w:val="auto"/>
          <w:sz w:val="28"/>
          <w:szCs w:val="28"/>
          <w:highlight w:val="none"/>
          <w:lang w:val="en-US" w:eastAsia="zh-CN"/>
        </w:rPr>
        <w:t>磋商会及</w:t>
      </w:r>
      <w:r>
        <w:rPr>
          <w:rFonts w:hint="eastAsia" w:ascii="宋体" w:hAnsi="宋体" w:cs="宋体"/>
          <w:b/>
          <w:color w:val="auto"/>
          <w:sz w:val="28"/>
          <w:szCs w:val="28"/>
          <w:highlight w:val="none"/>
        </w:rPr>
        <w:t>竞争性磋商</w:t>
      </w:r>
    </w:p>
    <w:p w14:paraId="3BA4B712">
      <w:pPr>
        <w:pStyle w:val="41"/>
        <w:wordWrap/>
        <w:snapToGrid/>
        <w:spacing w:line="560" w:lineRule="exact"/>
        <w:ind w:firstLine="562" w:firstLineChars="200"/>
        <w:textAlignment w:val="auto"/>
        <w:rPr>
          <w:rFonts w:hint="default"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19</w:t>
      </w:r>
      <w:r>
        <w:rPr>
          <w:rFonts w:hint="eastAsia" w:ascii="仿宋_GB2312" w:hAnsi="仿宋_GB2312" w:eastAsia="仿宋_GB2312" w:cs="仿宋_GB2312"/>
          <w:b/>
          <w:bCs/>
          <w:color w:val="auto"/>
          <w:sz w:val="28"/>
          <w:szCs w:val="28"/>
          <w:highlight w:val="none"/>
        </w:rPr>
        <w:t>.</w:t>
      </w:r>
      <w:r>
        <w:rPr>
          <w:rFonts w:hint="eastAsia" w:ascii="仿宋_GB2312" w:hAnsi="仿宋_GB2312" w:eastAsia="仿宋_GB2312" w:cs="仿宋_GB2312"/>
          <w:b/>
          <w:bCs/>
          <w:color w:val="auto"/>
          <w:sz w:val="28"/>
          <w:szCs w:val="28"/>
          <w:highlight w:val="none"/>
          <w:lang w:val="en-US" w:eastAsia="zh-CN"/>
        </w:rPr>
        <w:t>磋商会</w:t>
      </w:r>
    </w:p>
    <w:p w14:paraId="2A54271D">
      <w:pPr>
        <w:pStyle w:val="41"/>
        <w:wordWrap/>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19</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1本项目采用远程不见面开标的模式。</w:t>
      </w:r>
    </w:p>
    <w:p w14:paraId="04D40E85">
      <w:pPr>
        <w:pStyle w:val="41"/>
        <w:wordWrap/>
        <w:snapToGrid/>
        <w:spacing w:line="56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采购人</w:t>
      </w:r>
      <w:r>
        <w:rPr>
          <w:rFonts w:hint="eastAsia" w:ascii="仿宋_GB2312" w:hAnsi="仿宋_GB2312" w:eastAsia="仿宋_GB2312" w:cs="仿宋_GB2312"/>
          <w:color w:val="auto"/>
          <w:sz w:val="28"/>
          <w:szCs w:val="28"/>
          <w:highlight w:val="none"/>
        </w:rPr>
        <w:t>在</w:t>
      </w:r>
      <w:r>
        <w:rPr>
          <w:rFonts w:hint="eastAsia" w:ascii="仿宋_GB2312" w:hAnsi="仿宋_GB2312" w:eastAsia="仿宋_GB2312" w:cs="仿宋_GB2312"/>
          <w:color w:val="auto"/>
          <w:sz w:val="28"/>
          <w:szCs w:val="28"/>
          <w:highlight w:val="none"/>
          <w:lang w:val="en-US" w:eastAsia="zh-CN"/>
        </w:rPr>
        <w:t>竞争性磋商</w:t>
      </w:r>
      <w:r>
        <w:rPr>
          <w:rFonts w:hint="eastAsia" w:ascii="仿宋_GB2312" w:hAnsi="仿宋_GB2312" w:eastAsia="仿宋_GB2312" w:cs="仿宋_GB2312"/>
          <w:color w:val="auto"/>
          <w:sz w:val="28"/>
          <w:szCs w:val="28"/>
          <w:highlight w:val="none"/>
        </w:rPr>
        <w:t>文件中规定的时间和地点开标。</w:t>
      </w:r>
      <w:r>
        <w:rPr>
          <w:rFonts w:hint="eastAsia" w:ascii="仿宋_GB2312" w:hAnsi="仿宋_GB2312" w:eastAsia="仿宋_GB2312" w:cs="仿宋_GB2312"/>
          <w:color w:val="auto"/>
          <w:sz w:val="28"/>
          <w:szCs w:val="28"/>
          <w:highlight w:val="none"/>
          <w:lang w:val="en-US" w:eastAsia="zh-CN"/>
        </w:rPr>
        <w:t>不见面开标大厅网址 （https://ggzy.jiaozuo.gov.cn/BidOpeningHall/bidhall/default/login）供应商无需到焦作市公共资源交易中心现场参加磋商会，无需到达现场提交原件资料。</w:t>
      </w:r>
      <w:r>
        <w:rPr>
          <w:rFonts w:hint="eastAsia" w:ascii="仿宋_GB2312" w:hAnsi="仿宋_GB2312" w:eastAsia="仿宋_GB2312" w:cs="仿宋_GB2312"/>
          <w:b/>
          <w:bCs/>
          <w:color w:val="auto"/>
          <w:sz w:val="28"/>
          <w:szCs w:val="28"/>
          <w:highlight w:val="none"/>
          <w:lang w:val="en-US" w:eastAsia="zh-CN"/>
        </w:rPr>
        <w:t>供应商应当响应性文件接收截止时间前，登录不见面开标大厅系统，在线准时参加磋商活动并进行文件解密，开标结束后，在焦作市公共资源交易平台进行交易主体登录，在线参加答疑澄清、二轮报价或最后报价等。在规定时间内响应性文件未解密的供应商，视为放弃投标。</w:t>
      </w:r>
    </w:p>
    <w:p w14:paraId="26B3C426">
      <w:pPr>
        <w:tabs>
          <w:tab w:val="left" w:pos="1620"/>
        </w:tabs>
        <w:wordWrap/>
        <w:spacing w:line="560" w:lineRule="exact"/>
        <w:ind w:firstLine="560" w:firstLineChars="200"/>
        <w:jc w:val="both"/>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 xml:space="preserve"> 供应商应在磋商会当天及时关注本单位的情况，如遇问题，请拨打平台统一技术服务电话为：0512-58188538，服务QQ:4008503300。 </w:t>
      </w:r>
    </w:p>
    <w:p w14:paraId="4581A908">
      <w:pPr>
        <w:wordWrap/>
        <w:spacing w:line="560" w:lineRule="exact"/>
        <w:ind w:firstLine="560" w:firstLineChars="200"/>
        <w:jc w:val="left"/>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19.2磋商会程序：</w:t>
      </w:r>
    </w:p>
    <w:p w14:paraId="35EEB413">
      <w:pPr>
        <w:wordWrap/>
        <w:spacing w:line="560" w:lineRule="exact"/>
        <w:ind w:firstLine="560" w:firstLineChars="200"/>
        <w:jc w:val="left"/>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（1）公布在递交响应性文件截止时间前递交响应性文件的供应商名称；</w:t>
      </w:r>
    </w:p>
    <w:p w14:paraId="0780E657">
      <w:pPr>
        <w:wordWrap/>
        <w:spacing w:line="560" w:lineRule="exact"/>
        <w:ind w:firstLine="560" w:firstLineChars="200"/>
        <w:jc w:val="left"/>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（2）供应商在不见面开标大厅对已递交的电子响应性文件在规定时间内进行解密；</w:t>
      </w:r>
    </w:p>
    <w:p w14:paraId="3FD474E7">
      <w:pPr>
        <w:wordWrap/>
        <w:spacing w:line="560" w:lineRule="exact"/>
        <w:ind w:firstLine="560" w:firstLineChars="200"/>
        <w:jc w:val="left"/>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（3）批量导入文件；</w:t>
      </w:r>
    </w:p>
    <w:p w14:paraId="35ADAC0A">
      <w:pPr>
        <w:wordWrap/>
        <w:spacing w:line="560" w:lineRule="exact"/>
        <w:ind w:firstLine="560" w:firstLineChars="200"/>
        <w:jc w:val="left"/>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（4）代理机构将通过不见面开标大厅公布磋商项目名称、供应商名称及其他内容，并记录在案；</w:t>
      </w:r>
    </w:p>
    <w:p w14:paraId="6E0FF9D8">
      <w:pPr>
        <w:wordWrap/>
        <w:spacing w:line="560" w:lineRule="exact"/>
        <w:ind w:firstLine="560" w:firstLineChars="200"/>
        <w:jc w:val="left"/>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（5）采购人代表、监督人等有关人员按具体现场系统情况在开标记录上签字确认；</w:t>
      </w:r>
    </w:p>
    <w:p w14:paraId="048EC55B">
      <w:pPr>
        <w:wordWrap/>
        <w:spacing w:line="560" w:lineRule="exact"/>
        <w:ind w:firstLine="560" w:firstLineChars="200"/>
        <w:jc w:val="left"/>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（6）开标结束。</w:t>
      </w:r>
    </w:p>
    <w:p w14:paraId="16EB1532">
      <w:pPr>
        <w:wordWrap/>
        <w:spacing w:line="560" w:lineRule="exact"/>
        <w:ind w:firstLine="560" w:firstLineChars="200"/>
        <w:jc w:val="left"/>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（7）磋商小组对已通过资格性、符合性审查的供应商发起二轮或最后报价邀请；</w:t>
      </w:r>
    </w:p>
    <w:p w14:paraId="7927050D">
      <w:pPr>
        <w:wordWrap/>
        <w:spacing w:line="560" w:lineRule="exact"/>
        <w:ind w:firstLine="560" w:firstLineChars="200"/>
        <w:jc w:val="left"/>
        <w:rPr>
          <w:rFonts w:hint="default"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（8）供应商在规定时间内通过焦作市公共资源交易平台进行二轮或最后报价。</w:t>
      </w:r>
    </w:p>
    <w:p w14:paraId="7569EFE3">
      <w:pPr>
        <w:wordWrap/>
        <w:spacing w:line="560" w:lineRule="exact"/>
        <w:ind w:firstLine="560" w:firstLineChars="200"/>
        <w:jc w:val="left"/>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 xml:space="preserve">19.3供应商应认真学习《投标单位操作手册》，根据手册要求做好不见面磋商的准备工作，否则由此引起的未能解密、解密失败或解密超时的将被拒绝。  </w:t>
      </w:r>
    </w:p>
    <w:p w14:paraId="29199B3E">
      <w:pPr>
        <w:wordWrap/>
        <w:spacing w:line="560" w:lineRule="exact"/>
        <w:ind w:firstLine="560" w:firstLineChars="200"/>
        <w:jc w:val="left"/>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 xml:space="preserve">19.4供应商应在解密时间内插入单位CA锁，输入密码，进行解密。 </w:t>
      </w:r>
    </w:p>
    <w:p w14:paraId="148CB96F">
      <w:pPr>
        <w:wordWrap/>
        <w:spacing w:line="560" w:lineRule="exact"/>
        <w:ind w:firstLine="560" w:firstLineChars="200"/>
        <w:jc w:val="left"/>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19.5采购人及采购代理机构在磋商文件规定的时间及地点组织磋商会。供应商无需到达磋商会现场，但在磋商会期间，供应商的法定代表人或其授权委托人应参与远程交互，中途不得更换，在解密文件、澄清、答疑、传送文件、最后报价等特殊情况下需要交互时，供应商一端参与交互的人员将均被视为是供应商的法定代表人或其授权委托人，供应商不得以不承认交互人员的资格或身份等为借口抵赖推脱，供应商自行承担随意更换人员或未按要求参与交互所导致的一切后果。供应商超时交互，由此产生的不利于供应商的评审风险由供应商自行承担。</w:t>
      </w:r>
    </w:p>
    <w:p w14:paraId="01997833">
      <w:pPr>
        <w:wordWrap/>
        <w:spacing w:line="560" w:lineRule="exact"/>
        <w:ind w:firstLine="560" w:firstLineChars="200"/>
        <w:jc w:val="left"/>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19.6供应商出现下列情况之一者为废标，取消参加磋商资格：</w:t>
      </w:r>
    </w:p>
    <w:p w14:paraId="54C4EA58">
      <w:pPr>
        <w:wordWrap/>
        <w:spacing w:line="560" w:lineRule="exact"/>
        <w:ind w:firstLine="560" w:firstLineChars="200"/>
        <w:jc w:val="left"/>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（1）未按规定在响应性文件接收截止时间前递交电子响应性文件（加密版）的；</w:t>
      </w:r>
    </w:p>
    <w:p w14:paraId="4BC67885">
      <w:pPr>
        <w:wordWrap/>
        <w:spacing w:line="560" w:lineRule="exact"/>
        <w:ind w:firstLine="560" w:firstLineChars="200"/>
        <w:jc w:val="left"/>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（2）磋商会时，因供应商自身原因而导致电子响应性文件无法导入“全国公共资源交易平台 （河南省·焦作市）”（https://ggzy.jiaozuo.gov.cn/）-“焦作市电子招投标交易平台”电子开标、评标系统的。</w:t>
      </w:r>
    </w:p>
    <w:p w14:paraId="60146AF0">
      <w:pPr>
        <w:wordWrap/>
        <w:spacing w:line="560" w:lineRule="exact"/>
        <w:ind w:firstLine="560" w:firstLineChars="200"/>
        <w:jc w:val="left"/>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19.7开标异议</w:t>
      </w:r>
    </w:p>
    <w:p w14:paraId="711CD98B">
      <w:pPr>
        <w:wordWrap/>
        <w:spacing w:line="560" w:lineRule="exact"/>
        <w:ind w:firstLine="560" w:firstLineChars="200"/>
        <w:jc w:val="left"/>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供应商对磋商会有异议的，应当在磋商会现场提出（</w:t>
      </w:r>
      <w:bookmarkStart w:id="0" w:name="_Toc12998"/>
      <w:r>
        <w:rPr>
          <w:rFonts w:hint="eastAsia" w:ascii="仿宋_GB2312" w:eastAsia="仿宋_GB2312"/>
          <w:color w:val="auto"/>
          <w:sz w:val="28"/>
          <w:szCs w:val="28"/>
          <w:highlight w:val="none"/>
          <w:lang w:val="en-US" w:eastAsia="zh-CN"/>
        </w:rPr>
        <w:t>语音异议</w:t>
      </w:r>
      <w:bookmarkEnd w:id="0"/>
      <w:r>
        <w:rPr>
          <w:rFonts w:hint="eastAsia" w:ascii="仿宋_GB2312" w:eastAsia="仿宋_GB2312"/>
          <w:color w:val="auto"/>
          <w:sz w:val="28"/>
          <w:szCs w:val="28"/>
          <w:highlight w:val="none"/>
          <w:lang w:val="en-US" w:eastAsia="zh-CN"/>
        </w:rPr>
        <w:t>、</w:t>
      </w:r>
      <w:bookmarkStart w:id="1" w:name="_Toc20745"/>
      <w:r>
        <w:rPr>
          <w:rFonts w:hint="eastAsia" w:ascii="仿宋_GB2312" w:eastAsia="仿宋_GB2312"/>
          <w:color w:val="auto"/>
          <w:sz w:val="28"/>
          <w:szCs w:val="28"/>
          <w:highlight w:val="none"/>
          <w:lang w:val="en-US" w:eastAsia="zh-CN"/>
        </w:rPr>
        <w:t>文字异议</w:t>
      </w:r>
      <w:bookmarkEnd w:id="1"/>
      <w:r>
        <w:rPr>
          <w:rFonts w:hint="eastAsia" w:ascii="仿宋_GB2312" w:eastAsia="仿宋_GB2312"/>
          <w:color w:val="auto"/>
          <w:sz w:val="28"/>
          <w:szCs w:val="28"/>
          <w:highlight w:val="none"/>
          <w:lang w:val="en-US" w:eastAsia="zh-CN"/>
        </w:rPr>
        <w:t>），采购人当场作出答复，并制作记录。</w:t>
      </w:r>
    </w:p>
    <w:p w14:paraId="34152178">
      <w:pPr>
        <w:wordWrap/>
        <w:spacing w:line="560" w:lineRule="exact"/>
        <w:ind w:firstLine="560" w:firstLineChars="200"/>
        <w:jc w:val="left"/>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19.8 开标异常处理</w:t>
      </w:r>
    </w:p>
    <w:p w14:paraId="0BEE9B26">
      <w:pPr>
        <w:wordWrap/>
        <w:spacing w:line="560" w:lineRule="exact"/>
        <w:ind w:firstLine="560" w:firstLineChars="200"/>
        <w:jc w:val="left"/>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当出现以下情况时，应对未开标的项目中止电子开标，对原有资料及信息作出妥善保密处理，并在恢复正常后及时安排时间开标：</w:t>
      </w:r>
    </w:p>
    <w:p w14:paraId="6019BF62">
      <w:pPr>
        <w:wordWrap/>
        <w:spacing w:line="560" w:lineRule="exact"/>
        <w:ind w:firstLine="560" w:firstLineChars="200"/>
        <w:jc w:val="left"/>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（1）系统服务器发生故障，无法访问或无法使用系统；</w:t>
      </w:r>
    </w:p>
    <w:p w14:paraId="5A59F3A8">
      <w:pPr>
        <w:wordWrap/>
        <w:spacing w:line="560" w:lineRule="exact"/>
        <w:ind w:firstLine="560" w:firstLineChars="200"/>
        <w:jc w:val="left"/>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（2）系统的软件或数据库出现错误，不能进行正常操作；</w:t>
      </w:r>
    </w:p>
    <w:p w14:paraId="3982E979">
      <w:pPr>
        <w:wordWrap/>
        <w:spacing w:line="560" w:lineRule="exact"/>
        <w:ind w:firstLine="560" w:firstLineChars="200"/>
        <w:jc w:val="left"/>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（3）系统发现有安全漏洞，有潜在的泄密危险；</w:t>
      </w:r>
    </w:p>
    <w:p w14:paraId="3261EDB7">
      <w:pPr>
        <w:wordWrap/>
        <w:spacing w:line="560" w:lineRule="exact"/>
        <w:ind w:firstLine="560" w:firstLineChars="200"/>
        <w:jc w:val="left"/>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（4）出现断电事故且短时间内无法恢复供电；</w:t>
      </w:r>
    </w:p>
    <w:p w14:paraId="130BB7F4">
      <w:pPr>
        <w:wordWrap/>
        <w:spacing w:line="560" w:lineRule="exact"/>
        <w:ind w:firstLine="560" w:firstLineChars="200"/>
        <w:jc w:val="left"/>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（5）其他无法保证磋商会过程正常进行的情形。</w:t>
      </w:r>
    </w:p>
    <w:p w14:paraId="280A0E88">
      <w:pPr>
        <w:wordWrap/>
        <w:snapToGrid/>
        <w:spacing w:line="560" w:lineRule="exact"/>
        <w:ind w:firstLine="562" w:firstLineChars="200"/>
        <w:textAlignment w:val="auto"/>
        <w:outlineLvl w:val="0"/>
        <w:rPr>
          <w:rFonts w:ascii="仿宋_GB2312" w:hAnsi="仿宋_GB2312" w:eastAsia="仿宋_GB2312" w:cs="仿宋_GB2312"/>
          <w:b/>
          <w:color w:val="auto"/>
          <w:sz w:val="28"/>
          <w:szCs w:val="28"/>
          <w:highlight w:val="none"/>
          <w:lang w:val="zh-CN"/>
        </w:rPr>
      </w:pPr>
      <w:r>
        <w:rPr>
          <w:rFonts w:hint="eastAsia" w:ascii="仿宋_GB2312" w:hAnsi="仿宋_GB2312" w:eastAsia="仿宋_GB2312" w:cs="仿宋_GB2312"/>
          <w:b/>
          <w:color w:val="auto"/>
          <w:sz w:val="28"/>
          <w:szCs w:val="28"/>
          <w:highlight w:val="none"/>
          <w:lang w:val="en-US" w:eastAsia="zh-CN"/>
        </w:rPr>
        <w:t>20</w:t>
      </w:r>
      <w:r>
        <w:rPr>
          <w:rFonts w:hint="eastAsia" w:ascii="仿宋_GB2312" w:hAnsi="仿宋_GB2312" w:eastAsia="仿宋_GB2312" w:cs="仿宋_GB2312"/>
          <w:b/>
          <w:color w:val="auto"/>
          <w:sz w:val="28"/>
          <w:szCs w:val="28"/>
          <w:highlight w:val="none"/>
        </w:rPr>
        <w:t>.组建</w:t>
      </w:r>
      <w:r>
        <w:rPr>
          <w:rFonts w:hint="eastAsia" w:ascii="仿宋_GB2312" w:hAnsi="仿宋_GB2312" w:eastAsia="仿宋_GB2312" w:cs="仿宋_GB2312"/>
          <w:b/>
          <w:color w:val="auto"/>
          <w:sz w:val="28"/>
          <w:szCs w:val="28"/>
          <w:highlight w:val="none"/>
          <w:lang w:val="zh-CN"/>
        </w:rPr>
        <w:t>竞争性磋商小组</w:t>
      </w:r>
    </w:p>
    <w:p w14:paraId="4E04C33E">
      <w:pPr>
        <w:wordWrap/>
        <w:snapToGrid/>
        <w:spacing w:line="560" w:lineRule="exact"/>
        <w:ind w:firstLine="560" w:firstLineChars="200"/>
        <w:textAlignment w:val="auto"/>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lang w:val="en-US" w:eastAsia="zh-CN"/>
        </w:rPr>
        <w:t>20</w:t>
      </w:r>
      <w:r>
        <w:rPr>
          <w:rFonts w:hint="eastAsia" w:ascii="仿宋_GB2312" w:hAnsi="仿宋_GB2312" w:eastAsia="仿宋_GB2312" w:cs="仿宋_GB2312"/>
          <w:color w:val="auto"/>
          <w:kern w:val="0"/>
          <w:sz w:val="28"/>
          <w:szCs w:val="28"/>
          <w:highlight w:val="none"/>
        </w:rPr>
        <w:t>.1</w:t>
      </w:r>
      <w:r>
        <w:rPr>
          <w:rFonts w:hint="eastAsia" w:ascii="仿宋_GB2312" w:hAnsi="仿宋_GB2312" w:eastAsia="仿宋_GB2312" w:cs="仿宋_GB2312"/>
          <w:color w:val="auto"/>
          <w:kern w:val="0"/>
          <w:sz w:val="28"/>
          <w:szCs w:val="28"/>
          <w:highlight w:val="none"/>
          <w:lang w:val="en-US" w:eastAsia="zh-CN"/>
        </w:rPr>
        <w:t>采购人</w:t>
      </w:r>
      <w:r>
        <w:rPr>
          <w:rFonts w:hint="eastAsia" w:ascii="仿宋_GB2312" w:hAnsi="仿宋_GB2312" w:eastAsia="仿宋_GB2312" w:cs="仿宋_GB2312"/>
          <w:color w:val="auto"/>
          <w:sz w:val="28"/>
          <w:szCs w:val="28"/>
          <w:highlight w:val="none"/>
        </w:rPr>
        <w:t>根据本次</w:t>
      </w:r>
      <w:r>
        <w:rPr>
          <w:rFonts w:hint="eastAsia" w:ascii="仿宋_GB2312" w:hAnsi="仿宋_GB2312" w:eastAsia="仿宋_GB2312" w:cs="仿宋_GB2312"/>
          <w:color w:val="auto"/>
          <w:sz w:val="28"/>
          <w:szCs w:val="28"/>
          <w:highlight w:val="none"/>
          <w:lang w:val="en-US" w:eastAsia="zh-CN"/>
        </w:rPr>
        <w:t>采购</w:t>
      </w:r>
      <w:r>
        <w:rPr>
          <w:rFonts w:hint="eastAsia" w:ascii="仿宋_GB2312" w:hAnsi="仿宋_GB2312" w:eastAsia="仿宋_GB2312" w:cs="仿宋_GB2312"/>
          <w:color w:val="auto"/>
          <w:sz w:val="28"/>
          <w:szCs w:val="28"/>
          <w:highlight w:val="none"/>
        </w:rPr>
        <w:t>内容在</w:t>
      </w:r>
      <w:r>
        <w:rPr>
          <w:rFonts w:hint="eastAsia" w:ascii="仿宋_GB2312" w:hAnsi="仿宋_GB2312" w:eastAsia="仿宋_GB2312" w:cs="仿宋_GB2312"/>
          <w:color w:val="auto"/>
          <w:sz w:val="28"/>
          <w:szCs w:val="28"/>
          <w:highlight w:val="none"/>
          <w:lang w:val="en-US" w:eastAsia="zh-CN"/>
        </w:rPr>
        <w:t>政府采购评审专家库内相关专业的专家名单中随机抽取</w:t>
      </w:r>
      <w:r>
        <w:rPr>
          <w:rFonts w:hint="eastAsia" w:ascii="仿宋_GB2312" w:hAnsi="仿宋_GB2312" w:eastAsia="仿宋_GB2312" w:cs="仿宋_GB2312"/>
          <w:color w:val="auto"/>
          <w:sz w:val="28"/>
          <w:szCs w:val="28"/>
          <w:highlight w:val="none"/>
        </w:rPr>
        <w:t>有关方面专家，按照规定依法组成</w:t>
      </w:r>
      <w:r>
        <w:rPr>
          <w:rFonts w:hint="eastAsia" w:ascii="仿宋_GB2312" w:hAnsi="仿宋_GB2312" w:eastAsia="仿宋_GB2312" w:cs="仿宋_GB2312"/>
          <w:color w:val="auto"/>
          <w:kern w:val="0"/>
          <w:sz w:val="28"/>
          <w:szCs w:val="28"/>
          <w:highlight w:val="none"/>
        </w:rPr>
        <w:t>磋商小组。</w:t>
      </w:r>
    </w:p>
    <w:p w14:paraId="7BFDCD23">
      <w:pPr>
        <w:wordWrap/>
        <w:snapToGrid/>
        <w:spacing w:line="560" w:lineRule="exact"/>
        <w:ind w:firstLine="560" w:firstLineChars="200"/>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lang w:val="en-US" w:eastAsia="zh-CN"/>
        </w:rPr>
        <w:t>20</w:t>
      </w:r>
      <w:r>
        <w:rPr>
          <w:rFonts w:hint="eastAsia" w:ascii="仿宋_GB2312" w:hAnsi="仿宋_GB2312" w:eastAsia="仿宋_GB2312" w:cs="仿宋_GB2312"/>
          <w:color w:val="auto"/>
          <w:kern w:val="0"/>
          <w:sz w:val="28"/>
          <w:szCs w:val="28"/>
          <w:highlight w:val="none"/>
        </w:rPr>
        <w:t>.2竞争性磋商小组由采购人代表和有关技术、经济等方面专家共</w:t>
      </w:r>
      <w:r>
        <w:rPr>
          <w:rFonts w:hint="eastAsia" w:ascii="仿宋_GB2312" w:hAnsi="仿宋_GB2312" w:eastAsia="仿宋_GB2312" w:cs="仿宋_GB2312"/>
          <w:color w:val="auto"/>
          <w:kern w:val="0"/>
          <w:sz w:val="28"/>
          <w:szCs w:val="28"/>
          <w:highlight w:val="none"/>
          <w:u w:val="single"/>
        </w:rPr>
        <w:t>3</w:t>
      </w:r>
      <w:r>
        <w:rPr>
          <w:rFonts w:hint="eastAsia" w:ascii="仿宋_GB2312" w:hAnsi="仿宋_GB2312" w:eastAsia="仿宋_GB2312" w:cs="仿宋_GB2312"/>
          <w:color w:val="auto"/>
          <w:kern w:val="0"/>
          <w:sz w:val="28"/>
          <w:szCs w:val="28"/>
          <w:highlight w:val="none"/>
        </w:rPr>
        <w:t>人组成，其中评审专家人数不少于竞争性磋商小组成员总数的2/3。竞争性磋商小组确认竞争性磋商文件，并负责具体评审事务，根据有关法律法规和竞争性磋商文件规定的评审程序，按照评审方法及评审标准独立履行竞争性磋商小组职责。</w:t>
      </w:r>
    </w:p>
    <w:p w14:paraId="2451813B">
      <w:pPr>
        <w:wordWrap/>
        <w:snapToGrid/>
        <w:spacing w:line="560" w:lineRule="exact"/>
        <w:ind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2</w:t>
      </w:r>
      <w:r>
        <w:rPr>
          <w:rFonts w:hint="eastAsia" w:ascii="仿宋_GB2312" w:hAnsi="仿宋_GB2312" w:eastAsia="仿宋_GB2312" w:cs="仿宋_GB2312"/>
          <w:b/>
          <w:color w:val="auto"/>
          <w:sz w:val="28"/>
          <w:szCs w:val="28"/>
          <w:highlight w:val="none"/>
          <w:lang w:val="en-US" w:eastAsia="zh-CN"/>
        </w:rPr>
        <w:t>1</w:t>
      </w:r>
      <w:r>
        <w:rPr>
          <w:rFonts w:hint="eastAsia" w:ascii="仿宋_GB2312" w:hAnsi="仿宋_GB2312" w:eastAsia="仿宋_GB2312" w:cs="仿宋_GB2312"/>
          <w:b/>
          <w:color w:val="auto"/>
          <w:sz w:val="28"/>
          <w:szCs w:val="28"/>
          <w:highlight w:val="none"/>
        </w:rPr>
        <w:t>.资格性和符合性审查</w:t>
      </w:r>
    </w:p>
    <w:p w14:paraId="53718767">
      <w:pPr>
        <w:wordWrap/>
        <w:snapToGrid/>
        <w:spacing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.1资格性检查。竞争性磋商小组依据有关法律法规和竞争性磋商文件的规定，对响应性文件中资质证明等进行审查，审查每个供应商提交的资质证明材料是否齐全、完整、合法、有效。</w:t>
      </w:r>
    </w:p>
    <w:p w14:paraId="66773819">
      <w:pPr>
        <w:wordWrap/>
        <w:snapToGrid/>
        <w:spacing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.1.1资格性审查的内容包括：</w:t>
      </w:r>
    </w:p>
    <w:p w14:paraId="3C394404">
      <w:pPr>
        <w:wordWrap/>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竞争性磋商文件规定的供应商资格条件。</w:t>
      </w:r>
    </w:p>
    <w:p w14:paraId="70A3CFF0">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.2符合性检查。对资格性</w:t>
      </w:r>
      <w:r>
        <w:rPr>
          <w:rFonts w:hint="eastAsia" w:ascii="仿宋_GB2312" w:hAnsi="仿宋_GB2312" w:eastAsia="仿宋_GB2312" w:cs="仿宋_GB2312"/>
          <w:color w:val="auto"/>
          <w:sz w:val="28"/>
          <w:szCs w:val="28"/>
          <w:highlight w:val="none"/>
          <w:lang w:val="en-US" w:eastAsia="zh-CN"/>
        </w:rPr>
        <w:t>审查</w:t>
      </w:r>
      <w:r>
        <w:rPr>
          <w:rFonts w:hint="eastAsia" w:ascii="仿宋_GB2312" w:hAnsi="仿宋_GB2312" w:eastAsia="仿宋_GB2312" w:cs="仿宋_GB2312"/>
          <w:color w:val="auto"/>
          <w:sz w:val="28"/>
          <w:szCs w:val="28"/>
          <w:highlight w:val="none"/>
        </w:rPr>
        <w:t>合格的供应商的响应性文件，依据竞争性磋商文件的规定，从响应性文件的有效性、完整性和对竞争性磋商文件的响应程度，审查响应性文件是否对竞争性磋商文件的实质性要求作出了响应。</w:t>
      </w:r>
    </w:p>
    <w:p w14:paraId="71FBA38D">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.2.1符合性审查的内容包括：</w:t>
      </w:r>
    </w:p>
    <w:p w14:paraId="50D82C50">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（1）响应性文件的有效性(签署情况等)；</w:t>
      </w:r>
    </w:p>
    <w:p w14:paraId="6B790A94">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（2）响应性文件的完整性(</w:t>
      </w:r>
      <w:r>
        <w:rPr>
          <w:rFonts w:hint="eastAsia" w:ascii="仿宋_GB2312" w:hAnsi="仿宋_GB2312" w:eastAsia="仿宋_GB2312" w:cs="仿宋_GB2312"/>
          <w:color w:val="auto"/>
          <w:sz w:val="28"/>
          <w:szCs w:val="28"/>
          <w:highlight w:val="none"/>
          <w:lang w:val="en-US" w:eastAsia="zh-CN"/>
        </w:rPr>
        <w:t>响应</w:t>
      </w:r>
      <w:r>
        <w:rPr>
          <w:rFonts w:hint="eastAsia" w:ascii="仿宋_GB2312" w:hAnsi="仿宋_GB2312" w:eastAsia="仿宋_GB2312" w:cs="仿宋_GB2312"/>
          <w:color w:val="auto"/>
          <w:sz w:val="28"/>
          <w:szCs w:val="28"/>
          <w:highlight w:val="none"/>
        </w:rPr>
        <w:t>内容等)；</w:t>
      </w:r>
    </w:p>
    <w:p w14:paraId="48A710C3">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（3）对竞争性磋商文件的响应程度（是否存在重大负偏离等）。 </w:t>
      </w:r>
    </w:p>
    <w:p w14:paraId="396CCC74">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u w:val="single"/>
        </w:rPr>
        <w:t>以上资格性审查和符合性审查的内容只要有一条不满足，则响应性文件无效，将不进入竞争性磋商程序。</w:t>
      </w:r>
      <w:r>
        <w:rPr>
          <w:rFonts w:hint="eastAsia" w:ascii="仿宋_GB2312" w:hAnsi="仿宋_GB2312" w:eastAsia="仿宋_GB2312" w:cs="仿宋_GB2312"/>
          <w:color w:val="auto"/>
          <w:sz w:val="28"/>
          <w:szCs w:val="28"/>
          <w:highlight w:val="none"/>
        </w:rPr>
        <w:t xml:space="preserve"> </w:t>
      </w:r>
    </w:p>
    <w:p w14:paraId="57CFAF9E">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注意事项：资格性、符合性证明材料见竞争性磋商文件第四章规定。</w:t>
      </w:r>
    </w:p>
    <w:p w14:paraId="75105046">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.3 实质性响应的响应性文件是指与竞争性磋商文件的全部条款、条件和规格相符，没有重大偏离；重大负偏离的认定须经竞争性磋商小组三分之二以上同意。</w:t>
      </w:r>
    </w:p>
    <w:p w14:paraId="718AE9F0">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.4 重大偏离系指供应商货物的技术指标、数量和交货期限等明显不能满足竞争性磋商文件的要求，或者实质上与竞争性磋商文件不一致，而且限制了采购单位的权利或供应商的义务，纠正这些偏离将对其他实质性响应要求的供应商的竞争地位产生不公正的影响。</w:t>
      </w:r>
    </w:p>
    <w:p w14:paraId="39C1EB14">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.5如果响应性文件实质上没有响应竞争性磋商文件的要求，将作为无效处理，供应商不得再对响应性文件进行任何修正从而使其响应性文件成为实质上响应的文件；</w:t>
      </w:r>
    </w:p>
    <w:p w14:paraId="1AF015E4">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.6 竞争性磋商小组审定响应性文件的响应性只根据响应性文件本身的内容而不寻求外部证据。</w:t>
      </w:r>
    </w:p>
    <w:p w14:paraId="605A0F70">
      <w:pPr>
        <w:wordWrap/>
        <w:snapToGrid/>
        <w:spacing w:line="560" w:lineRule="exact"/>
        <w:ind w:firstLine="562" w:firstLineChars="200"/>
        <w:textAlignment w:val="auto"/>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2</w:t>
      </w:r>
      <w:r>
        <w:rPr>
          <w:rFonts w:hint="eastAsia" w:ascii="仿宋_GB2312" w:hAnsi="仿宋_GB2312" w:eastAsia="仿宋_GB2312" w:cs="仿宋_GB2312"/>
          <w:b/>
          <w:bCs/>
          <w:color w:val="auto"/>
          <w:sz w:val="28"/>
          <w:szCs w:val="28"/>
          <w:highlight w:val="none"/>
          <w:lang w:val="en-US" w:eastAsia="zh-CN"/>
        </w:rPr>
        <w:t>1</w:t>
      </w:r>
      <w:r>
        <w:rPr>
          <w:rFonts w:hint="eastAsia" w:ascii="仿宋_GB2312" w:hAnsi="仿宋_GB2312" w:eastAsia="仿宋_GB2312" w:cs="仿宋_GB2312"/>
          <w:b/>
          <w:bCs/>
          <w:color w:val="auto"/>
          <w:sz w:val="28"/>
          <w:szCs w:val="28"/>
          <w:highlight w:val="none"/>
        </w:rPr>
        <w:t>.7凡有下列情况之一的，其响应性文件也被视为未实质性响应竞争性磋商文件，按照无效处理（不再参加竞争性磋商）：</w:t>
      </w:r>
    </w:p>
    <w:p w14:paraId="06D497B2">
      <w:pPr>
        <w:wordWrap/>
        <w:snapToGrid/>
        <w:spacing w:line="560" w:lineRule="exact"/>
        <w:ind w:firstLine="562" w:firstLineChars="200"/>
        <w:textAlignment w:val="auto"/>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2</w:t>
      </w:r>
      <w:r>
        <w:rPr>
          <w:rFonts w:hint="eastAsia" w:ascii="仿宋_GB2312" w:hAnsi="仿宋_GB2312" w:eastAsia="仿宋_GB2312" w:cs="仿宋_GB2312"/>
          <w:b/>
          <w:bCs/>
          <w:color w:val="auto"/>
          <w:sz w:val="28"/>
          <w:szCs w:val="28"/>
          <w:highlight w:val="none"/>
          <w:lang w:val="en-US" w:eastAsia="zh-CN"/>
        </w:rPr>
        <w:t>1</w:t>
      </w:r>
      <w:r>
        <w:rPr>
          <w:rFonts w:hint="eastAsia" w:ascii="仿宋_GB2312" w:hAnsi="仿宋_GB2312" w:eastAsia="仿宋_GB2312" w:cs="仿宋_GB2312"/>
          <w:b/>
          <w:bCs/>
          <w:color w:val="auto"/>
          <w:sz w:val="28"/>
          <w:szCs w:val="28"/>
          <w:highlight w:val="none"/>
        </w:rPr>
        <w:t>.7.1</w:t>
      </w:r>
      <w:r>
        <w:rPr>
          <w:rFonts w:hint="eastAsia" w:ascii="仿宋_GB2312" w:hAnsi="仿宋_GB2312" w:eastAsia="仿宋_GB2312" w:cs="仿宋_GB2312"/>
          <w:b/>
          <w:bCs/>
          <w:color w:val="auto"/>
          <w:sz w:val="28"/>
          <w:szCs w:val="28"/>
          <w:highlight w:val="none"/>
          <w:lang w:val="en-US" w:eastAsia="zh-CN"/>
        </w:rPr>
        <w:t>响应性</w:t>
      </w:r>
      <w:r>
        <w:rPr>
          <w:rFonts w:hint="eastAsia" w:ascii="仿宋_GB2312" w:hAnsi="仿宋_GB2312" w:eastAsia="仿宋_GB2312" w:cs="仿宋_GB2312"/>
          <w:b/>
          <w:bCs/>
          <w:color w:val="auto"/>
          <w:sz w:val="28"/>
          <w:szCs w:val="28"/>
          <w:highlight w:val="none"/>
        </w:rPr>
        <w:t>文件制作机器码一致的</w:t>
      </w:r>
      <w:r>
        <w:rPr>
          <w:rFonts w:hint="eastAsia" w:ascii="仿宋_GB2312" w:hAnsi="仿宋_GB2312" w:eastAsia="仿宋_GB2312" w:cs="仿宋_GB2312"/>
          <w:b/>
          <w:bCs/>
          <w:color w:val="auto"/>
          <w:sz w:val="28"/>
          <w:szCs w:val="28"/>
          <w:highlight w:val="none"/>
          <w:lang w:val="en-US" w:eastAsia="zh-CN"/>
        </w:rPr>
        <w:t>;</w:t>
      </w:r>
    </w:p>
    <w:p w14:paraId="3BC9149F">
      <w:pPr>
        <w:wordWrap/>
        <w:snapToGrid/>
        <w:spacing w:line="560" w:lineRule="exact"/>
        <w:ind w:firstLine="562" w:firstLineChars="200"/>
        <w:textAlignment w:val="auto"/>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lang w:val="en-US" w:eastAsia="zh-CN"/>
        </w:rPr>
        <w:t>21.7.2</w:t>
      </w:r>
      <w:r>
        <w:rPr>
          <w:rFonts w:hint="eastAsia" w:ascii="仿宋_GB2312" w:hAnsi="仿宋_GB2312" w:eastAsia="仿宋_GB2312" w:cs="仿宋_GB2312"/>
          <w:b/>
          <w:bCs/>
          <w:color w:val="auto"/>
          <w:sz w:val="28"/>
          <w:szCs w:val="28"/>
          <w:highlight w:val="none"/>
        </w:rPr>
        <w:t>未按竞争性磋商文件规定要求</w:t>
      </w:r>
      <w:r>
        <w:rPr>
          <w:rFonts w:hint="eastAsia" w:ascii="仿宋_GB2312" w:hAnsi="仿宋_GB2312" w:eastAsia="仿宋_GB2312" w:cs="仿宋_GB2312"/>
          <w:b/>
          <w:bCs/>
          <w:color w:val="auto"/>
          <w:sz w:val="28"/>
          <w:szCs w:val="28"/>
          <w:highlight w:val="none"/>
          <w:lang w:val="zh-CN"/>
        </w:rPr>
        <w:t>签署、盖章的；</w:t>
      </w:r>
    </w:p>
    <w:p w14:paraId="65601585">
      <w:pPr>
        <w:wordWrap/>
        <w:snapToGrid/>
        <w:spacing w:line="560" w:lineRule="exact"/>
        <w:ind w:firstLine="562"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2</w:t>
      </w:r>
      <w:r>
        <w:rPr>
          <w:rFonts w:hint="eastAsia" w:ascii="仿宋_GB2312" w:hAnsi="仿宋_GB2312" w:eastAsia="仿宋_GB2312" w:cs="仿宋_GB2312"/>
          <w:b/>
          <w:bCs/>
          <w:color w:val="auto"/>
          <w:sz w:val="28"/>
          <w:szCs w:val="28"/>
          <w:highlight w:val="none"/>
          <w:lang w:val="en-US" w:eastAsia="zh-CN"/>
        </w:rPr>
        <w:t>1</w:t>
      </w:r>
      <w:r>
        <w:rPr>
          <w:rFonts w:hint="eastAsia" w:ascii="仿宋_GB2312" w:hAnsi="仿宋_GB2312" w:eastAsia="仿宋_GB2312" w:cs="仿宋_GB2312"/>
          <w:b/>
          <w:bCs/>
          <w:color w:val="auto"/>
          <w:sz w:val="28"/>
          <w:szCs w:val="28"/>
          <w:highlight w:val="none"/>
        </w:rPr>
        <w:t>.7.</w:t>
      </w:r>
      <w:r>
        <w:rPr>
          <w:rFonts w:hint="eastAsia" w:ascii="仿宋_GB2312" w:hAnsi="仿宋_GB2312" w:eastAsia="仿宋_GB2312" w:cs="仿宋_GB2312"/>
          <w:b/>
          <w:bCs/>
          <w:color w:val="auto"/>
          <w:sz w:val="28"/>
          <w:szCs w:val="28"/>
          <w:highlight w:val="none"/>
          <w:lang w:val="en-US" w:eastAsia="zh-CN"/>
        </w:rPr>
        <w:t>3</w:t>
      </w:r>
      <w:r>
        <w:rPr>
          <w:rFonts w:hint="eastAsia" w:ascii="仿宋_GB2312" w:hAnsi="仿宋_GB2312" w:eastAsia="仿宋_GB2312" w:cs="仿宋_GB2312"/>
          <w:b/>
          <w:bCs/>
          <w:color w:val="auto"/>
          <w:sz w:val="28"/>
          <w:szCs w:val="28"/>
          <w:highlight w:val="none"/>
        </w:rPr>
        <w:t>资格证明文件不全的，或不符合竞争性磋商文件中规定的资格要求的；</w:t>
      </w:r>
    </w:p>
    <w:p w14:paraId="26DAC611">
      <w:pPr>
        <w:wordWrap/>
        <w:snapToGrid/>
        <w:spacing w:line="560" w:lineRule="exact"/>
        <w:ind w:left="596" w:leftChars="284" w:firstLine="0" w:firstLineChars="0"/>
        <w:textAlignment w:val="auto"/>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2</w:t>
      </w:r>
      <w:r>
        <w:rPr>
          <w:rFonts w:hint="eastAsia" w:ascii="仿宋_GB2312" w:hAnsi="仿宋_GB2312" w:eastAsia="仿宋_GB2312" w:cs="仿宋_GB2312"/>
          <w:b/>
          <w:bCs/>
          <w:color w:val="auto"/>
          <w:sz w:val="28"/>
          <w:szCs w:val="28"/>
          <w:highlight w:val="none"/>
          <w:lang w:val="en-US" w:eastAsia="zh-CN"/>
        </w:rPr>
        <w:t>1</w:t>
      </w:r>
      <w:r>
        <w:rPr>
          <w:rFonts w:hint="eastAsia" w:ascii="仿宋_GB2312" w:hAnsi="仿宋_GB2312" w:eastAsia="仿宋_GB2312" w:cs="仿宋_GB2312"/>
          <w:b/>
          <w:bCs/>
          <w:color w:val="auto"/>
          <w:sz w:val="28"/>
          <w:szCs w:val="28"/>
          <w:highlight w:val="none"/>
        </w:rPr>
        <w:t>.7.</w:t>
      </w:r>
      <w:r>
        <w:rPr>
          <w:rFonts w:hint="eastAsia" w:ascii="仿宋_GB2312" w:hAnsi="仿宋_GB2312" w:eastAsia="仿宋_GB2312" w:cs="仿宋_GB2312"/>
          <w:b/>
          <w:bCs/>
          <w:color w:val="auto"/>
          <w:sz w:val="28"/>
          <w:szCs w:val="28"/>
          <w:highlight w:val="none"/>
          <w:lang w:val="en-US" w:eastAsia="zh-CN"/>
        </w:rPr>
        <w:t>4</w:t>
      </w:r>
      <w:r>
        <w:rPr>
          <w:rFonts w:hint="eastAsia" w:ascii="仿宋_GB2312" w:hAnsi="仿宋_GB2312" w:eastAsia="仿宋_GB2312" w:cs="仿宋_GB2312"/>
          <w:b/>
          <w:bCs/>
          <w:color w:val="auto"/>
          <w:sz w:val="28"/>
          <w:szCs w:val="28"/>
          <w:highlight w:val="none"/>
        </w:rPr>
        <w:t xml:space="preserve"> 不符合竞争性磋商文件规定的实质性要求的；</w:t>
      </w:r>
    </w:p>
    <w:p w14:paraId="2FAD5E76">
      <w:pPr>
        <w:wordWrap/>
        <w:snapToGrid/>
        <w:spacing w:line="560" w:lineRule="exact"/>
        <w:ind w:left="596" w:leftChars="284" w:firstLine="0" w:firstLineChars="0"/>
        <w:textAlignment w:val="auto"/>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2</w:t>
      </w:r>
      <w:r>
        <w:rPr>
          <w:rFonts w:hint="eastAsia" w:ascii="仿宋_GB2312" w:hAnsi="仿宋_GB2312" w:eastAsia="仿宋_GB2312" w:cs="仿宋_GB2312"/>
          <w:b/>
          <w:bCs/>
          <w:color w:val="auto"/>
          <w:sz w:val="28"/>
          <w:szCs w:val="28"/>
          <w:highlight w:val="none"/>
          <w:lang w:val="en-US" w:eastAsia="zh-CN"/>
        </w:rPr>
        <w:t>1</w:t>
      </w:r>
      <w:r>
        <w:rPr>
          <w:rFonts w:hint="eastAsia" w:ascii="仿宋_GB2312" w:hAnsi="仿宋_GB2312" w:eastAsia="仿宋_GB2312" w:cs="仿宋_GB2312"/>
          <w:b/>
          <w:bCs/>
          <w:color w:val="auto"/>
          <w:sz w:val="28"/>
          <w:szCs w:val="28"/>
          <w:highlight w:val="none"/>
        </w:rPr>
        <w:t>.7.</w:t>
      </w:r>
      <w:r>
        <w:rPr>
          <w:rFonts w:hint="eastAsia" w:ascii="仿宋_GB2312" w:hAnsi="仿宋_GB2312" w:eastAsia="仿宋_GB2312" w:cs="仿宋_GB2312"/>
          <w:b/>
          <w:bCs/>
          <w:color w:val="auto"/>
          <w:sz w:val="28"/>
          <w:szCs w:val="28"/>
          <w:highlight w:val="none"/>
          <w:lang w:val="en-US" w:eastAsia="zh-CN"/>
        </w:rPr>
        <w:t>5</w:t>
      </w:r>
      <w:r>
        <w:rPr>
          <w:rFonts w:hint="eastAsia" w:ascii="仿宋_GB2312" w:hAnsi="仿宋_GB2312" w:eastAsia="仿宋_GB2312" w:cs="仿宋_GB2312"/>
          <w:b/>
          <w:bCs/>
          <w:color w:val="auto"/>
          <w:sz w:val="28"/>
          <w:szCs w:val="28"/>
          <w:highlight w:val="none"/>
        </w:rPr>
        <w:t>响应性文件内容不齐全或内容虚假的；</w:t>
      </w:r>
    </w:p>
    <w:p w14:paraId="356C7EC0">
      <w:pPr>
        <w:wordWrap/>
        <w:snapToGrid/>
        <w:spacing w:line="560" w:lineRule="exact"/>
        <w:ind w:firstLine="562"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2</w:t>
      </w:r>
      <w:r>
        <w:rPr>
          <w:rFonts w:hint="eastAsia" w:ascii="仿宋_GB2312" w:hAnsi="仿宋_GB2312" w:eastAsia="仿宋_GB2312" w:cs="仿宋_GB2312"/>
          <w:b/>
          <w:bCs/>
          <w:color w:val="auto"/>
          <w:sz w:val="28"/>
          <w:szCs w:val="28"/>
          <w:highlight w:val="none"/>
          <w:lang w:val="en-US" w:eastAsia="zh-CN"/>
        </w:rPr>
        <w:t>1</w:t>
      </w:r>
      <w:r>
        <w:rPr>
          <w:rFonts w:hint="eastAsia" w:ascii="仿宋_GB2312" w:hAnsi="仿宋_GB2312" w:eastAsia="仿宋_GB2312" w:cs="仿宋_GB2312"/>
          <w:b/>
          <w:bCs/>
          <w:color w:val="auto"/>
          <w:sz w:val="28"/>
          <w:szCs w:val="28"/>
          <w:highlight w:val="none"/>
        </w:rPr>
        <w:t>.7.6响应性文件的实质性内容未使用中文表述；</w:t>
      </w:r>
    </w:p>
    <w:p w14:paraId="718F6CDA">
      <w:pPr>
        <w:wordWrap/>
        <w:snapToGrid/>
        <w:spacing w:line="560" w:lineRule="exact"/>
        <w:ind w:firstLine="562"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2</w:t>
      </w:r>
      <w:r>
        <w:rPr>
          <w:rFonts w:hint="eastAsia" w:ascii="仿宋_GB2312" w:hAnsi="仿宋_GB2312" w:eastAsia="仿宋_GB2312" w:cs="仿宋_GB2312"/>
          <w:b/>
          <w:bCs/>
          <w:color w:val="auto"/>
          <w:sz w:val="28"/>
          <w:szCs w:val="28"/>
          <w:highlight w:val="none"/>
          <w:lang w:val="en-US" w:eastAsia="zh-CN"/>
        </w:rPr>
        <w:t>1</w:t>
      </w:r>
      <w:r>
        <w:rPr>
          <w:rFonts w:hint="eastAsia" w:ascii="仿宋_GB2312" w:hAnsi="仿宋_GB2312" w:eastAsia="仿宋_GB2312" w:cs="仿宋_GB2312"/>
          <w:b/>
          <w:bCs/>
          <w:color w:val="auto"/>
          <w:sz w:val="28"/>
          <w:szCs w:val="28"/>
          <w:highlight w:val="none"/>
        </w:rPr>
        <w:t>.7.7 响应性文件的内容修改处未按规定签名或盖章的；</w:t>
      </w:r>
    </w:p>
    <w:p w14:paraId="1188E88E">
      <w:pPr>
        <w:wordWrap/>
        <w:snapToGrid/>
        <w:spacing w:line="560" w:lineRule="exact"/>
        <w:ind w:firstLine="562"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2</w:t>
      </w:r>
      <w:r>
        <w:rPr>
          <w:rFonts w:hint="eastAsia" w:ascii="仿宋_GB2312" w:hAnsi="仿宋_GB2312" w:eastAsia="仿宋_GB2312" w:cs="仿宋_GB2312"/>
          <w:b/>
          <w:bCs/>
          <w:color w:val="auto"/>
          <w:sz w:val="28"/>
          <w:szCs w:val="28"/>
          <w:highlight w:val="none"/>
          <w:lang w:val="en-US" w:eastAsia="zh-CN"/>
        </w:rPr>
        <w:t>1</w:t>
      </w:r>
      <w:r>
        <w:rPr>
          <w:rFonts w:hint="eastAsia" w:ascii="仿宋_GB2312" w:hAnsi="仿宋_GB2312" w:eastAsia="仿宋_GB2312" w:cs="仿宋_GB2312"/>
          <w:b/>
          <w:bCs/>
          <w:color w:val="auto"/>
          <w:sz w:val="28"/>
          <w:szCs w:val="28"/>
          <w:highlight w:val="none"/>
        </w:rPr>
        <w:t>.7.8违反法律、行政法规、竞争性磋商文件规定的其他情形的。</w:t>
      </w:r>
    </w:p>
    <w:p w14:paraId="5D295972">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.8 在评审过程中，竞争性磋商小组发现供应商有下列情形之一的，视为供应商相互串通，按照无效处理并依据法律、法规追究其相关责任。具体表现形式如下：</w:t>
      </w:r>
    </w:p>
    <w:p w14:paraId="084A9A89">
      <w:pPr>
        <w:wordWrap/>
        <w:snapToGrid/>
        <w:spacing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.8.1 不同供应商的响应性文件互相混装的；</w:t>
      </w:r>
    </w:p>
    <w:p w14:paraId="2076CBF6">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.8.2 不同供应商授权同一人作为供应商委托代理人的；</w:t>
      </w:r>
    </w:p>
    <w:p w14:paraId="51135C7A">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.8.3不同供应商的响应性文件载明的项目管理成员为同一人的；</w:t>
      </w:r>
    </w:p>
    <w:p w14:paraId="4770D287">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.8.4有证据证明供应商与采购人、采购机构或者其他供应商串通的其他情形；</w:t>
      </w:r>
    </w:p>
    <w:p w14:paraId="47B7219B">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21.8.5 竞争性磋商小组认定的其他串通情形。</w:t>
      </w:r>
    </w:p>
    <w:p w14:paraId="17372CF4">
      <w:pPr>
        <w:wordWrap/>
        <w:snapToGrid/>
        <w:spacing w:line="560" w:lineRule="exact"/>
        <w:ind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2</w:t>
      </w:r>
      <w:r>
        <w:rPr>
          <w:rFonts w:hint="eastAsia" w:ascii="仿宋_GB2312" w:hAnsi="仿宋_GB2312" w:eastAsia="仿宋_GB2312" w:cs="仿宋_GB2312"/>
          <w:b/>
          <w:color w:val="auto"/>
          <w:sz w:val="28"/>
          <w:szCs w:val="28"/>
          <w:highlight w:val="none"/>
          <w:lang w:val="en-US" w:eastAsia="zh-CN"/>
        </w:rPr>
        <w:t>2</w:t>
      </w:r>
      <w:r>
        <w:rPr>
          <w:rFonts w:hint="eastAsia" w:ascii="仿宋_GB2312" w:hAnsi="仿宋_GB2312" w:eastAsia="仿宋_GB2312" w:cs="仿宋_GB2312"/>
          <w:b/>
          <w:color w:val="auto"/>
          <w:sz w:val="28"/>
          <w:szCs w:val="28"/>
          <w:highlight w:val="none"/>
        </w:rPr>
        <w:t>.响应性文件的澄清</w:t>
      </w:r>
    </w:p>
    <w:p w14:paraId="461B18B2">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1竞争性磋商小组在对响应性文件的有效性、完整性和响应程度进行审查时，可以要求供应商对响应性文件中含义不明确、同类问题表述不一致或者有明显文字和计算错误的内容等作出必要的澄清、说明或者更正。供应商的澄清、说明或者更正不得超出响应性文件的范围或者改变响应性文件的实质性内容。</w:t>
      </w:r>
    </w:p>
    <w:p w14:paraId="64725EF7">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2竞争性磋商小组要求供应商澄清、说明或者更正响应文件应当以书面形式作出。供应商的澄清、说明或者更正应当由法定代表人或其委托代理人签字或者加盖公章。供应商为自然人的，应当由本人签字并附身份证明。</w:t>
      </w:r>
    </w:p>
    <w:p w14:paraId="78BA6C83">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.3供应商拒不进行澄清、说明、补正的，或者不能在竞争性磋商小组规定时间内作出书面澄清、说明、补正的，其响应性文件将被作为无效处理。</w:t>
      </w:r>
    </w:p>
    <w:p w14:paraId="38635A43">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 xml:space="preserve">.4供应商的书面澄清材料作为响应性文件的补充。 </w:t>
      </w:r>
    </w:p>
    <w:p w14:paraId="52DA8926">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 xml:space="preserve">.5 竞争性磋商小组不得接受供应商主动提出的澄清和解释。 </w:t>
      </w:r>
    </w:p>
    <w:p w14:paraId="6D6AC367">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.6 并非每个供应商都将被询问、澄清。</w:t>
      </w:r>
    </w:p>
    <w:p w14:paraId="45590B70">
      <w:pPr>
        <w:wordWrap/>
        <w:snapToGrid/>
        <w:spacing w:line="560" w:lineRule="exact"/>
        <w:ind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2</w:t>
      </w:r>
      <w:r>
        <w:rPr>
          <w:rFonts w:hint="eastAsia" w:ascii="仿宋_GB2312" w:hAnsi="仿宋_GB2312" w:eastAsia="仿宋_GB2312" w:cs="仿宋_GB2312"/>
          <w:b/>
          <w:color w:val="auto"/>
          <w:sz w:val="28"/>
          <w:szCs w:val="28"/>
          <w:highlight w:val="none"/>
          <w:lang w:val="en-US" w:eastAsia="zh-CN"/>
        </w:rPr>
        <w:t>3</w:t>
      </w:r>
      <w:r>
        <w:rPr>
          <w:rFonts w:hint="eastAsia" w:ascii="仿宋_GB2312" w:hAnsi="仿宋_GB2312" w:eastAsia="仿宋_GB2312" w:cs="仿宋_GB2312"/>
          <w:b/>
          <w:color w:val="auto"/>
          <w:sz w:val="28"/>
          <w:szCs w:val="28"/>
          <w:highlight w:val="none"/>
        </w:rPr>
        <w:t>.竞争性磋商</w:t>
      </w:r>
    </w:p>
    <w:p w14:paraId="4E418B78">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 xml:space="preserve">.1 </w:t>
      </w:r>
      <w:r>
        <w:rPr>
          <w:rFonts w:hint="eastAsia" w:ascii="仿宋_GB2312" w:hAnsi="仿宋_GB2312" w:eastAsia="仿宋_GB2312" w:cs="仿宋_GB2312"/>
          <w:color w:val="auto"/>
          <w:sz w:val="28"/>
          <w:szCs w:val="28"/>
          <w:highlight w:val="none"/>
          <w:u w:val="single"/>
        </w:rPr>
        <w:t>资格性审查和符合性审查合格的供应商，将进入本次竞争性磋商程序</w:t>
      </w:r>
      <w:r>
        <w:rPr>
          <w:rFonts w:hint="eastAsia" w:ascii="仿宋_GB2312" w:hAnsi="仿宋_GB2312" w:eastAsia="仿宋_GB2312" w:cs="仿宋_GB2312"/>
          <w:color w:val="auto"/>
          <w:sz w:val="28"/>
          <w:szCs w:val="28"/>
          <w:highlight w:val="none"/>
        </w:rPr>
        <w:t>。</w:t>
      </w:r>
    </w:p>
    <w:p w14:paraId="5ED80B46">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.2竞争性磋商将按照供应商的签到顺序进行。</w:t>
      </w:r>
    </w:p>
    <w:p w14:paraId="76055BEC">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.3磋商内容包括：</w:t>
      </w:r>
    </w:p>
    <w:p w14:paraId="4A0556C9">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.3.1按照竞争性磋商文件中商务部分的内容，对照供应商提交的响应文件逐一进行比较各项指标和要求。</w:t>
      </w:r>
    </w:p>
    <w:p w14:paraId="46FFF0AA">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.3.2按照竞争性磋商文件中技术部分的内容，对照供应商提交的响应文件逐一进行比较各项指标和要求。</w:t>
      </w:r>
    </w:p>
    <w:p w14:paraId="01A039C2">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.3.3按照竞争性磋商文件中合同条款部分的内容，对照供应商提交的响应文件逐一进行比较各项指标和要求。</w:t>
      </w:r>
    </w:p>
    <w:p w14:paraId="61E732F3">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3.4在磋商中，磋商的任何一方不得透露与磋商有关的其他供应商的技术资料、价格和其他信息。磋商结束后，磋商小组可以要求所有参加磋商的供应商在规定时间内进行最后报价（各供应商应对其磋商代表进行相应授权，并做好在当天规定时间内完成有关澄清、磋商和最后报价的准备工作）。</w:t>
      </w:r>
    </w:p>
    <w:p w14:paraId="0365EB59">
      <w:pPr>
        <w:wordWrap/>
        <w:snapToGrid/>
        <w:spacing w:line="560" w:lineRule="exact"/>
        <w:ind w:firstLine="560" w:firstLineChars="200"/>
        <w:textAlignment w:val="auto"/>
        <w:rPr>
          <w:rFonts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 xml:space="preserve">.4 </w:t>
      </w:r>
      <w:r>
        <w:rPr>
          <w:rFonts w:hint="eastAsia" w:ascii="仿宋_GB2312" w:hAnsi="仿宋_GB2312" w:eastAsia="仿宋_GB2312" w:cs="仿宋_GB2312"/>
          <w:color w:val="auto"/>
          <w:sz w:val="28"/>
          <w:szCs w:val="28"/>
          <w:highlight w:val="none"/>
          <w:lang w:val="zh-CN"/>
        </w:rPr>
        <w:t>在竞争性磋商过程中，竞争性磋商小组可以根据竞争性磋商文件和竞争性磋商情况实质性变动采购需求中的技术、服务要求以及合同草案条款，但不得变动竞争性磋商文件中的其他内容。实质性变动的内容，须经采购人代表确定。</w:t>
      </w:r>
    </w:p>
    <w:p w14:paraId="2D357E27">
      <w:pPr>
        <w:wordWrap/>
        <w:snapToGrid/>
        <w:spacing w:line="560" w:lineRule="exact"/>
        <w:ind w:firstLine="560" w:firstLineChars="200"/>
        <w:textAlignment w:val="auto"/>
        <w:rPr>
          <w:rFonts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.4.1</w:t>
      </w:r>
      <w:r>
        <w:rPr>
          <w:rFonts w:hint="eastAsia" w:ascii="仿宋_GB2312" w:hAnsi="仿宋_GB2312" w:eastAsia="仿宋_GB2312" w:cs="仿宋_GB2312"/>
          <w:color w:val="auto"/>
          <w:sz w:val="28"/>
          <w:szCs w:val="28"/>
          <w:highlight w:val="none"/>
          <w:lang w:val="zh-CN"/>
        </w:rPr>
        <w:t>对竞争性磋商文件作出实质性变动是竞争性磋商文件的有效组成部分，竞争性磋商小组应当及时以书面形式同时通知所有参加竞争性磋商的供应商。</w:t>
      </w:r>
    </w:p>
    <w:p w14:paraId="779897AF">
      <w:pPr>
        <w:wordWrap/>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.4.2</w:t>
      </w:r>
      <w:r>
        <w:rPr>
          <w:rFonts w:hint="eastAsia" w:ascii="仿宋_GB2312" w:hAnsi="仿宋_GB2312" w:eastAsia="仿宋_GB2312" w:cs="仿宋_GB2312"/>
          <w:color w:val="auto"/>
          <w:sz w:val="28"/>
          <w:szCs w:val="28"/>
          <w:highlight w:val="none"/>
          <w:lang w:val="zh-CN"/>
        </w:rPr>
        <w:t>供应商应当按照竞争性磋商文件的变动情况和竞争性磋商小组的要求重新提交响应性文件，并由其法定代表人或授权代表签字或者加盖公章。</w:t>
      </w:r>
    </w:p>
    <w:p w14:paraId="680DDFB0">
      <w:pPr>
        <w:wordWrap/>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2</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lang w:val="zh-CN"/>
        </w:rPr>
        <w:t>.5本次竞争性磋商进行2轮次报价。</w:t>
      </w:r>
      <w:r>
        <w:rPr>
          <w:rFonts w:hint="eastAsia" w:ascii="仿宋_GB2312" w:hAnsi="仿宋_GB2312" w:eastAsia="仿宋_GB2312" w:cs="仿宋_GB2312"/>
          <w:color w:val="auto"/>
          <w:sz w:val="28"/>
          <w:szCs w:val="28"/>
          <w:highlight w:val="none"/>
          <w:lang w:val="zh-CN" w:eastAsia="zh-CN"/>
        </w:rPr>
        <w:t>磋商</w:t>
      </w:r>
      <w:r>
        <w:rPr>
          <w:rFonts w:hint="eastAsia" w:ascii="仿宋_GB2312" w:hAnsi="仿宋_GB2312" w:eastAsia="仿宋_GB2312" w:cs="仿宋_GB2312"/>
          <w:color w:val="auto"/>
          <w:sz w:val="28"/>
          <w:szCs w:val="28"/>
          <w:highlight w:val="none"/>
          <w:lang w:val="zh-CN"/>
        </w:rPr>
        <w:t>小组可根据</w:t>
      </w:r>
      <w:r>
        <w:rPr>
          <w:rFonts w:hint="eastAsia" w:ascii="仿宋_GB2312" w:hAnsi="仿宋_GB2312" w:eastAsia="仿宋_GB2312" w:cs="仿宋_GB2312"/>
          <w:color w:val="auto"/>
          <w:sz w:val="28"/>
          <w:szCs w:val="28"/>
          <w:highlight w:val="none"/>
          <w:lang w:val="zh-CN" w:eastAsia="zh-CN"/>
        </w:rPr>
        <w:t>磋商</w:t>
      </w:r>
      <w:r>
        <w:rPr>
          <w:rFonts w:hint="eastAsia" w:ascii="仿宋_GB2312" w:hAnsi="仿宋_GB2312" w:eastAsia="仿宋_GB2312" w:cs="仿宋_GB2312"/>
          <w:color w:val="auto"/>
          <w:sz w:val="28"/>
          <w:szCs w:val="28"/>
          <w:highlight w:val="none"/>
          <w:lang w:val="zh-CN"/>
        </w:rPr>
        <w:t>情况增加</w:t>
      </w:r>
      <w:r>
        <w:rPr>
          <w:rFonts w:hint="eastAsia" w:ascii="仿宋_GB2312" w:hAnsi="仿宋_GB2312" w:eastAsia="仿宋_GB2312" w:cs="仿宋_GB2312"/>
          <w:color w:val="auto"/>
          <w:sz w:val="28"/>
          <w:szCs w:val="28"/>
          <w:highlight w:val="none"/>
          <w:lang w:val="zh-CN" w:eastAsia="zh-CN"/>
        </w:rPr>
        <w:t>磋商</w:t>
      </w:r>
      <w:r>
        <w:rPr>
          <w:rFonts w:hint="eastAsia" w:ascii="仿宋_GB2312" w:hAnsi="仿宋_GB2312" w:eastAsia="仿宋_GB2312" w:cs="仿宋_GB2312"/>
          <w:color w:val="auto"/>
          <w:sz w:val="28"/>
          <w:szCs w:val="28"/>
          <w:highlight w:val="none"/>
          <w:lang w:val="zh-CN"/>
        </w:rPr>
        <w:t>轮数（不超过3轮次），但应给予所有参加</w:t>
      </w:r>
      <w:r>
        <w:rPr>
          <w:rFonts w:hint="eastAsia" w:ascii="仿宋_GB2312" w:hAnsi="仿宋_GB2312" w:eastAsia="仿宋_GB2312" w:cs="仿宋_GB2312"/>
          <w:color w:val="auto"/>
          <w:sz w:val="28"/>
          <w:szCs w:val="28"/>
          <w:highlight w:val="none"/>
          <w:lang w:val="zh-CN" w:eastAsia="zh-CN"/>
        </w:rPr>
        <w:t>磋商</w:t>
      </w:r>
      <w:r>
        <w:rPr>
          <w:rFonts w:hint="eastAsia" w:ascii="仿宋_GB2312" w:hAnsi="仿宋_GB2312" w:eastAsia="仿宋_GB2312" w:cs="仿宋_GB2312"/>
          <w:color w:val="auto"/>
          <w:sz w:val="28"/>
          <w:szCs w:val="28"/>
          <w:highlight w:val="none"/>
          <w:lang w:val="zh-CN"/>
        </w:rPr>
        <w:t>的供应商平等的</w:t>
      </w:r>
      <w:r>
        <w:rPr>
          <w:rFonts w:hint="eastAsia" w:ascii="仿宋_GB2312" w:hAnsi="仿宋_GB2312" w:eastAsia="仿宋_GB2312" w:cs="仿宋_GB2312"/>
          <w:color w:val="auto"/>
          <w:sz w:val="28"/>
          <w:szCs w:val="28"/>
          <w:highlight w:val="none"/>
          <w:lang w:val="zh-CN" w:eastAsia="zh-CN"/>
        </w:rPr>
        <w:t>磋商</w:t>
      </w:r>
      <w:r>
        <w:rPr>
          <w:rFonts w:hint="eastAsia" w:ascii="仿宋_GB2312" w:hAnsi="仿宋_GB2312" w:eastAsia="仿宋_GB2312" w:cs="仿宋_GB2312"/>
          <w:color w:val="auto"/>
          <w:sz w:val="28"/>
          <w:szCs w:val="28"/>
          <w:highlight w:val="none"/>
          <w:lang w:val="zh-CN"/>
        </w:rPr>
        <w:t>机会。响应性文件中报价为第一轮次报价，以后轮次报价不得高于上一轮次报价（除竞争性磋商文件有实质性变动外），否则将被视为未实质性响应竞争性磋商文件。供应商应当对竞争性磋商的每轮次报价</w:t>
      </w:r>
      <w:r>
        <w:rPr>
          <w:rFonts w:hint="eastAsia" w:ascii="仿宋_GB2312" w:hAnsi="仿宋_GB2312" w:eastAsia="仿宋_GB2312" w:cs="仿宋_GB2312"/>
          <w:color w:val="auto"/>
          <w:sz w:val="28"/>
          <w:szCs w:val="28"/>
          <w:highlight w:val="none"/>
          <w:lang w:val="zh-CN" w:eastAsia="zh-CN"/>
        </w:rPr>
        <w:t>在焦作市公共资源交易平台进行确认</w:t>
      </w:r>
      <w:r>
        <w:rPr>
          <w:rFonts w:hint="eastAsia" w:ascii="仿宋_GB2312" w:hAnsi="仿宋_GB2312" w:eastAsia="仿宋_GB2312" w:cs="仿宋_GB2312"/>
          <w:b/>
          <w:bCs/>
          <w:color w:val="auto"/>
          <w:sz w:val="28"/>
          <w:szCs w:val="28"/>
          <w:highlight w:val="none"/>
          <w:lang w:val="zh-CN"/>
        </w:rPr>
        <w:t>，</w:t>
      </w:r>
      <w:r>
        <w:rPr>
          <w:rFonts w:hint="eastAsia" w:ascii="仿宋_GB2312" w:hAnsi="仿宋_GB2312" w:eastAsia="仿宋_GB2312" w:cs="仿宋_GB2312"/>
          <w:color w:val="auto"/>
          <w:sz w:val="28"/>
          <w:szCs w:val="28"/>
          <w:highlight w:val="none"/>
          <w:lang w:val="zh-CN"/>
        </w:rPr>
        <w:t>在规定的时限内递交给竞争性磋商小组，竞争性磋商报价以供应商的最后一轮次报价为准。</w:t>
      </w:r>
      <w:r>
        <w:rPr>
          <w:rFonts w:hint="eastAsia" w:ascii="仿宋_GB2312" w:hAnsi="仿宋_GB2312" w:eastAsia="仿宋_GB2312" w:cs="仿宋_GB2312"/>
          <w:b/>
          <w:bCs/>
          <w:color w:val="auto"/>
          <w:sz w:val="28"/>
          <w:szCs w:val="28"/>
          <w:highlight w:val="none"/>
          <w:lang w:val="zh-CN" w:eastAsia="zh-CN"/>
        </w:rPr>
        <w:t>未在规定时间提供最后报价，由供应商自行承担相关责任。</w:t>
      </w:r>
    </w:p>
    <w:p w14:paraId="7A49C8CD">
      <w:pPr>
        <w:wordWrap/>
        <w:snapToGrid/>
        <w:spacing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zh-CN"/>
        </w:rPr>
        <w:t>2</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lang w:val="zh-CN"/>
        </w:rPr>
        <w:t>.6竞争性磋商结束后，竞争性磋商小组应当要求所有参加竞争性磋商的供</w:t>
      </w:r>
      <w:r>
        <w:rPr>
          <w:rFonts w:hint="eastAsia" w:ascii="仿宋_GB2312" w:hAnsi="仿宋_GB2312" w:eastAsia="仿宋_GB2312" w:cs="仿宋_GB2312"/>
          <w:color w:val="auto"/>
          <w:sz w:val="28"/>
          <w:szCs w:val="28"/>
          <w:highlight w:val="none"/>
        </w:rPr>
        <w:t>应商在规定的时间内进行最后报价，竞争性磋商报价以供应商的最后报价为准。</w:t>
      </w:r>
    </w:p>
    <w:p w14:paraId="725202B7">
      <w:pPr>
        <w:spacing w:line="560" w:lineRule="exact"/>
        <w:ind w:firstLine="560" w:firstLineChars="200"/>
        <w:jc w:val="both"/>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.7</w:t>
      </w:r>
      <w:r>
        <w:rPr>
          <w:rFonts w:hint="eastAsia" w:ascii="仿宋_GB2312" w:hAnsi="仿宋_GB2312" w:eastAsia="仿宋_GB2312" w:cs="仿宋_GB2312"/>
          <w:color w:val="auto"/>
          <w:sz w:val="28"/>
          <w:szCs w:val="28"/>
          <w:highlight w:val="none"/>
          <w:lang w:val="en-US" w:eastAsia="zh-CN"/>
        </w:rPr>
        <w:t>根据《关于推动解决政府采购异常低价问题的通知》（财库〔2026〕2号），政府采购评审中出现下列情形之一的，评审委员会应当启动异常低价投标（响应）审查程序：（一）投标（响应）报价低于全部通过符合性审查供应商投标（响应）报价平均值65%的，即投标（响应）报价&lt;全部通过符合性审查供应商投标（响应）报价平均值×65%；</w:t>
      </w:r>
    </w:p>
    <w:p w14:paraId="0FCAA3B9">
      <w:pPr>
        <w:spacing w:line="560" w:lineRule="exact"/>
        <w:ind w:firstLine="560" w:firstLineChars="200"/>
        <w:jc w:val="both"/>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（二）投标（响应）报价低于通过符合性审查的次低报价供应商投标（响应）报价65%的，即投标（响应）报价&lt;通过符合性审查的次低报价供应商投标（响应）报价×65%；</w:t>
      </w:r>
    </w:p>
    <w:p w14:paraId="5928F315">
      <w:pPr>
        <w:spacing w:line="560" w:lineRule="exact"/>
        <w:ind w:firstLine="560" w:firstLineChars="200"/>
        <w:jc w:val="both"/>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（三）投标（响应）报价低于采购项目最高限价65%的，即投标（响应）报价&lt;采购项目最高限价×65%；</w:t>
      </w:r>
    </w:p>
    <w:p w14:paraId="10F72901">
      <w:pPr>
        <w:spacing w:line="560" w:lineRule="exact"/>
        <w:ind w:firstLine="560" w:firstLineChars="200"/>
        <w:jc w:val="both"/>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（四）评审委员会基于专业判断，认为供应商报价过低，有可能影响产品质量或者不能诚信履约的其他情形。</w:t>
      </w:r>
    </w:p>
    <w:p w14:paraId="62333685">
      <w:pPr>
        <w:spacing w:line="560" w:lineRule="exact"/>
        <w:ind w:firstLine="560" w:firstLineChars="200"/>
        <w:jc w:val="both"/>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w:t>
      </w:r>
    </w:p>
    <w:p w14:paraId="11599D85">
      <w:pPr>
        <w:wordWrap/>
        <w:snapToGrid/>
        <w:spacing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如果投标（响应）供应商不提供书面说明、证明材料，或者提供的书面说明、证明材料不能证明其报价合理性的，应当将其作为无效投标（响应）处理。审查相关情况应当在评审报告中记录</w:t>
      </w:r>
      <w:r>
        <w:rPr>
          <w:rFonts w:hint="eastAsia" w:ascii="仿宋_GB2312" w:hAnsi="仿宋_GB2312" w:eastAsia="仿宋_GB2312" w:cs="仿宋_GB2312"/>
          <w:color w:val="auto"/>
          <w:sz w:val="28"/>
          <w:szCs w:val="28"/>
          <w:highlight w:val="none"/>
        </w:rPr>
        <w:t>。</w:t>
      </w:r>
    </w:p>
    <w:p w14:paraId="01E79479">
      <w:pPr>
        <w:wordWrap/>
        <w:snapToGrid/>
        <w:spacing w:line="56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.8已提交响应性文件的供应商，在提交最后报价之前，可以根据竞争性磋商情况退出竞争性磋商。</w:t>
      </w:r>
    </w:p>
    <w:p w14:paraId="34C031EE">
      <w:pPr>
        <w:wordWrap/>
        <w:snapToGrid/>
        <w:spacing w:line="560" w:lineRule="exact"/>
        <w:jc w:val="center"/>
        <w:textAlignment w:val="auto"/>
        <w:rPr>
          <w:rFonts w:ascii="宋体" w:hAnsi="宋体" w:cs="宋体"/>
          <w:b/>
          <w:color w:val="auto"/>
          <w:sz w:val="28"/>
          <w:szCs w:val="28"/>
          <w:highlight w:val="none"/>
        </w:rPr>
      </w:pPr>
      <w:r>
        <w:rPr>
          <w:rFonts w:hint="eastAsia" w:ascii="宋体" w:hAnsi="宋体" w:cs="宋体"/>
          <w:b/>
          <w:color w:val="auto"/>
          <w:sz w:val="28"/>
          <w:szCs w:val="28"/>
          <w:highlight w:val="none"/>
        </w:rPr>
        <w:t>六、评定标准</w:t>
      </w:r>
    </w:p>
    <w:p w14:paraId="41CD0DCD">
      <w:pPr>
        <w:wordWrap/>
        <w:snapToGrid/>
        <w:spacing w:line="560" w:lineRule="exact"/>
        <w:ind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2</w:t>
      </w:r>
      <w:r>
        <w:rPr>
          <w:rFonts w:hint="eastAsia" w:ascii="仿宋_GB2312" w:hAnsi="仿宋_GB2312" w:eastAsia="仿宋_GB2312" w:cs="仿宋_GB2312"/>
          <w:b/>
          <w:color w:val="auto"/>
          <w:sz w:val="28"/>
          <w:szCs w:val="28"/>
          <w:highlight w:val="none"/>
          <w:lang w:val="en-US" w:eastAsia="zh-CN"/>
        </w:rPr>
        <w:t>4</w:t>
      </w:r>
      <w:r>
        <w:rPr>
          <w:rFonts w:hint="eastAsia" w:ascii="仿宋_GB2312" w:hAnsi="仿宋_GB2312" w:eastAsia="仿宋_GB2312" w:cs="仿宋_GB2312"/>
          <w:b/>
          <w:color w:val="auto"/>
          <w:sz w:val="28"/>
          <w:szCs w:val="28"/>
          <w:highlight w:val="none"/>
        </w:rPr>
        <w:t>.竞争性磋商过程及保密原则</w:t>
      </w:r>
    </w:p>
    <w:p w14:paraId="3937BE5C">
      <w:pPr>
        <w:wordWrap/>
        <w:snapToGrid/>
        <w:spacing w:line="560" w:lineRule="exact"/>
        <w:ind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w:t>
      </w:r>
      <w:r>
        <w:rPr>
          <w:rFonts w:hint="eastAsia" w:ascii="仿宋_GB2312" w:hAnsi="仿宋_GB2312" w:eastAsia="仿宋_GB2312" w:cs="仿宋_GB2312"/>
          <w:bCs/>
          <w:color w:val="auto"/>
          <w:sz w:val="28"/>
          <w:szCs w:val="28"/>
          <w:highlight w:val="none"/>
          <w:lang w:val="en-US" w:eastAsia="zh-CN"/>
        </w:rPr>
        <w:t>4</w:t>
      </w:r>
      <w:r>
        <w:rPr>
          <w:rFonts w:hint="eastAsia" w:ascii="仿宋_GB2312" w:hAnsi="仿宋_GB2312" w:eastAsia="仿宋_GB2312" w:cs="仿宋_GB2312"/>
          <w:bCs/>
          <w:color w:val="auto"/>
          <w:sz w:val="28"/>
          <w:szCs w:val="28"/>
          <w:highlight w:val="none"/>
        </w:rPr>
        <w:t>.1经磋商确定最终采购需求和提交最后报价的供应商后，由磋商小组采用综合评分法对提交最后报价的供应商的响应文件和最后报价进行综合评分。</w:t>
      </w:r>
    </w:p>
    <w:p w14:paraId="15ABB999">
      <w:pPr>
        <w:wordWrap/>
        <w:snapToGrid/>
        <w:spacing w:line="560" w:lineRule="exact"/>
        <w:ind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w:t>
      </w:r>
      <w:r>
        <w:rPr>
          <w:rFonts w:hint="eastAsia" w:ascii="仿宋_GB2312" w:hAnsi="仿宋_GB2312" w:eastAsia="仿宋_GB2312" w:cs="仿宋_GB2312"/>
          <w:bCs/>
          <w:color w:val="auto"/>
          <w:sz w:val="28"/>
          <w:szCs w:val="28"/>
          <w:highlight w:val="none"/>
          <w:lang w:val="en-US" w:eastAsia="zh-CN"/>
        </w:rPr>
        <w:t>4</w:t>
      </w:r>
      <w:r>
        <w:rPr>
          <w:rFonts w:hint="eastAsia" w:ascii="仿宋_GB2312" w:hAnsi="仿宋_GB2312" w:eastAsia="仿宋_GB2312" w:cs="仿宋_GB2312"/>
          <w:bCs/>
          <w:color w:val="auto"/>
          <w:sz w:val="28"/>
          <w:szCs w:val="28"/>
          <w:highlight w:val="none"/>
        </w:rPr>
        <w:t>.2综合评分法，是指相应文件满足磋商文件全部实质性要求且按评审因素的量化指标评审得分最高的供应商为成交候选供应商的评审方法。</w:t>
      </w:r>
    </w:p>
    <w:p w14:paraId="2A5C00B6">
      <w:pPr>
        <w:pStyle w:val="42"/>
        <w:tabs>
          <w:tab w:val="left" w:pos="-900"/>
          <w:tab w:val="clear" w:pos="709"/>
        </w:tabs>
        <w:wordWrap/>
        <w:snapToGrid/>
        <w:spacing w:line="560" w:lineRule="exact"/>
        <w:ind w:left="0" w:firstLine="560" w:firstLineChars="200"/>
        <w:textAlignment w:val="auto"/>
        <w:rPr>
          <w:rFonts w:ascii="仿宋_GB2312" w:eastAsia="仿宋_GB2312"/>
          <w:color w:val="auto"/>
          <w:sz w:val="28"/>
          <w:szCs w:val="28"/>
          <w:highlight w:val="none"/>
        </w:rPr>
      </w:pPr>
      <w:r>
        <w:rPr>
          <w:rFonts w:hint="eastAsia" w:ascii="仿宋_GB2312" w:hAnsi="仿宋_GB2312" w:eastAsia="仿宋_GB2312" w:cs="仿宋_GB2312"/>
          <w:bCs/>
          <w:color w:val="auto"/>
          <w:sz w:val="28"/>
          <w:szCs w:val="28"/>
          <w:highlight w:val="none"/>
        </w:rPr>
        <w:t>2</w:t>
      </w:r>
      <w:r>
        <w:rPr>
          <w:rFonts w:hint="eastAsia" w:ascii="仿宋_GB2312" w:hAnsi="仿宋_GB2312" w:eastAsia="仿宋_GB2312" w:cs="仿宋_GB2312"/>
          <w:bCs/>
          <w:color w:val="auto"/>
          <w:sz w:val="28"/>
          <w:szCs w:val="28"/>
          <w:highlight w:val="none"/>
          <w:lang w:val="en-US" w:eastAsia="zh-CN"/>
        </w:rPr>
        <w:t>4</w:t>
      </w:r>
      <w:r>
        <w:rPr>
          <w:rFonts w:hint="eastAsia" w:ascii="仿宋_GB2312" w:hAnsi="仿宋_GB2312" w:eastAsia="仿宋_GB2312" w:cs="仿宋_GB2312"/>
          <w:bCs/>
          <w:color w:val="auto"/>
          <w:sz w:val="28"/>
          <w:szCs w:val="28"/>
          <w:highlight w:val="none"/>
        </w:rPr>
        <w:t xml:space="preserve">.3 </w:t>
      </w:r>
      <w:r>
        <w:rPr>
          <w:rFonts w:hint="eastAsia" w:ascii="仿宋_GB2312" w:eastAsia="仿宋_GB2312"/>
          <w:color w:val="auto"/>
          <w:sz w:val="28"/>
          <w:szCs w:val="28"/>
          <w:highlight w:val="none"/>
        </w:rPr>
        <w:t>本项目采用综合评分法，总分为</w:t>
      </w:r>
      <w:r>
        <w:rPr>
          <w:rFonts w:hint="eastAsia" w:ascii="仿宋_GB2312" w:eastAsia="仿宋_GB2312"/>
          <w:color w:val="auto"/>
          <w:sz w:val="28"/>
          <w:szCs w:val="28"/>
          <w:highlight w:val="none"/>
          <w:u w:val="single"/>
        </w:rPr>
        <w:t>100</w:t>
      </w:r>
      <w:r>
        <w:rPr>
          <w:rFonts w:hint="eastAsia" w:ascii="仿宋_GB2312" w:eastAsia="仿宋_GB2312"/>
          <w:color w:val="auto"/>
          <w:sz w:val="28"/>
          <w:szCs w:val="28"/>
          <w:highlight w:val="none"/>
        </w:rPr>
        <w:t>分。</w:t>
      </w:r>
    </w:p>
    <w:p w14:paraId="4FE6EFF7">
      <w:pPr>
        <w:pStyle w:val="42"/>
        <w:tabs>
          <w:tab w:val="left" w:pos="-900"/>
          <w:tab w:val="clear" w:pos="709"/>
        </w:tabs>
        <w:wordWrap/>
        <w:snapToGrid/>
        <w:spacing w:line="560" w:lineRule="exact"/>
        <w:ind w:left="0" w:firstLine="560" w:firstLineChars="200"/>
        <w:textAlignment w:val="auto"/>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2</w:t>
      </w:r>
      <w:r>
        <w:rPr>
          <w:rFonts w:hint="eastAsia" w:ascii="仿宋_GB2312" w:eastAsia="仿宋_GB2312"/>
          <w:color w:val="auto"/>
          <w:sz w:val="28"/>
          <w:szCs w:val="28"/>
          <w:highlight w:val="none"/>
          <w:lang w:val="en-US" w:eastAsia="zh-CN"/>
        </w:rPr>
        <w:t>4</w:t>
      </w:r>
      <w:r>
        <w:rPr>
          <w:rFonts w:hint="eastAsia" w:ascii="仿宋_GB2312" w:eastAsia="仿宋_GB2312"/>
          <w:color w:val="auto"/>
          <w:sz w:val="28"/>
          <w:szCs w:val="28"/>
          <w:highlight w:val="none"/>
        </w:rPr>
        <w:t>.4评分标准和内容</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
        <w:gridCol w:w="1045"/>
        <w:gridCol w:w="950"/>
        <w:gridCol w:w="5620"/>
      </w:tblGrid>
      <w:tr w14:paraId="10462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2" w:type="pct"/>
            <w:tcBorders>
              <w:top w:val="single" w:color="auto" w:sz="4" w:space="0"/>
              <w:left w:val="single" w:color="auto" w:sz="4" w:space="0"/>
              <w:bottom w:val="single" w:color="auto" w:sz="4" w:space="0"/>
              <w:right w:val="single" w:color="auto" w:sz="4" w:space="0"/>
            </w:tcBorders>
            <w:vAlign w:val="center"/>
          </w:tcPr>
          <w:p w14:paraId="06E093B4">
            <w:pPr>
              <w:ind w:firstLine="28"/>
              <w:jc w:val="center"/>
              <w:rPr>
                <w:rFonts w:ascii="宋体" w:hAnsi="宋体" w:cs="宋体"/>
                <w:bCs/>
                <w:color w:val="auto"/>
                <w:sz w:val="21"/>
                <w:szCs w:val="21"/>
              </w:rPr>
            </w:pPr>
            <w:r>
              <w:rPr>
                <w:rFonts w:hint="eastAsia" w:ascii="宋体" w:hAnsi="宋体" w:cs="宋体"/>
                <w:bCs/>
                <w:color w:val="auto"/>
                <w:sz w:val="21"/>
                <w:szCs w:val="21"/>
              </w:rPr>
              <w:t>序号</w:t>
            </w:r>
          </w:p>
        </w:tc>
        <w:tc>
          <w:tcPr>
            <w:tcW w:w="613" w:type="pct"/>
            <w:tcBorders>
              <w:top w:val="single" w:color="auto" w:sz="4" w:space="0"/>
              <w:left w:val="single" w:color="auto" w:sz="4" w:space="0"/>
              <w:bottom w:val="single" w:color="auto" w:sz="4" w:space="0"/>
              <w:right w:val="single" w:color="auto" w:sz="4" w:space="0"/>
            </w:tcBorders>
            <w:vAlign w:val="center"/>
          </w:tcPr>
          <w:p w14:paraId="1DCB972E">
            <w:pPr>
              <w:ind w:firstLine="28"/>
              <w:jc w:val="center"/>
              <w:rPr>
                <w:rFonts w:ascii="宋体" w:hAnsi="宋体" w:cs="宋体"/>
                <w:bCs/>
                <w:color w:val="auto"/>
                <w:sz w:val="21"/>
                <w:szCs w:val="21"/>
              </w:rPr>
            </w:pPr>
            <w:r>
              <w:rPr>
                <w:rFonts w:hint="eastAsia" w:ascii="宋体" w:hAnsi="宋体" w:cs="宋体"/>
                <w:bCs/>
                <w:color w:val="auto"/>
                <w:sz w:val="21"/>
                <w:szCs w:val="21"/>
              </w:rPr>
              <w:t>评分因素</w:t>
            </w:r>
          </w:p>
        </w:tc>
        <w:tc>
          <w:tcPr>
            <w:tcW w:w="557" w:type="pct"/>
            <w:tcBorders>
              <w:top w:val="single" w:color="auto" w:sz="4" w:space="0"/>
              <w:left w:val="single" w:color="auto" w:sz="4" w:space="0"/>
              <w:bottom w:val="single" w:color="auto" w:sz="4" w:space="0"/>
              <w:right w:val="single" w:color="auto" w:sz="4" w:space="0"/>
            </w:tcBorders>
            <w:vAlign w:val="center"/>
          </w:tcPr>
          <w:p w14:paraId="13AC8752">
            <w:pPr>
              <w:ind w:firstLine="28"/>
              <w:jc w:val="center"/>
              <w:rPr>
                <w:rFonts w:ascii="宋体" w:hAnsi="宋体" w:cs="宋体"/>
                <w:bCs/>
                <w:color w:val="auto"/>
                <w:sz w:val="21"/>
                <w:szCs w:val="21"/>
              </w:rPr>
            </w:pPr>
            <w:r>
              <w:rPr>
                <w:rFonts w:hint="eastAsia" w:ascii="宋体" w:hAnsi="宋体" w:cs="宋体"/>
                <w:bCs/>
                <w:color w:val="auto"/>
                <w:sz w:val="21"/>
                <w:szCs w:val="21"/>
              </w:rPr>
              <w:t>分值</w:t>
            </w:r>
          </w:p>
        </w:tc>
        <w:tc>
          <w:tcPr>
            <w:tcW w:w="3296" w:type="pct"/>
            <w:tcBorders>
              <w:top w:val="single" w:color="auto" w:sz="4" w:space="0"/>
              <w:left w:val="single" w:color="auto" w:sz="4" w:space="0"/>
              <w:bottom w:val="single" w:color="auto" w:sz="4" w:space="0"/>
              <w:right w:val="single" w:color="auto" w:sz="4" w:space="0"/>
            </w:tcBorders>
            <w:vAlign w:val="center"/>
          </w:tcPr>
          <w:p w14:paraId="3201FE36">
            <w:pPr>
              <w:ind w:firstLine="28"/>
              <w:jc w:val="center"/>
              <w:rPr>
                <w:rFonts w:ascii="宋体" w:hAnsi="宋体" w:cs="宋体"/>
                <w:bCs/>
                <w:color w:val="auto"/>
                <w:sz w:val="21"/>
                <w:szCs w:val="21"/>
              </w:rPr>
            </w:pPr>
            <w:r>
              <w:rPr>
                <w:rFonts w:hint="eastAsia" w:ascii="宋体" w:hAnsi="宋体" w:cs="宋体"/>
                <w:bCs/>
                <w:color w:val="auto"/>
                <w:sz w:val="21"/>
                <w:szCs w:val="21"/>
              </w:rPr>
              <w:t>评分标准</w:t>
            </w:r>
          </w:p>
        </w:tc>
      </w:tr>
      <w:tr w14:paraId="146E6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2" w:type="pct"/>
            <w:tcBorders>
              <w:top w:val="single" w:color="auto" w:sz="4" w:space="0"/>
              <w:left w:val="single" w:color="auto" w:sz="4" w:space="0"/>
              <w:bottom w:val="single" w:color="auto" w:sz="4" w:space="0"/>
              <w:right w:val="single" w:color="auto" w:sz="4" w:space="0"/>
            </w:tcBorders>
            <w:vAlign w:val="center"/>
          </w:tcPr>
          <w:p w14:paraId="61428D31">
            <w:pPr>
              <w:ind w:firstLine="28"/>
              <w:jc w:val="center"/>
              <w:rPr>
                <w:rFonts w:ascii="宋体" w:hAnsi="宋体" w:cs="宋体"/>
                <w:bCs/>
                <w:color w:val="auto"/>
                <w:sz w:val="21"/>
                <w:szCs w:val="21"/>
              </w:rPr>
            </w:pPr>
            <w:r>
              <w:rPr>
                <w:rFonts w:hint="eastAsia" w:ascii="宋体" w:hAnsi="宋体" w:cs="宋体"/>
                <w:bCs/>
                <w:color w:val="auto"/>
                <w:sz w:val="21"/>
                <w:szCs w:val="21"/>
              </w:rPr>
              <w:t>1</w:t>
            </w:r>
          </w:p>
        </w:tc>
        <w:tc>
          <w:tcPr>
            <w:tcW w:w="613" w:type="pct"/>
            <w:tcBorders>
              <w:top w:val="single" w:color="auto" w:sz="4" w:space="0"/>
              <w:left w:val="single" w:color="auto" w:sz="4" w:space="0"/>
              <w:bottom w:val="single" w:color="auto" w:sz="4" w:space="0"/>
              <w:right w:val="single" w:color="auto" w:sz="4" w:space="0"/>
            </w:tcBorders>
            <w:vAlign w:val="center"/>
          </w:tcPr>
          <w:p w14:paraId="37AB3317">
            <w:pPr>
              <w:ind w:firstLine="28"/>
              <w:jc w:val="center"/>
              <w:rPr>
                <w:rFonts w:ascii="宋体" w:hAnsi="宋体" w:cs="宋体"/>
                <w:bCs/>
                <w:color w:val="auto"/>
                <w:sz w:val="21"/>
                <w:szCs w:val="21"/>
              </w:rPr>
            </w:pPr>
            <w:r>
              <w:rPr>
                <w:rFonts w:hint="eastAsia" w:ascii="宋体" w:hAnsi="宋体" w:cs="宋体"/>
                <w:bCs/>
                <w:color w:val="auto"/>
                <w:sz w:val="21"/>
                <w:szCs w:val="21"/>
              </w:rPr>
              <w:t xml:space="preserve">报价 </w:t>
            </w:r>
          </w:p>
        </w:tc>
        <w:tc>
          <w:tcPr>
            <w:tcW w:w="557" w:type="pct"/>
            <w:tcBorders>
              <w:top w:val="single" w:color="auto" w:sz="4" w:space="0"/>
              <w:left w:val="single" w:color="auto" w:sz="4" w:space="0"/>
              <w:bottom w:val="single" w:color="auto" w:sz="4" w:space="0"/>
              <w:right w:val="single" w:color="auto" w:sz="4" w:space="0"/>
            </w:tcBorders>
            <w:vAlign w:val="center"/>
          </w:tcPr>
          <w:p w14:paraId="0BDCA1AF">
            <w:pPr>
              <w:ind w:firstLine="28"/>
              <w:jc w:val="center"/>
              <w:rPr>
                <w:rFonts w:ascii="宋体" w:hAnsi="宋体" w:cs="宋体"/>
                <w:bCs/>
                <w:color w:val="auto"/>
                <w:sz w:val="21"/>
                <w:szCs w:val="21"/>
              </w:rPr>
            </w:pPr>
            <w:r>
              <w:rPr>
                <w:rFonts w:hint="eastAsia" w:ascii="宋体" w:hAnsi="宋体" w:cs="宋体"/>
                <w:bCs/>
                <w:color w:val="auto"/>
                <w:sz w:val="21"/>
                <w:szCs w:val="21"/>
              </w:rPr>
              <w:t>30</w:t>
            </w:r>
          </w:p>
        </w:tc>
        <w:tc>
          <w:tcPr>
            <w:tcW w:w="3296" w:type="pct"/>
            <w:tcBorders>
              <w:top w:val="single" w:color="auto" w:sz="4" w:space="0"/>
              <w:left w:val="single" w:color="auto" w:sz="4" w:space="0"/>
              <w:bottom w:val="single" w:color="auto" w:sz="4" w:space="0"/>
              <w:right w:val="single" w:color="auto" w:sz="4" w:space="0"/>
            </w:tcBorders>
            <w:vAlign w:val="center"/>
          </w:tcPr>
          <w:p w14:paraId="1963A99A">
            <w:pPr>
              <w:snapToGrid w:val="0"/>
              <w:spacing w:line="360" w:lineRule="exact"/>
              <w:jc w:val="left"/>
              <w:rPr>
                <w:rFonts w:hint="eastAsia" w:ascii="宋体" w:hAnsi="宋体" w:eastAsia="宋体"/>
                <w:color w:val="auto"/>
                <w:sz w:val="21"/>
                <w:highlight w:val="none"/>
              </w:rPr>
            </w:pPr>
            <w:r>
              <w:rPr>
                <w:rFonts w:hint="eastAsia" w:ascii="宋体" w:hAnsi="宋体" w:eastAsia="宋体"/>
                <w:color w:val="auto"/>
                <w:sz w:val="21"/>
                <w:highlight w:val="none"/>
              </w:rPr>
              <w:t>价格分统一采用低价优先法计算，满足</w:t>
            </w:r>
            <w:r>
              <w:rPr>
                <w:rFonts w:hint="eastAsia" w:ascii="宋体" w:hAnsi="宋体" w:eastAsia="宋体"/>
                <w:color w:val="auto"/>
                <w:sz w:val="21"/>
                <w:highlight w:val="none"/>
                <w:lang w:val="en-US" w:eastAsia="zh-CN"/>
              </w:rPr>
              <w:t>磋商</w:t>
            </w:r>
            <w:r>
              <w:rPr>
                <w:rFonts w:hint="eastAsia" w:ascii="宋体" w:hAnsi="宋体" w:eastAsia="宋体"/>
                <w:color w:val="auto"/>
                <w:sz w:val="21"/>
                <w:highlight w:val="none"/>
              </w:rPr>
              <w:t>文件要求且（通过资格性审查和符合性审查）最后报价最低的供应商的价格为磋商基准价，其价格分为满分</w:t>
            </w:r>
            <w:r>
              <w:rPr>
                <w:rFonts w:hint="eastAsia" w:ascii="宋体" w:hAnsi="宋体" w:eastAsia="宋体"/>
                <w:color w:val="auto"/>
                <w:sz w:val="21"/>
                <w:highlight w:val="none"/>
                <w:lang w:val="en-US" w:eastAsia="zh-CN"/>
              </w:rPr>
              <w:t>30</w:t>
            </w:r>
            <w:r>
              <w:rPr>
                <w:rFonts w:hint="eastAsia" w:ascii="宋体" w:hAnsi="宋体" w:eastAsia="宋体"/>
                <w:color w:val="auto"/>
                <w:sz w:val="21"/>
                <w:highlight w:val="none"/>
              </w:rPr>
              <w:t>分。</w:t>
            </w:r>
          </w:p>
          <w:p w14:paraId="0ABB421C">
            <w:pPr>
              <w:snapToGrid w:val="0"/>
              <w:spacing w:line="360" w:lineRule="exact"/>
              <w:jc w:val="left"/>
              <w:rPr>
                <w:rFonts w:hint="eastAsia" w:ascii="宋体" w:hAnsi="宋体" w:eastAsia="宋体"/>
                <w:color w:val="auto"/>
                <w:sz w:val="21"/>
                <w:highlight w:val="none"/>
              </w:rPr>
            </w:pPr>
            <w:r>
              <w:rPr>
                <w:rFonts w:hint="eastAsia" w:ascii="宋体" w:hAnsi="宋体" w:eastAsia="宋体"/>
                <w:color w:val="auto"/>
                <w:sz w:val="21"/>
                <w:highlight w:val="none"/>
              </w:rPr>
              <w:t>其他供应商的价格分统一按照下列公式计算：</w:t>
            </w:r>
          </w:p>
          <w:p w14:paraId="63C395C6">
            <w:pPr>
              <w:snapToGrid w:val="0"/>
              <w:spacing w:line="360" w:lineRule="exact"/>
              <w:jc w:val="left"/>
              <w:rPr>
                <w:rFonts w:hint="eastAsia" w:ascii="宋体" w:hAnsi="宋体" w:eastAsia="宋体"/>
                <w:color w:val="auto"/>
                <w:sz w:val="21"/>
                <w:highlight w:val="none"/>
              </w:rPr>
            </w:pPr>
            <w:r>
              <w:rPr>
                <w:rFonts w:hint="eastAsia" w:ascii="宋体" w:hAnsi="宋体" w:eastAsia="宋体"/>
                <w:color w:val="auto"/>
                <w:sz w:val="21"/>
                <w:highlight w:val="none"/>
              </w:rPr>
              <w:t>磋商报价得分=(磋商基准价／最后磋商报价)×</w:t>
            </w:r>
            <w:r>
              <w:rPr>
                <w:rFonts w:hint="eastAsia" w:ascii="宋体" w:hAnsi="宋体" w:eastAsia="宋体"/>
                <w:color w:val="auto"/>
                <w:sz w:val="21"/>
                <w:highlight w:val="none"/>
                <w:lang w:val="en-US" w:eastAsia="zh-CN"/>
              </w:rPr>
              <w:t>30</w:t>
            </w:r>
            <w:r>
              <w:rPr>
                <w:rFonts w:hint="eastAsia" w:ascii="宋体" w:hAnsi="宋体" w:eastAsia="宋体"/>
                <w:color w:val="auto"/>
                <w:sz w:val="21"/>
                <w:highlight w:val="none"/>
              </w:rPr>
              <w:t>，计算过程按四舍五入，保留两位小数。</w:t>
            </w:r>
          </w:p>
          <w:p w14:paraId="6B1B2752">
            <w:pPr>
              <w:snapToGrid w:val="0"/>
              <w:rPr>
                <w:rFonts w:hint="eastAsia" w:ascii="宋体" w:hAnsi="宋体" w:eastAsia="宋体" w:cs="Times New Roman"/>
                <w:color w:val="auto"/>
                <w:sz w:val="21"/>
                <w:highlight w:val="none"/>
              </w:rPr>
            </w:pPr>
            <w:r>
              <w:rPr>
                <w:rFonts w:hint="eastAsia" w:ascii="宋体" w:hAnsi="宋体" w:eastAsia="宋体"/>
                <w:color w:val="auto"/>
                <w:sz w:val="21"/>
                <w:highlight w:val="none"/>
              </w:rPr>
              <w:t>注：</w:t>
            </w:r>
            <w:r>
              <w:rPr>
                <w:rFonts w:hint="eastAsia" w:ascii="宋体" w:hAnsi="宋体" w:cs="Times New Roman"/>
                <w:color w:val="auto"/>
                <w:sz w:val="21"/>
                <w:highlight w:val="none"/>
                <w:lang w:val="en-US" w:eastAsia="zh-CN"/>
              </w:rPr>
              <w:t>1</w:t>
            </w:r>
            <w:r>
              <w:rPr>
                <w:rFonts w:hint="eastAsia" w:ascii="宋体" w:hAnsi="宋体" w:eastAsia="宋体" w:cs="Times New Roman"/>
                <w:color w:val="auto"/>
                <w:sz w:val="21"/>
                <w:highlight w:val="none"/>
              </w:rPr>
              <w:t>.政府采购活动中既有本国产品又有非本国产品参与竞争的，依法对本国产品给予价格评审优惠，对本国产品的报价给予20%的价格扣除，用扣除后的价格参与评审。（仅有本国产品参与竞争的政府采购项目，本国产品不享受价格扣除评审优惠）</w:t>
            </w:r>
          </w:p>
          <w:p w14:paraId="2DBBE977">
            <w:pPr>
              <w:snapToGrid w:val="0"/>
              <w:spacing w:line="360" w:lineRule="exact"/>
              <w:jc w:val="left"/>
              <w:rPr>
                <w:rFonts w:hint="eastAsia"/>
                <w:color w:val="auto"/>
                <w:highlight w:val="none"/>
              </w:rPr>
            </w:pPr>
            <w:r>
              <w:rPr>
                <w:rFonts w:hint="eastAsia" w:ascii="宋体" w:hAnsi="宋体" w:cs="Times New Roman"/>
                <w:color w:val="auto"/>
                <w:sz w:val="21"/>
                <w:highlight w:val="none"/>
                <w:lang w:val="en-US" w:eastAsia="zh-CN"/>
              </w:rPr>
              <w:t>2</w:t>
            </w:r>
            <w:r>
              <w:rPr>
                <w:rFonts w:hint="eastAsia" w:ascii="宋体" w:hAnsi="宋体" w:eastAsia="宋体" w:cs="Times New Roman"/>
                <w:color w:val="auto"/>
                <w:sz w:val="21"/>
                <w:highlight w:val="none"/>
                <w:lang w:val="en-US" w:eastAsia="zh-CN"/>
              </w:rPr>
              <w:t>.</w:t>
            </w:r>
            <w:r>
              <w:rPr>
                <w:rFonts w:hint="eastAsia"/>
                <w:color w:val="auto"/>
                <w:highlight w:val="none"/>
              </w:rPr>
              <w:t>根据《焦作市财政局关于印发&lt;优化政府采购营商环境39 项举措&gt;的通知》属于优先采购的产品，给予一定的价格扣除参与价格分评审。供应商所投品种属于政府优先采购节能产品、环境标志产品的，每有一种品种给予价格0.5%的扣除，</w:t>
            </w:r>
            <w:r>
              <w:rPr>
                <w:rFonts w:hint="eastAsia" w:ascii="Times New Roman" w:hAnsi="Times New Roman" w:eastAsia="宋体" w:cs="Times New Roman"/>
                <w:color w:val="auto"/>
                <w:highlight w:val="none"/>
              </w:rPr>
              <w:t>最多给予价格1%的扣除</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用扣</w:t>
            </w:r>
            <w:r>
              <w:rPr>
                <w:rFonts w:hint="eastAsia"/>
                <w:color w:val="auto"/>
                <w:highlight w:val="none"/>
              </w:rPr>
              <w:t>除后的价格参与评审。</w:t>
            </w:r>
          </w:p>
          <w:p w14:paraId="088F2B20">
            <w:pPr>
              <w:snapToGrid w:val="0"/>
              <w:spacing w:line="360" w:lineRule="exact"/>
              <w:jc w:val="left"/>
              <w:rPr>
                <w:rFonts w:hint="eastAsia"/>
                <w:color w:val="auto"/>
                <w:highlight w:val="none"/>
              </w:rPr>
            </w:pPr>
            <w:r>
              <w:rPr>
                <w:rFonts w:hint="eastAsia"/>
                <w:color w:val="auto"/>
                <w:highlight w:val="none"/>
                <w:lang w:val="en-US" w:eastAsia="zh-CN"/>
              </w:rPr>
              <w:t>3.</w:t>
            </w:r>
            <w:r>
              <w:rPr>
                <w:rFonts w:hint="eastAsia"/>
                <w:color w:val="auto"/>
                <w:highlight w:val="none"/>
              </w:rPr>
              <w:t>对于同时获得节能产品和环境标志产品认证证书产品，只给予其中一种认证证书产品价格扣除，不重复给予价格扣除。</w:t>
            </w:r>
          </w:p>
          <w:p w14:paraId="2D263CA3">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left"/>
              <w:textAlignment w:val="baseline"/>
              <w:outlineLvl w:val="9"/>
              <w:rPr>
                <w:rFonts w:ascii="宋体" w:hAnsi="宋体" w:cs="宋体"/>
                <w:bCs/>
                <w:color w:val="auto"/>
                <w:sz w:val="21"/>
                <w:szCs w:val="21"/>
                <w:lang w:eastAsia="zh-CN"/>
              </w:rPr>
            </w:pPr>
            <w:r>
              <w:rPr>
                <w:rFonts w:hint="eastAsia"/>
                <w:color w:val="auto"/>
                <w:highlight w:val="none"/>
              </w:rPr>
              <w:t>备注：供应商应提供国家公布的认证机构出具的处于有效期之内的节能产品、环境标志产品认证证书。</w:t>
            </w:r>
          </w:p>
        </w:tc>
      </w:tr>
      <w:tr w14:paraId="3808B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2" w:type="pct"/>
            <w:tcBorders>
              <w:top w:val="single" w:color="auto" w:sz="4" w:space="0"/>
              <w:left w:val="single" w:color="auto" w:sz="4" w:space="0"/>
              <w:bottom w:val="single" w:color="auto" w:sz="4" w:space="0"/>
              <w:right w:val="single" w:color="auto" w:sz="4" w:space="0"/>
            </w:tcBorders>
            <w:vAlign w:val="center"/>
          </w:tcPr>
          <w:p w14:paraId="11C1535C">
            <w:pPr>
              <w:snapToGrid w:val="0"/>
              <w:spacing w:line="360" w:lineRule="exact"/>
              <w:jc w:val="center"/>
              <w:rPr>
                <w:rFonts w:hint="eastAsia" w:ascii="Times New Roman" w:hAnsi="Times New Roman" w:eastAsia="宋体" w:cs="Times New Roman"/>
                <w:color w:val="auto"/>
                <w:highlight w:val="none"/>
              </w:rPr>
            </w:pPr>
            <w:bookmarkStart w:id="2" w:name="OLE_LINK7" w:colFirst="0" w:colLast="2"/>
            <w:r>
              <w:rPr>
                <w:rFonts w:hint="eastAsia" w:ascii="Times New Roman" w:hAnsi="Times New Roman" w:eastAsia="宋体" w:cs="Times New Roman"/>
                <w:color w:val="auto"/>
                <w:highlight w:val="none"/>
              </w:rPr>
              <w:t>2</w:t>
            </w:r>
          </w:p>
        </w:tc>
        <w:tc>
          <w:tcPr>
            <w:tcW w:w="1045" w:type="dxa"/>
            <w:tcBorders>
              <w:top w:val="single" w:color="auto" w:sz="4" w:space="0"/>
              <w:left w:val="single" w:color="auto" w:sz="4" w:space="0"/>
              <w:bottom w:val="single" w:color="auto" w:sz="4" w:space="0"/>
              <w:right w:val="single" w:color="auto" w:sz="4" w:space="0"/>
            </w:tcBorders>
            <w:vAlign w:val="center"/>
          </w:tcPr>
          <w:p w14:paraId="6DE889BB">
            <w:pPr>
              <w:snapToGrid w:val="0"/>
              <w:spacing w:line="36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技术指标</w:t>
            </w:r>
          </w:p>
        </w:tc>
        <w:tc>
          <w:tcPr>
            <w:tcW w:w="950" w:type="dxa"/>
            <w:tcBorders>
              <w:top w:val="single" w:color="auto" w:sz="4" w:space="0"/>
              <w:left w:val="single" w:color="auto" w:sz="4" w:space="0"/>
              <w:bottom w:val="single" w:color="auto" w:sz="4" w:space="0"/>
              <w:right w:val="single" w:color="auto" w:sz="4" w:space="0"/>
            </w:tcBorders>
            <w:vAlign w:val="center"/>
          </w:tcPr>
          <w:p w14:paraId="0555DD7E">
            <w:pPr>
              <w:snapToGrid w:val="0"/>
              <w:spacing w:line="36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35</w:t>
            </w:r>
          </w:p>
        </w:tc>
        <w:tc>
          <w:tcPr>
            <w:tcW w:w="5620" w:type="dxa"/>
            <w:tcBorders>
              <w:top w:val="single" w:color="auto" w:sz="4" w:space="0"/>
              <w:left w:val="single" w:color="auto" w:sz="4" w:space="0"/>
              <w:bottom w:val="single" w:color="auto" w:sz="4" w:space="0"/>
              <w:right w:val="single" w:color="auto" w:sz="4" w:space="0"/>
            </w:tcBorders>
            <w:vAlign w:val="center"/>
          </w:tcPr>
          <w:p w14:paraId="661DE8DB">
            <w:pPr>
              <w:snapToGrid w:val="0"/>
              <w:spacing w:line="360" w:lineRule="exact"/>
              <w:jc w:val="lef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根据响应文件对竞争性磋商文件技术参数的响应情况进行打分，本项满分</w:t>
            </w:r>
            <w:r>
              <w:rPr>
                <w:rFonts w:hint="eastAsia" w:ascii="Times New Roman" w:hAnsi="Times New Roman" w:eastAsia="宋体" w:cs="Times New Roman"/>
                <w:color w:val="auto"/>
                <w:highlight w:val="none"/>
                <w:lang w:val="en-US" w:eastAsia="zh-CN"/>
              </w:rPr>
              <w:t>35</w:t>
            </w:r>
            <w:r>
              <w:rPr>
                <w:rFonts w:hint="eastAsia" w:ascii="Times New Roman" w:hAnsi="Times New Roman" w:eastAsia="宋体" w:cs="Times New Roman"/>
                <w:color w:val="auto"/>
                <w:highlight w:val="none"/>
              </w:rPr>
              <w:t>分：</w:t>
            </w:r>
          </w:p>
          <w:p w14:paraId="313B6288">
            <w:pPr>
              <w:snapToGrid w:val="0"/>
              <w:spacing w:line="360" w:lineRule="exact"/>
              <w:jc w:val="lef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 全部技术参数完全满足竞争性磋商文件要求，且按磋商文件要求提供全部对应证明文件的，得</w:t>
            </w:r>
            <w:r>
              <w:rPr>
                <w:rFonts w:hint="eastAsia" w:ascii="Times New Roman" w:hAnsi="Times New Roman" w:eastAsia="宋体" w:cs="Times New Roman"/>
                <w:color w:val="auto"/>
                <w:highlight w:val="none"/>
                <w:lang w:val="en-US" w:eastAsia="zh-CN"/>
              </w:rPr>
              <w:t>35</w:t>
            </w:r>
            <w:r>
              <w:rPr>
                <w:rFonts w:hint="eastAsia" w:ascii="Times New Roman" w:hAnsi="Times New Roman" w:eastAsia="宋体" w:cs="Times New Roman"/>
                <w:color w:val="auto"/>
                <w:highlight w:val="none"/>
              </w:rPr>
              <w:t xml:space="preserve">分； </w:t>
            </w:r>
          </w:p>
          <w:p w14:paraId="2FA50207">
            <w:pPr>
              <w:snapToGrid w:val="0"/>
              <w:spacing w:line="360" w:lineRule="exact"/>
              <w:jc w:val="lef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 技术参数中标注“★”号的参数为重要参数</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每一项负偏离扣</w:t>
            </w:r>
            <w:r>
              <w:rPr>
                <w:rFonts w:hint="eastAsia"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rPr>
              <w:t>分</w:t>
            </w:r>
            <w:r>
              <w:rPr>
                <w:rFonts w:hint="eastAsia" w:ascii="Times New Roman" w:hAnsi="Times New Roman" w:eastAsia="宋体" w:cs="Times New Roman"/>
                <w:color w:val="auto"/>
                <w:highlight w:val="none"/>
                <w:lang w:eastAsia="zh-CN"/>
              </w:rPr>
              <w:t>，技术参数中未标注“★”的为一般参数，每一项负偏离扣</w:t>
            </w:r>
            <w:r>
              <w:rPr>
                <w:rFonts w:hint="eastAsia" w:ascii="Times New Roman" w:hAnsi="Times New Roman" w:eastAsia="宋体" w:cs="Times New Roman"/>
                <w:color w:val="auto"/>
                <w:highlight w:val="none"/>
                <w:lang w:val="en-US" w:eastAsia="zh-CN"/>
              </w:rPr>
              <w:t>0.5</w:t>
            </w:r>
            <w:r>
              <w:rPr>
                <w:rFonts w:hint="eastAsia" w:ascii="Times New Roman" w:hAnsi="Times New Roman" w:eastAsia="宋体" w:cs="Times New Roman"/>
                <w:color w:val="auto"/>
                <w:highlight w:val="none"/>
                <w:lang w:eastAsia="zh-CN"/>
              </w:rPr>
              <w:t>分，扣完为止</w:t>
            </w:r>
            <w:r>
              <w:rPr>
                <w:rFonts w:hint="eastAsia" w:ascii="Times New Roman" w:hAnsi="Times New Roman" w:eastAsia="宋体" w:cs="Times New Roman"/>
                <w:color w:val="auto"/>
                <w:highlight w:val="none"/>
              </w:rPr>
              <w:t>。</w:t>
            </w:r>
          </w:p>
          <w:p w14:paraId="12C9729F">
            <w:pPr>
              <w:snapToGrid w:val="0"/>
              <w:spacing w:line="360" w:lineRule="exact"/>
              <w:jc w:val="lef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说明：</w:t>
            </w:r>
          </w:p>
          <w:p w14:paraId="6DB52C45">
            <w:pPr>
              <w:snapToGrid w:val="0"/>
              <w:spacing w:line="360" w:lineRule="exact"/>
              <w:jc w:val="left"/>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1、同一产品同一技术参数出现多处重复项的，仅按单次偏离判定扣分，不重复累计扣分</w:t>
            </w:r>
            <w:r>
              <w:rPr>
                <w:rFonts w:hint="eastAsia" w:ascii="Times New Roman" w:hAnsi="Times New Roman" w:eastAsia="宋体" w:cs="Times New Roman"/>
                <w:color w:val="auto"/>
                <w:highlight w:val="none"/>
                <w:lang w:eastAsia="zh-CN"/>
              </w:rPr>
              <w:t>；</w:t>
            </w:r>
          </w:p>
          <w:p w14:paraId="0E56172E">
            <w:pPr>
              <w:snapToGrid w:val="0"/>
              <w:spacing w:line="360" w:lineRule="exact"/>
              <w:jc w:val="lef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2、技术参数中要求提供证明材料的，以</w:t>
            </w:r>
            <w:r>
              <w:rPr>
                <w:rFonts w:hint="eastAsia" w:ascii="Times New Roman" w:hAnsi="Times New Roman" w:eastAsia="宋体" w:cs="Times New Roman"/>
                <w:color w:val="auto"/>
                <w:highlight w:val="none"/>
                <w:lang w:eastAsia="zh-CN"/>
              </w:rPr>
              <w:t>供应商</w:t>
            </w:r>
            <w:r>
              <w:rPr>
                <w:rFonts w:hint="eastAsia" w:ascii="Times New Roman" w:hAnsi="Times New Roman" w:eastAsia="宋体" w:cs="Times New Roman"/>
                <w:color w:val="auto"/>
                <w:highlight w:val="none"/>
              </w:rPr>
              <w:t>提供的有效证明材料为准，不提供证明材料或证明材料不符合技术参数要求的视为</w:t>
            </w:r>
            <w:r>
              <w:rPr>
                <w:rFonts w:hint="eastAsia" w:ascii="Times New Roman" w:hAnsi="Times New Roman" w:eastAsia="宋体" w:cs="Times New Roman"/>
                <w:color w:val="auto"/>
                <w:highlight w:val="none"/>
                <w:lang w:val="en-US" w:eastAsia="zh-CN"/>
              </w:rPr>
              <w:t>负偏离</w:t>
            </w:r>
            <w:r>
              <w:rPr>
                <w:rFonts w:hint="eastAsia" w:ascii="Times New Roman" w:hAnsi="Times New Roman" w:eastAsia="宋体" w:cs="Times New Roman"/>
                <w:color w:val="auto"/>
                <w:highlight w:val="none"/>
              </w:rPr>
              <w:t>。</w:t>
            </w:r>
          </w:p>
        </w:tc>
      </w:tr>
      <w:bookmarkEnd w:id="2"/>
      <w:tr w14:paraId="10E52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2" w:type="pct"/>
            <w:tcBorders>
              <w:top w:val="single" w:color="auto" w:sz="4" w:space="0"/>
              <w:left w:val="single" w:color="auto" w:sz="4" w:space="0"/>
              <w:bottom w:val="single" w:color="auto" w:sz="4" w:space="0"/>
              <w:right w:val="single" w:color="auto" w:sz="4" w:space="0"/>
            </w:tcBorders>
            <w:vAlign w:val="center"/>
          </w:tcPr>
          <w:p w14:paraId="38BD9C95">
            <w:pPr>
              <w:snapToGrid w:val="0"/>
              <w:spacing w:line="360" w:lineRule="exact"/>
              <w:jc w:val="center"/>
              <w:rPr>
                <w:rFonts w:hint="eastAsia" w:ascii="Times New Roman" w:hAnsi="Times New Roman" w:eastAsia="宋体" w:cs="Times New Roman"/>
                <w:color w:val="auto"/>
                <w:highlight w:val="none"/>
              </w:rPr>
            </w:pPr>
            <w:bookmarkStart w:id="3" w:name="OLE_LINK11" w:colFirst="1" w:colLast="3"/>
            <w:r>
              <w:rPr>
                <w:rFonts w:hint="eastAsia" w:ascii="Times New Roman" w:hAnsi="Times New Roman" w:eastAsia="宋体" w:cs="Times New Roman"/>
                <w:color w:val="auto"/>
                <w:highlight w:val="none"/>
              </w:rPr>
              <w:t>3</w:t>
            </w:r>
          </w:p>
        </w:tc>
        <w:tc>
          <w:tcPr>
            <w:tcW w:w="613" w:type="pct"/>
            <w:tcBorders>
              <w:top w:val="single" w:color="auto" w:sz="4" w:space="0"/>
              <w:left w:val="single" w:color="auto" w:sz="4" w:space="0"/>
              <w:bottom w:val="single" w:color="auto" w:sz="4" w:space="0"/>
              <w:right w:val="single" w:color="auto" w:sz="4" w:space="0"/>
            </w:tcBorders>
            <w:vAlign w:val="center"/>
          </w:tcPr>
          <w:p w14:paraId="595D0AA2">
            <w:pPr>
              <w:snapToGrid w:val="0"/>
              <w:spacing w:line="36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实施组织方案</w:t>
            </w:r>
          </w:p>
        </w:tc>
        <w:tc>
          <w:tcPr>
            <w:tcW w:w="557" w:type="pct"/>
            <w:tcBorders>
              <w:top w:val="single" w:color="auto" w:sz="4" w:space="0"/>
              <w:left w:val="single" w:color="auto" w:sz="4" w:space="0"/>
              <w:bottom w:val="single" w:color="auto" w:sz="4" w:space="0"/>
              <w:right w:val="single" w:color="auto" w:sz="4" w:space="0"/>
            </w:tcBorders>
            <w:vAlign w:val="center"/>
          </w:tcPr>
          <w:p w14:paraId="7675981E">
            <w:pPr>
              <w:snapToGrid w:val="0"/>
              <w:spacing w:line="36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w:t>
            </w:r>
          </w:p>
        </w:tc>
        <w:tc>
          <w:tcPr>
            <w:tcW w:w="3296" w:type="pct"/>
            <w:tcBorders>
              <w:top w:val="single" w:color="auto" w:sz="4" w:space="0"/>
              <w:left w:val="single" w:color="auto" w:sz="4" w:space="0"/>
              <w:bottom w:val="single" w:color="auto" w:sz="4" w:space="0"/>
              <w:right w:val="single" w:color="auto" w:sz="4" w:space="0"/>
            </w:tcBorders>
            <w:vAlign w:val="center"/>
          </w:tcPr>
          <w:p w14:paraId="5D33639B">
            <w:pPr>
              <w:snapToGrid w:val="0"/>
              <w:spacing w:line="360" w:lineRule="exact"/>
              <w:jc w:val="left"/>
              <w:rPr>
                <w:rFonts w:hint="eastAsia" w:ascii="Times New Roman" w:hAnsi="Times New Roman" w:eastAsia="宋体" w:cs="Times New Roman"/>
                <w:color w:val="auto"/>
                <w:highlight w:val="none"/>
                <w:lang w:val="zh-TW" w:eastAsia="zh-TW"/>
              </w:rPr>
            </w:pPr>
            <w:r>
              <w:rPr>
                <w:rFonts w:hint="eastAsia" w:ascii="Times New Roman" w:hAnsi="Times New Roman" w:eastAsia="宋体" w:cs="Times New Roman"/>
                <w:color w:val="auto"/>
                <w:highlight w:val="none"/>
                <w:lang w:val="zh-TW" w:eastAsia="zh-CN"/>
              </w:rPr>
              <w:t>磋商小组</w:t>
            </w:r>
            <w:r>
              <w:rPr>
                <w:rFonts w:hint="eastAsia" w:ascii="Times New Roman" w:hAnsi="Times New Roman" w:eastAsia="宋体" w:cs="Times New Roman"/>
                <w:color w:val="auto"/>
                <w:highlight w:val="none"/>
                <w:lang w:val="zh-TW" w:eastAsia="zh-TW"/>
              </w:rPr>
              <w:t>根据</w:t>
            </w:r>
            <w:r>
              <w:rPr>
                <w:rFonts w:hint="eastAsia" w:ascii="Times New Roman" w:hAnsi="Times New Roman" w:eastAsia="宋体" w:cs="Times New Roman"/>
                <w:color w:val="auto"/>
                <w:highlight w:val="none"/>
                <w:lang w:val="zh-TW" w:eastAsia="zh-CN"/>
              </w:rPr>
              <w:t>供应商</w:t>
            </w:r>
            <w:r>
              <w:rPr>
                <w:rFonts w:hint="eastAsia" w:ascii="Times New Roman" w:hAnsi="Times New Roman" w:eastAsia="宋体" w:cs="Times New Roman"/>
                <w:color w:val="auto"/>
                <w:highlight w:val="none"/>
                <w:lang w:val="zh-TW" w:eastAsia="zh-TW"/>
              </w:rPr>
              <w:t>针对本项目提供的项目实施方案(包括但不限于：实施设计方案</w:t>
            </w:r>
            <w:r>
              <w:rPr>
                <w:rFonts w:hint="eastAsia" w:ascii="Times New Roman" w:hAnsi="Times New Roman" w:eastAsia="宋体" w:cs="Times New Roman"/>
                <w:color w:val="auto"/>
                <w:highlight w:val="none"/>
                <w:lang w:val="zh-TW" w:eastAsia="zh-CN"/>
              </w:rPr>
              <w:t>、</w:t>
            </w:r>
            <w:r>
              <w:rPr>
                <w:rFonts w:hint="eastAsia" w:ascii="Times New Roman" w:hAnsi="Times New Roman" w:eastAsia="宋体" w:cs="Times New Roman"/>
                <w:color w:val="auto"/>
                <w:highlight w:val="none"/>
                <w:lang w:val="zh-TW" w:eastAsia="zh-TW"/>
              </w:rPr>
              <w:t>工期</w:t>
            </w:r>
            <w:r>
              <w:rPr>
                <w:rFonts w:hint="eastAsia" w:ascii="Times New Roman" w:hAnsi="Times New Roman" w:eastAsia="宋体" w:cs="Times New Roman"/>
                <w:color w:val="auto"/>
                <w:highlight w:val="none"/>
                <w:lang w:val="zh-TW" w:eastAsia="zh-CN"/>
              </w:rPr>
              <w:t>计划、</w:t>
            </w:r>
            <w:r>
              <w:rPr>
                <w:rFonts w:hint="eastAsia" w:ascii="Times New Roman" w:hAnsi="Times New Roman" w:eastAsia="宋体" w:cs="Times New Roman"/>
                <w:color w:val="auto"/>
                <w:highlight w:val="none"/>
                <w:lang w:val="zh-TW" w:eastAsia="zh-TW"/>
              </w:rPr>
              <w:t>安装调试</w:t>
            </w:r>
            <w:r>
              <w:rPr>
                <w:rFonts w:hint="eastAsia" w:ascii="Times New Roman" w:hAnsi="Times New Roman" w:eastAsia="宋体" w:cs="Times New Roman"/>
                <w:color w:val="auto"/>
                <w:highlight w:val="none"/>
                <w:lang w:val="zh-TW" w:eastAsia="zh-CN"/>
              </w:rPr>
              <w:t>、</w:t>
            </w:r>
            <w:r>
              <w:rPr>
                <w:rFonts w:hint="eastAsia" w:ascii="Times New Roman" w:hAnsi="Times New Roman" w:eastAsia="宋体" w:cs="Times New Roman"/>
                <w:color w:val="auto"/>
                <w:highlight w:val="none"/>
                <w:lang w:val="zh-TW" w:eastAsia="zh-TW"/>
              </w:rPr>
              <w:t>安全质量保证措施</w:t>
            </w:r>
            <w:r>
              <w:rPr>
                <w:rFonts w:hint="eastAsia" w:ascii="Times New Roman" w:hAnsi="Times New Roman" w:eastAsia="宋体" w:cs="Times New Roman"/>
                <w:color w:val="auto"/>
                <w:highlight w:val="none"/>
                <w:lang w:val="zh-TW" w:eastAsia="zh-CN"/>
              </w:rPr>
              <w:t>、生产进度计划等</w:t>
            </w:r>
            <w:r>
              <w:rPr>
                <w:rFonts w:hint="eastAsia" w:ascii="Times New Roman" w:hAnsi="Times New Roman" w:eastAsia="宋体" w:cs="Times New Roman"/>
                <w:color w:val="auto"/>
                <w:highlight w:val="none"/>
                <w:lang w:val="zh-TW" w:eastAsia="zh-TW"/>
              </w:rPr>
              <w:t>)进行评审：</w:t>
            </w:r>
          </w:p>
          <w:p w14:paraId="5804D1D6">
            <w:pPr>
              <w:snapToGrid w:val="0"/>
              <w:spacing w:line="360" w:lineRule="exact"/>
              <w:jc w:val="left"/>
              <w:rPr>
                <w:rFonts w:hint="eastAsia" w:ascii="Times New Roman" w:hAnsi="Times New Roman" w:eastAsia="宋体" w:cs="Times New Roman"/>
                <w:color w:val="auto"/>
                <w:highlight w:val="none"/>
                <w:lang w:val="zh-TW" w:eastAsia="zh-TW"/>
              </w:rPr>
            </w:pPr>
            <w:r>
              <w:rPr>
                <w:rFonts w:hint="eastAsia" w:ascii="Times New Roman" w:hAnsi="Times New Roman" w:eastAsia="宋体" w:cs="Times New Roman"/>
                <w:color w:val="auto"/>
                <w:highlight w:val="none"/>
                <w:lang w:val="zh-TW" w:eastAsia="zh-TW"/>
              </w:rPr>
              <w:t>评价指标：</w:t>
            </w:r>
          </w:p>
          <w:p w14:paraId="6D1C1796">
            <w:pPr>
              <w:snapToGrid w:val="0"/>
              <w:spacing w:line="36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lang w:val="zh-TW" w:eastAsia="zh-TW"/>
              </w:rPr>
              <w:t>实施方案章节体系完整，覆盖项目全部工作内容，各工作环节步骤拆解详实、内容表述具体细化，工作流程衔接连贯，段落逻辑层级清晰，各项工作措施、实施步骤、管控环节、落地举措齐全完整</w:t>
            </w:r>
            <w:r>
              <w:rPr>
                <w:rFonts w:hint="eastAsia" w:ascii="Times New Roman" w:hAnsi="Times New Roman" w:eastAsia="宋体" w:cs="Times New Roman"/>
                <w:color w:val="auto"/>
                <w:highlight w:val="none"/>
                <w:lang w:val="en-US" w:eastAsia="zh-CN"/>
              </w:rPr>
              <w:t>，得15分；</w:t>
            </w:r>
          </w:p>
          <w:p w14:paraId="2AE7EE63">
            <w:pPr>
              <w:snapToGrid w:val="0"/>
              <w:spacing w:line="36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highlight w:val="none"/>
                <w:lang w:val="zh-TW" w:eastAsia="zh-TW"/>
              </w:rPr>
              <w:t>实施方案包含本项目所需全部核心工作内容，整体框架齐全、主要环节无缺失，但各板块内容表述偏概括、细节展开不足、环节拆解不够具体，内容深度有限</w:t>
            </w:r>
            <w:r>
              <w:rPr>
                <w:rFonts w:hint="eastAsia" w:ascii="Times New Roman" w:hAnsi="Times New Roman" w:eastAsia="宋体" w:cs="Times New Roman"/>
                <w:color w:val="auto"/>
                <w:highlight w:val="none"/>
                <w:lang w:val="en-US" w:eastAsia="zh-CN"/>
              </w:rPr>
              <w:t>，得10分；</w:t>
            </w:r>
          </w:p>
          <w:p w14:paraId="2606C49F">
            <w:pPr>
              <w:snapToGrid w:val="0"/>
              <w:spacing w:line="360" w:lineRule="exact"/>
              <w:jc w:val="left"/>
              <w:rPr>
                <w:rFonts w:hint="eastAsia" w:ascii="Times New Roman" w:hAnsi="Times New Roman" w:eastAsia="宋体" w:cs="Times New Roman"/>
                <w:color w:val="auto"/>
                <w:highlight w:val="none"/>
                <w:lang w:val="zh-TW" w:eastAsia="zh-CN"/>
              </w:rPr>
            </w:pPr>
            <w:r>
              <w:rPr>
                <w:rFonts w:hint="eastAsia"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lang w:val="zh-TW" w:eastAsia="zh-TW"/>
              </w:rPr>
              <w:t>实施方案仅罗列基础框架，核心工作环节阐述粗浅，内容细化程度不足，工作流程、实施举措、环节安排存在多处缺漏，整体内容完善度不足</w:t>
            </w:r>
            <w:r>
              <w:rPr>
                <w:rFonts w:hint="eastAsia" w:ascii="Times New Roman" w:hAnsi="Times New Roman" w:eastAsia="宋体" w:cs="Times New Roman"/>
                <w:color w:val="auto"/>
                <w:highlight w:val="none"/>
                <w:lang w:val="zh-TW" w:eastAsia="zh-CN"/>
              </w:rPr>
              <w:t>，得</w:t>
            </w:r>
            <w:r>
              <w:rPr>
                <w:rFonts w:hint="eastAsia" w:ascii="Times New Roman" w:hAnsi="Times New Roman" w:eastAsia="宋体" w:cs="Times New Roman"/>
                <w:color w:val="auto"/>
                <w:highlight w:val="none"/>
                <w:lang w:val="en-US" w:eastAsia="zh-CN"/>
              </w:rPr>
              <w:t>5</w:t>
            </w:r>
            <w:r>
              <w:rPr>
                <w:rFonts w:hint="eastAsia" w:ascii="Times New Roman" w:hAnsi="Times New Roman" w:eastAsia="宋体" w:cs="Times New Roman"/>
                <w:color w:val="auto"/>
                <w:highlight w:val="none"/>
                <w:lang w:val="zh-TW" w:eastAsia="zh-CN"/>
              </w:rPr>
              <w:t>分。</w:t>
            </w:r>
          </w:p>
          <w:p w14:paraId="4EAA20E1">
            <w:pPr>
              <w:snapToGrid w:val="0"/>
              <w:spacing w:line="360" w:lineRule="exact"/>
              <w:jc w:val="lef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4、</w:t>
            </w:r>
            <w:r>
              <w:rPr>
                <w:rFonts w:hint="eastAsia" w:ascii="Times New Roman" w:hAnsi="Times New Roman" w:eastAsia="宋体" w:cs="Times New Roman"/>
                <w:color w:val="auto"/>
                <w:highlight w:val="none"/>
                <w:lang w:val="zh-TW" w:eastAsia="zh-TW"/>
              </w:rPr>
              <w:t>无实施方案不得分。</w:t>
            </w:r>
          </w:p>
        </w:tc>
      </w:tr>
      <w:tr w14:paraId="6B29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2" w:type="pct"/>
            <w:tcBorders>
              <w:top w:val="single" w:color="auto" w:sz="4" w:space="0"/>
              <w:left w:val="single" w:color="auto" w:sz="4" w:space="0"/>
              <w:bottom w:val="single" w:color="auto" w:sz="4" w:space="0"/>
              <w:right w:val="single" w:color="auto" w:sz="4" w:space="0"/>
            </w:tcBorders>
            <w:vAlign w:val="center"/>
          </w:tcPr>
          <w:p w14:paraId="6E55F3F8">
            <w:pPr>
              <w:ind w:firstLine="28"/>
              <w:jc w:val="center"/>
              <w:rPr>
                <w:rFonts w:ascii="宋体" w:hAnsi="宋体" w:cs="宋体"/>
                <w:bCs/>
                <w:color w:val="auto"/>
                <w:sz w:val="21"/>
                <w:szCs w:val="21"/>
              </w:rPr>
            </w:pPr>
            <w:r>
              <w:rPr>
                <w:rFonts w:hint="eastAsia" w:ascii="宋体" w:hAnsi="宋体" w:cs="宋体"/>
                <w:bCs/>
                <w:color w:val="auto"/>
                <w:sz w:val="21"/>
                <w:szCs w:val="21"/>
              </w:rPr>
              <w:t>4</w:t>
            </w:r>
          </w:p>
        </w:tc>
        <w:tc>
          <w:tcPr>
            <w:tcW w:w="613" w:type="pct"/>
            <w:tcBorders>
              <w:top w:val="single" w:color="auto" w:sz="4" w:space="0"/>
              <w:left w:val="single" w:color="auto" w:sz="4" w:space="0"/>
              <w:bottom w:val="single" w:color="auto" w:sz="4" w:space="0"/>
              <w:right w:val="single" w:color="auto" w:sz="4" w:space="0"/>
            </w:tcBorders>
            <w:vAlign w:val="center"/>
          </w:tcPr>
          <w:p w14:paraId="4176D390">
            <w:pPr>
              <w:jc w:val="center"/>
              <w:rPr>
                <w:rFonts w:ascii="宋体" w:hAnsi="宋体"/>
                <w:color w:val="auto"/>
                <w:sz w:val="21"/>
                <w:szCs w:val="21"/>
              </w:rPr>
            </w:pPr>
            <w:r>
              <w:rPr>
                <w:rFonts w:hint="eastAsia" w:ascii="宋体" w:hAnsi="宋体" w:cs="宋体"/>
                <w:color w:val="auto"/>
                <w:sz w:val="21"/>
                <w:szCs w:val="21"/>
              </w:rPr>
              <w:t>供货方案</w:t>
            </w:r>
          </w:p>
        </w:tc>
        <w:tc>
          <w:tcPr>
            <w:tcW w:w="557" w:type="pct"/>
            <w:tcBorders>
              <w:top w:val="single" w:color="auto" w:sz="4" w:space="0"/>
              <w:left w:val="single" w:color="auto" w:sz="4" w:space="0"/>
              <w:bottom w:val="single" w:color="auto" w:sz="4" w:space="0"/>
              <w:right w:val="single" w:color="auto" w:sz="4" w:space="0"/>
            </w:tcBorders>
            <w:vAlign w:val="center"/>
          </w:tcPr>
          <w:p w14:paraId="33CBBC2F">
            <w:pPr>
              <w:widowControl/>
              <w:jc w:val="center"/>
              <w:rPr>
                <w:rFonts w:ascii="宋体" w:hAnsi="宋体" w:cs="宋体"/>
                <w:bCs/>
                <w:color w:val="auto"/>
                <w:sz w:val="21"/>
                <w:szCs w:val="21"/>
              </w:rPr>
            </w:pPr>
            <w:r>
              <w:rPr>
                <w:rFonts w:hint="eastAsia" w:ascii="宋体" w:hAnsi="宋体" w:cs="宋体"/>
                <w:bCs/>
                <w:color w:val="auto"/>
                <w:sz w:val="21"/>
                <w:szCs w:val="21"/>
              </w:rPr>
              <w:t>10</w:t>
            </w:r>
          </w:p>
        </w:tc>
        <w:tc>
          <w:tcPr>
            <w:tcW w:w="3296" w:type="pct"/>
            <w:tcBorders>
              <w:top w:val="single" w:color="auto" w:sz="4" w:space="0"/>
              <w:left w:val="single" w:color="auto" w:sz="4" w:space="0"/>
              <w:bottom w:val="single" w:color="auto" w:sz="4" w:space="0"/>
              <w:right w:val="single" w:color="auto" w:sz="4" w:space="0"/>
            </w:tcBorders>
            <w:vAlign w:val="center"/>
          </w:tcPr>
          <w:p w14:paraId="74E867F7">
            <w:pPr>
              <w:widowControl/>
              <w:jc w:val="left"/>
              <w:rPr>
                <w:rFonts w:ascii="宋体" w:hAnsi="宋体" w:cs="宋体"/>
                <w:bCs/>
                <w:color w:val="auto"/>
                <w:sz w:val="21"/>
                <w:szCs w:val="21"/>
              </w:rPr>
            </w:pPr>
            <w:r>
              <w:rPr>
                <w:rFonts w:hint="eastAsia" w:ascii="宋体" w:hAnsi="宋体" w:cs="宋体"/>
                <w:bCs/>
                <w:color w:val="auto"/>
                <w:sz w:val="21"/>
                <w:szCs w:val="21"/>
                <w:lang w:eastAsia="zh-CN"/>
              </w:rPr>
              <w:t>磋商小组</w:t>
            </w:r>
            <w:r>
              <w:rPr>
                <w:rFonts w:hint="eastAsia" w:ascii="宋体" w:hAnsi="宋体" w:cs="宋体"/>
                <w:bCs/>
                <w:color w:val="auto"/>
                <w:sz w:val="21"/>
                <w:szCs w:val="21"/>
              </w:rPr>
              <w:t>根据</w:t>
            </w:r>
            <w:r>
              <w:rPr>
                <w:rFonts w:hint="eastAsia" w:ascii="宋体" w:hAnsi="宋体" w:cs="宋体"/>
                <w:bCs/>
                <w:color w:val="auto"/>
                <w:sz w:val="21"/>
                <w:szCs w:val="21"/>
                <w:lang w:eastAsia="zh-CN"/>
              </w:rPr>
              <w:t>供应商</w:t>
            </w:r>
            <w:r>
              <w:rPr>
                <w:rFonts w:hint="eastAsia" w:ascii="宋体" w:hAnsi="宋体" w:cs="宋体"/>
                <w:bCs/>
                <w:color w:val="auto"/>
                <w:sz w:val="21"/>
                <w:szCs w:val="21"/>
              </w:rPr>
              <w:t>所提供的供货方案（包含但不限于生产、产品成品检验制度、运输、货物交接等部分内容）进行评审：</w:t>
            </w:r>
          </w:p>
          <w:p w14:paraId="712CAB82">
            <w:pPr>
              <w:widowControl/>
              <w:jc w:val="left"/>
              <w:rPr>
                <w:rFonts w:ascii="宋体" w:hAnsi="宋体" w:cs="宋体"/>
                <w:bCs/>
                <w:color w:val="auto"/>
                <w:sz w:val="21"/>
                <w:szCs w:val="21"/>
              </w:rPr>
            </w:pPr>
            <w:r>
              <w:rPr>
                <w:rFonts w:hint="eastAsia" w:ascii="宋体" w:hAnsi="宋体" w:cs="宋体"/>
                <w:bCs/>
                <w:color w:val="auto"/>
                <w:sz w:val="21"/>
                <w:szCs w:val="21"/>
              </w:rPr>
              <w:t>评价指标：</w:t>
            </w:r>
          </w:p>
          <w:p w14:paraId="16A6AC7F">
            <w:pPr>
              <w:widowControl/>
              <w:jc w:val="left"/>
              <w:rPr>
                <w:rFonts w:hint="eastAsia" w:ascii="宋体" w:hAnsi="宋体" w:cs="宋体"/>
                <w:bCs/>
                <w:color w:val="auto"/>
                <w:sz w:val="21"/>
                <w:szCs w:val="21"/>
                <w:lang w:val="en-US" w:eastAsia="zh-CN"/>
              </w:rPr>
            </w:pPr>
            <w:r>
              <w:rPr>
                <w:rFonts w:hint="eastAsia" w:ascii="宋体" w:hAnsi="宋体" w:cs="宋体"/>
                <w:bCs/>
                <w:color w:val="auto"/>
                <w:sz w:val="21"/>
                <w:szCs w:val="21"/>
                <w:lang w:val="en-US" w:eastAsia="zh-CN"/>
              </w:rPr>
              <w:t>1、供货方案覆盖全部要求事项，内容详实完整，框架条理清晰，得 10 分；</w:t>
            </w:r>
          </w:p>
          <w:p w14:paraId="5CA378A4">
            <w:pPr>
              <w:widowControl/>
              <w:jc w:val="left"/>
              <w:rPr>
                <w:rFonts w:hint="eastAsia" w:ascii="宋体" w:hAnsi="宋体" w:cs="宋体"/>
                <w:bCs/>
                <w:color w:val="auto"/>
                <w:sz w:val="21"/>
                <w:szCs w:val="21"/>
                <w:lang w:val="en-US" w:eastAsia="zh-CN"/>
              </w:rPr>
            </w:pPr>
            <w:r>
              <w:rPr>
                <w:rFonts w:hint="eastAsia" w:ascii="宋体" w:hAnsi="宋体" w:cs="宋体"/>
                <w:bCs/>
                <w:color w:val="auto"/>
                <w:sz w:val="21"/>
                <w:szCs w:val="21"/>
                <w:lang w:val="en-US" w:eastAsia="zh-CN"/>
              </w:rPr>
              <w:t>2、供货方案包含要求的基础事项，内容表述简略，相关细节阐述不足，得 7 分；</w:t>
            </w:r>
          </w:p>
          <w:p w14:paraId="36A54E9D">
            <w:pPr>
              <w:widowControl/>
              <w:jc w:val="left"/>
              <w:rPr>
                <w:rFonts w:hint="eastAsia" w:ascii="宋体" w:hAnsi="宋体" w:cs="宋体"/>
                <w:bCs/>
                <w:color w:val="auto"/>
                <w:sz w:val="21"/>
                <w:szCs w:val="21"/>
                <w:lang w:val="en-US" w:eastAsia="zh-CN"/>
              </w:rPr>
            </w:pPr>
            <w:r>
              <w:rPr>
                <w:rFonts w:hint="eastAsia" w:ascii="宋体" w:hAnsi="宋体" w:cs="宋体"/>
                <w:bCs/>
                <w:color w:val="auto"/>
                <w:sz w:val="21"/>
                <w:szCs w:val="21"/>
                <w:lang w:val="en-US" w:eastAsia="zh-CN"/>
              </w:rPr>
              <w:t>3、供货方案仅覆盖部分要求事项，内容表述单薄，多处内容缺失，需大量补充完善，得 5 分；</w:t>
            </w:r>
          </w:p>
          <w:p w14:paraId="4E7D0667">
            <w:pPr>
              <w:widowControl/>
              <w:jc w:val="left"/>
              <w:rPr>
                <w:rFonts w:ascii="宋体" w:hAnsi="宋体"/>
                <w:color w:val="auto"/>
                <w:sz w:val="21"/>
                <w:szCs w:val="21"/>
                <w:lang w:val="zh-TW" w:eastAsia="zh-TW"/>
              </w:rPr>
            </w:pPr>
            <w:r>
              <w:rPr>
                <w:rFonts w:hint="eastAsia" w:ascii="宋体" w:hAnsi="宋体" w:cs="宋体"/>
                <w:bCs/>
                <w:color w:val="auto"/>
                <w:sz w:val="21"/>
                <w:szCs w:val="21"/>
                <w:lang w:val="en-US" w:eastAsia="zh-CN"/>
              </w:rPr>
              <w:t>4、未提供供货方案，不得分。</w:t>
            </w:r>
          </w:p>
        </w:tc>
      </w:tr>
      <w:tr w14:paraId="3066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2" w:type="pct"/>
            <w:tcBorders>
              <w:top w:val="single" w:color="auto" w:sz="4" w:space="0"/>
              <w:left w:val="single" w:color="auto" w:sz="4" w:space="0"/>
              <w:bottom w:val="single" w:color="auto" w:sz="4" w:space="0"/>
              <w:right w:val="single" w:color="auto" w:sz="4" w:space="0"/>
            </w:tcBorders>
            <w:vAlign w:val="center"/>
          </w:tcPr>
          <w:p w14:paraId="27D4661E">
            <w:pPr>
              <w:ind w:firstLine="28"/>
              <w:jc w:val="center"/>
              <w:rPr>
                <w:rFonts w:ascii="宋体" w:hAnsi="宋体" w:cs="宋体"/>
                <w:bCs/>
                <w:color w:val="auto"/>
                <w:sz w:val="21"/>
                <w:szCs w:val="21"/>
              </w:rPr>
            </w:pPr>
            <w:r>
              <w:rPr>
                <w:rFonts w:hint="eastAsia" w:ascii="宋体" w:hAnsi="宋体" w:cs="宋体"/>
                <w:bCs/>
                <w:color w:val="auto"/>
                <w:sz w:val="21"/>
                <w:szCs w:val="21"/>
              </w:rPr>
              <w:t>5</w:t>
            </w:r>
          </w:p>
        </w:tc>
        <w:tc>
          <w:tcPr>
            <w:tcW w:w="613" w:type="pct"/>
            <w:tcBorders>
              <w:top w:val="single" w:color="auto" w:sz="4" w:space="0"/>
              <w:left w:val="single" w:color="auto" w:sz="4" w:space="0"/>
              <w:bottom w:val="single" w:color="auto" w:sz="4" w:space="0"/>
              <w:right w:val="single" w:color="auto" w:sz="4" w:space="0"/>
            </w:tcBorders>
            <w:vAlign w:val="center"/>
          </w:tcPr>
          <w:p w14:paraId="68AFBF8C">
            <w:pPr>
              <w:widowControl/>
              <w:jc w:val="center"/>
              <w:rPr>
                <w:rFonts w:ascii="宋体" w:hAnsi="宋体"/>
                <w:color w:val="auto"/>
                <w:sz w:val="21"/>
                <w:szCs w:val="21"/>
              </w:rPr>
            </w:pPr>
            <w:r>
              <w:rPr>
                <w:rFonts w:hint="eastAsia" w:ascii="宋体" w:hAnsi="宋体" w:cs="宋体"/>
                <w:bCs/>
                <w:color w:val="auto"/>
                <w:sz w:val="21"/>
                <w:szCs w:val="21"/>
              </w:rPr>
              <w:t>售后服务</w:t>
            </w:r>
          </w:p>
        </w:tc>
        <w:tc>
          <w:tcPr>
            <w:tcW w:w="557" w:type="pct"/>
            <w:tcBorders>
              <w:top w:val="single" w:color="auto" w:sz="4" w:space="0"/>
              <w:left w:val="single" w:color="auto" w:sz="4" w:space="0"/>
              <w:bottom w:val="single" w:color="auto" w:sz="4" w:space="0"/>
              <w:right w:val="single" w:color="auto" w:sz="4" w:space="0"/>
            </w:tcBorders>
            <w:vAlign w:val="center"/>
          </w:tcPr>
          <w:p w14:paraId="33443B83">
            <w:pPr>
              <w:widowControl/>
              <w:jc w:val="center"/>
              <w:rPr>
                <w:rFonts w:ascii="宋体" w:hAnsi="宋体" w:cs="宋体"/>
                <w:bCs/>
                <w:color w:val="auto"/>
                <w:sz w:val="21"/>
                <w:szCs w:val="21"/>
              </w:rPr>
            </w:pPr>
            <w:r>
              <w:rPr>
                <w:rFonts w:hint="eastAsia" w:ascii="宋体" w:hAnsi="宋体" w:cs="宋体"/>
                <w:bCs/>
                <w:color w:val="auto"/>
                <w:sz w:val="21"/>
                <w:szCs w:val="21"/>
              </w:rPr>
              <w:t>10</w:t>
            </w:r>
          </w:p>
        </w:tc>
        <w:tc>
          <w:tcPr>
            <w:tcW w:w="3296" w:type="pct"/>
            <w:tcBorders>
              <w:top w:val="single" w:color="auto" w:sz="4" w:space="0"/>
              <w:left w:val="single" w:color="auto" w:sz="4" w:space="0"/>
              <w:bottom w:val="single" w:color="auto" w:sz="4" w:space="0"/>
              <w:right w:val="single" w:color="auto" w:sz="4" w:space="0"/>
            </w:tcBorders>
            <w:vAlign w:val="center"/>
          </w:tcPr>
          <w:p w14:paraId="7FCBA259">
            <w:pPr>
              <w:widowControl/>
              <w:jc w:val="left"/>
              <w:rPr>
                <w:rFonts w:hint="eastAsia" w:ascii="宋体" w:hAnsi="宋体" w:eastAsia="宋体" w:cs="宋体"/>
                <w:bCs/>
                <w:color w:val="auto"/>
                <w:sz w:val="21"/>
                <w:szCs w:val="21"/>
              </w:rPr>
            </w:pPr>
            <w:r>
              <w:rPr>
                <w:rFonts w:hint="eastAsia" w:ascii="宋体" w:hAnsi="宋体" w:cs="宋体"/>
                <w:bCs/>
                <w:color w:val="auto"/>
                <w:sz w:val="21"/>
                <w:szCs w:val="21"/>
                <w:lang w:eastAsia="zh-CN"/>
              </w:rPr>
              <w:t>磋商小组</w:t>
            </w:r>
            <w:r>
              <w:rPr>
                <w:rFonts w:hint="eastAsia" w:ascii="宋体" w:hAnsi="宋体" w:cs="宋体"/>
                <w:bCs/>
                <w:color w:val="auto"/>
                <w:sz w:val="21"/>
                <w:szCs w:val="21"/>
              </w:rPr>
              <w:t>根据</w:t>
            </w:r>
            <w:r>
              <w:rPr>
                <w:rFonts w:hint="eastAsia" w:ascii="宋体" w:hAnsi="宋体" w:cs="宋体"/>
                <w:bCs/>
                <w:color w:val="auto"/>
                <w:sz w:val="21"/>
                <w:szCs w:val="21"/>
                <w:lang w:eastAsia="zh-CN"/>
              </w:rPr>
              <w:t>供应商</w:t>
            </w:r>
            <w:r>
              <w:rPr>
                <w:rFonts w:hint="eastAsia" w:ascii="宋体" w:hAnsi="宋体" w:cs="宋体"/>
                <w:bCs/>
                <w:color w:val="auto"/>
                <w:sz w:val="21"/>
                <w:szCs w:val="21"/>
              </w:rPr>
              <w:t>所提供的售后服务方案（包括但不限于：售后服务体系，售后服务内容及计划；售后服务保障质量措施；常见故障及解决方案；应急服务方案；质保期满后</w:t>
            </w:r>
            <w:r>
              <w:rPr>
                <w:rFonts w:hint="eastAsia" w:ascii="宋体" w:hAnsi="宋体" w:eastAsia="宋体" w:cs="宋体"/>
                <w:bCs/>
                <w:color w:val="auto"/>
                <w:sz w:val="21"/>
                <w:szCs w:val="21"/>
              </w:rPr>
              <w:t>保障措施等）进行评审：</w:t>
            </w:r>
          </w:p>
          <w:p w14:paraId="00ACB36B">
            <w:pPr>
              <w:widowControl/>
              <w:jc w:val="left"/>
              <w:rPr>
                <w:rFonts w:hint="eastAsia" w:ascii="宋体" w:hAnsi="宋体" w:eastAsia="宋体" w:cs="宋体"/>
                <w:bCs/>
                <w:color w:val="auto"/>
                <w:sz w:val="21"/>
                <w:szCs w:val="21"/>
              </w:rPr>
            </w:pPr>
            <w:r>
              <w:rPr>
                <w:rFonts w:hint="eastAsia" w:ascii="宋体" w:hAnsi="宋体" w:eastAsia="宋体" w:cs="宋体"/>
                <w:bCs/>
                <w:color w:val="auto"/>
                <w:sz w:val="21"/>
                <w:szCs w:val="21"/>
              </w:rPr>
              <w:t>评价指标：</w:t>
            </w:r>
          </w:p>
          <w:p w14:paraId="4E2E514A">
            <w:pPr>
              <w:pStyle w:val="12"/>
              <w:rPr>
                <w:rFonts w:hint="eastAsia" w:ascii="宋体" w:hAnsi="宋体" w:cs="宋体"/>
                <w:bCs/>
                <w:color w:val="auto"/>
                <w:sz w:val="21"/>
                <w:szCs w:val="21"/>
              </w:rPr>
            </w:pPr>
            <w:r>
              <w:rPr>
                <w:rFonts w:hint="eastAsia" w:ascii="宋体" w:hAnsi="宋体" w:cs="宋体"/>
                <w:bCs/>
                <w:color w:val="auto"/>
                <w:sz w:val="21"/>
                <w:szCs w:val="21"/>
              </w:rPr>
              <w:t>1、售后服务方案覆盖全部要求事项，内容详实完整，架构条理清晰，得10分；</w:t>
            </w:r>
          </w:p>
          <w:p w14:paraId="00BE48B2">
            <w:pPr>
              <w:pStyle w:val="12"/>
              <w:rPr>
                <w:rFonts w:hint="eastAsia" w:ascii="宋体" w:hAnsi="宋体" w:cs="宋体"/>
                <w:bCs/>
                <w:color w:val="auto"/>
                <w:sz w:val="21"/>
                <w:szCs w:val="21"/>
              </w:rPr>
            </w:pPr>
            <w:r>
              <w:rPr>
                <w:rFonts w:hint="eastAsia" w:ascii="宋体" w:hAnsi="宋体" w:cs="宋体"/>
                <w:bCs/>
                <w:color w:val="auto"/>
                <w:sz w:val="21"/>
                <w:szCs w:val="21"/>
              </w:rPr>
              <w:t>2、售后服务方案包含规定基础事项，内容表述简略，相关细节阐述不足，得 7 分；</w:t>
            </w:r>
          </w:p>
          <w:p w14:paraId="1B9B165C">
            <w:pPr>
              <w:pStyle w:val="12"/>
              <w:rPr>
                <w:rFonts w:hint="eastAsia" w:ascii="宋体" w:hAnsi="宋体" w:cs="宋体"/>
                <w:bCs/>
                <w:color w:val="auto"/>
                <w:sz w:val="21"/>
                <w:szCs w:val="21"/>
              </w:rPr>
            </w:pPr>
            <w:r>
              <w:rPr>
                <w:rFonts w:hint="eastAsia" w:ascii="宋体" w:hAnsi="宋体" w:cs="宋体"/>
                <w:bCs/>
                <w:color w:val="auto"/>
                <w:sz w:val="21"/>
                <w:szCs w:val="21"/>
              </w:rPr>
              <w:t>3、售后服务方案仅覆盖部分要求事项，内容表述单薄，多处内容存在缺失，需大量补充完善，得5分；</w:t>
            </w:r>
          </w:p>
          <w:p w14:paraId="3181AE8C">
            <w:pPr>
              <w:pStyle w:val="12"/>
              <w:rPr>
                <w:rFonts w:ascii="宋体" w:hAnsi="宋体" w:cs="宋体"/>
                <w:bCs/>
                <w:color w:val="auto"/>
                <w:sz w:val="21"/>
                <w:szCs w:val="21"/>
              </w:rPr>
            </w:pPr>
            <w:r>
              <w:rPr>
                <w:rFonts w:hint="eastAsia" w:ascii="宋体" w:hAnsi="宋体" w:cs="宋体"/>
                <w:bCs/>
                <w:color w:val="auto"/>
                <w:sz w:val="21"/>
                <w:szCs w:val="21"/>
              </w:rPr>
              <w:t>4、未提供售后服务方案，不得分。</w:t>
            </w:r>
          </w:p>
        </w:tc>
      </w:tr>
      <w:bookmarkEnd w:id="3"/>
    </w:tbl>
    <w:p w14:paraId="4566A8C0">
      <w:pPr>
        <w:pStyle w:val="42"/>
        <w:tabs>
          <w:tab w:val="left" w:pos="-900"/>
          <w:tab w:val="clear" w:pos="709"/>
        </w:tabs>
        <w:wordWrap/>
        <w:snapToGrid/>
        <w:spacing w:line="560" w:lineRule="exact"/>
        <w:ind w:left="0" w:leftChars="0" w:firstLine="560" w:firstLineChars="200"/>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注：（1）评审过程中，不得去掉报价中的最高报价和最低报价；因落实政府采购政策进行价格调整的，以调整后的价格计算评标基准价和投标报价。</w:t>
      </w:r>
    </w:p>
    <w:p w14:paraId="26C6A2A5">
      <w:pPr>
        <w:widowControl w:val="0"/>
        <w:wordWrap/>
        <w:adjustRightInd w:val="0"/>
        <w:snapToGrid/>
        <w:spacing w:line="560" w:lineRule="exact"/>
        <w:ind w:firstLine="560" w:firstLineChars="200"/>
        <w:textAlignment w:val="baseline"/>
        <w:rPr>
          <w:rFonts w:ascii="仿宋_GB2312" w:eastAsia="仿宋_GB2312"/>
          <w:color w:val="auto"/>
          <w:sz w:val="28"/>
          <w:szCs w:val="28"/>
          <w:highlight w:val="none"/>
        </w:rPr>
      </w:pPr>
      <w:r>
        <w:rPr>
          <w:rFonts w:hint="eastAsia" w:ascii="仿宋_GB2312" w:eastAsia="仿宋_GB2312"/>
          <w:color w:val="auto"/>
          <w:sz w:val="28"/>
          <w:szCs w:val="28"/>
          <w:highlight w:val="none"/>
        </w:rPr>
        <w:t>（2）在评审过程中，经磋商小组认定</w:t>
      </w:r>
      <w:r>
        <w:rPr>
          <w:rFonts w:hint="eastAsia" w:ascii="仿宋_GB2312" w:eastAsia="仿宋_GB2312"/>
          <w:color w:val="auto"/>
          <w:sz w:val="28"/>
          <w:szCs w:val="28"/>
          <w:highlight w:val="none"/>
          <w:lang w:eastAsia="zh-CN"/>
        </w:rPr>
        <w:t>技术</w:t>
      </w:r>
      <w:r>
        <w:rPr>
          <w:rFonts w:hint="eastAsia" w:ascii="仿宋_GB2312" w:eastAsia="仿宋_GB2312"/>
          <w:color w:val="auto"/>
          <w:sz w:val="28"/>
          <w:szCs w:val="28"/>
          <w:highlight w:val="none"/>
        </w:rPr>
        <w:t>部分某一处技术参数确实具有唯一的指向性的，该项</w:t>
      </w:r>
      <w:r>
        <w:rPr>
          <w:rFonts w:hint="eastAsia" w:ascii="仿宋_GB2312" w:eastAsia="仿宋_GB2312"/>
          <w:color w:val="auto"/>
          <w:sz w:val="28"/>
          <w:szCs w:val="28"/>
          <w:highlight w:val="none"/>
          <w:lang w:eastAsia="zh-CN"/>
        </w:rPr>
        <w:t>技术</w:t>
      </w:r>
      <w:r>
        <w:rPr>
          <w:rFonts w:hint="eastAsia" w:ascii="仿宋_GB2312" w:eastAsia="仿宋_GB2312"/>
          <w:color w:val="auto"/>
          <w:sz w:val="28"/>
          <w:szCs w:val="28"/>
          <w:highlight w:val="none"/>
        </w:rPr>
        <w:t>参数将不列入评价/评审标准。</w:t>
      </w:r>
    </w:p>
    <w:p w14:paraId="7ACF525F">
      <w:pPr>
        <w:widowControl w:val="0"/>
        <w:wordWrap/>
        <w:snapToGrid/>
        <w:spacing w:line="560" w:lineRule="exact"/>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（3）技术部分各评委打分汇总取算术平均值作为供应商的技术得分，保留小数点后两位。</w:t>
      </w:r>
    </w:p>
    <w:p w14:paraId="22F2B92B">
      <w:pPr>
        <w:widowControl w:val="0"/>
        <w:wordWrap/>
        <w:snapToGrid/>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.5 磋商小组根据综合评分情况，按照评审得分由高到低顺序推荐3名成交候选供应商，并编写评审报告。</w:t>
      </w:r>
      <w:r>
        <w:rPr>
          <w:rFonts w:hint="eastAsia" w:ascii="仿宋_GB2312" w:eastAsia="仿宋_GB2312"/>
          <w:color w:val="auto"/>
          <w:sz w:val="28"/>
          <w:szCs w:val="28"/>
          <w:highlight w:val="none"/>
        </w:rPr>
        <w:t>评审得分相同的，按照最后报价由低到高的顺序推荐。评审得分且最后报价相同的，按照技术指标优劣顺序推荐。</w:t>
      </w:r>
    </w:p>
    <w:p w14:paraId="7CC429D4">
      <w:pPr>
        <w:widowControl w:val="0"/>
        <w:wordWrap/>
        <w:snapToGrid/>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.6 采购人应当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D9D9611">
      <w:pPr>
        <w:widowControl w:val="0"/>
        <w:wordWrap/>
        <w:snapToGrid/>
        <w:spacing w:line="560" w:lineRule="exact"/>
        <w:ind w:firstLine="560" w:firstLineChars="200"/>
        <w:rPr>
          <w:rFonts w:ascii="仿宋_GB2312" w:hAnsi="仿宋_GB2312" w:eastAsia="仿宋_GB2312" w:cs="仿宋_GB2312"/>
          <w:b/>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.7若供应商的最后报价高于项目预算，磋商小组有权拒绝该报价。</w:t>
      </w:r>
    </w:p>
    <w:p w14:paraId="31C4B290">
      <w:pPr>
        <w:widowControl w:val="0"/>
        <w:wordWrap/>
        <w:snapToGrid/>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8为保证成交结果的公正性，竞争性磋商期间直至授予供应商合同时，竞争性磋商小组成员不得与供应商私下交换意见。在竞争性磋商结束后，凡与竞争性磋商情况有接触的任何人不得将竞争性磋商情况扩散出竞争性磋商小组成员之外。</w:t>
      </w:r>
    </w:p>
    <w:p w14:paraId="27E3C15E">
      <w:pPr>
        <w:widowControl w:val="0"/>
        <w:wordWrap/>
        <w:snapToGrid/>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.9在竞争性磋商期间，供应商不得向竞争性磋商小组成员询问其他供应商竞争性磋商情况，不得进行旨在影响成交结果的活动。</w:t>
      </w:r>
    </w:p>
    <w:p w14:paraId="35B51373">
      <w:pPr>
        <w:widowControl w:val="0"/>
        <w:wordWrap/>
        <w:snapToGrid/>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.10在竞争性磋商期间，采购代理机构将有专门人员与供应商进行联络。</w:t>
      </w:r>
    </w:p>
    <w:p w14:paraId="403EC01D">
      <w:pPr>
        <w:widowControl w:val="0"/>
        <w:wordWrap/>
        <w:snapToGrid/>
        <w:spacing w:line="560" w:lineRule="exact"/>
        <w:ind w:firstLine="562" w:firstLineChars="200"/>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2</w:t>
      </w:r>
      <w:r>
        <w:rPr>
          <w:rFonts w:hint="eastAsia" w:ascii="仿宋_GB2312" w:hAnsi="仿宋_GB2312" w:eastAsia="仿宋_GB2312" w:cs="仿宋_GB2312"/>
          <w:b/>
          <w:color w:val="auto"/>
          <w:sz w:val="28"/>
          <w:szCs w:val="28"/>
          <w:highlight w:val="none"/>
          <w:lang w:val="en-US" w:eastAsia="zh-CN"/>
        </w:rPr>
        <w:t>5</w:t>
      </w:r>
      <w:r>
        <w:rPr>
          <w:rFonts w:hint="eastAsia" w:ascii="仿宋_GB2312" w:hAnsi="仿宋_GB2312" w:eastAsia="仿宋_GB2312" w:cs="仿宋_GB2312"/>
          <w:b/>
          <w:color w:val="auto"/>
          <w:sz w:val="28"/>
          <w:szCs w:val="28"/>
          <w:highlight w:val="none"/>
        </w:rPr>
        <w:t>.竞争性磋商终止</w:t>
      </w:r>
    </w:p>
    <w:p w14:paraId="7C600362">
      <w:pPr>
        <w:widowControl w:val="0"/>
        <w:wordWrap/>
        <w:snapToGrid/>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.1出现下列情形之一的，采购人或者采购代理机构应当终止竞争性磋商采购活动，发布项目终止公告并说明原因，重新开展采购活动：</w:t>
      </w:r>
    </w:p>
    <w:p w14:paraId="70C4DBB4">
      <w:pPr>
        <w:widowControl w:val="0"/>
        <w:wordWrap/>
        <w:snapToGrid/>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（一）因情况变化，不再符合规定的竞争性磋商采购方式适用情形的；</w:t>
      </w:r>
    </w:p>
    <w:p w14:paraId="356AA294">
      <w:pPr>
        <w:widowControl w:val="0"/>
        <w:wordWrap/>
        <w:snapToGrid/>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（二）出现影响采购公正的违法、违规行为的；</w:t>
      </w:r>
      <w:r>
        <w:rPr>
          <w:rFonts w:hint="eastAsia" w:ascii="仿宋_GB2312" w:hAnsi="仿宋_GB2312" w:eastAsia="仿宋_GB2312" w:cs="仿宋_GB2312"/>
          <w:color w:val="auto"/>
          <w:sz w:val="28"/>
          <w:szCs w:val="28"/>
          <w:highlight w:val="none"/>
        </w:rPr>
        <w:br w:type="textWrapping"/>
      </w:r>
      <w:r>
        <w:rPr>
          <w:rFonts w:hint="eastAsia" w:ascii="仿宋_GB2312" w:hAnsi="仿宋_GB2312" w:eastAsia="仿宋_GB2312" w:cs="仿宋_GB2312"/>
          <w:color w:val="auto"/>
          <w:sz w:val="28"/>
          <w:szCs w:val="28"/>
          <w:highlight w:val="none"/>
        </w:rPr>
        <w:t>　　 （三）除《政府采购竞争性磋商采购方式管理暂行办法》第二十一条第三款规定的情形外，在采购过程中符合要求的供应商或者报价未超过采购预算的供应商不足3家的。</w:t>
      </w:r>
    </w:p>
    <w:p w14:paraId="3CA2ABBA">
      <w:pPr>
        <w:widowControl w:val="0"/>
        <w:wordWrap/>
        <w:snapToGrid/>
        <w:spacing w:line="560" w:lineRule="exact"/>
        <w:jc w:val="center"/>
        <w:rPr>
          <w:rFonts w:ascii="宋体" w:hAnsi="宋体" w:cs="宋体"/>
          <w:b/>
          <w:color w:val="auto"/>
          <w:sz w:val="28"/>
          <w:szCs w:val="28"/>
          <w:highlight w:val="none"/>
        </w:rPr>
      </w:pPr>
      <w:r>
        <w:rPr>
          <w:rFonts w:hint="eastAsia" w:ascii="宋体" w:hAnsi="宋体" w:cs="宋体"/>
          <w:b/>
          <w:color w:val="auto"/>
          <w:sz w:val="28"/>
          <w:szCs w:val="28"/>
          <w:highlight w:val="none"/>
        </w:rPr>
        <w:t>七、成交通知</w:t>
      </w:r>
    </w:p>
    <w:p w14:paraId="09CB325A">
      <w:pPr>
        <w:widowControl w:val="0"/>
        <w:wordWrap/>
        <w:snapToGrid/>
        <w:spacing w:line="560" w:lineRule="exact"/>
        <w:ind w:firstLine="562" w:firstLineChars="200"/>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2</w:t>
      </w:r>
      <w:r>
        <w:rPr>
          <w:rFonts w:hint="eastAsia" w:ascii="仿宋_GB2312" w:hAnsi="仿宋_GB2312" w:eastAsia="仿宋_GB2312" w:cs="仿宋_GB2312"/>
          <w:b/>
          <w:color w:val="auto"/>
          <w:sz w:val="28"/>
          <w:szCs w:val="28"/>
          <w:highlight w:val="none"/>
          <w:lang w:val="en-US" w:eastAsia="zh-CN"/>
        </w:rPr>
        <w:t>6</w:t>
      </w:r>
      <w:r>
        <w:rPr>
          <w:rFonts w:hint="eastAsia" w:ascii="仿宋_GB2312" w:hAnsi="仿宋_GB2312" w:eastAsia="仿宋_GB2312" w:cs="仿宋_GB2312"/>
          <w:b/>
          <w:color w:val="auto"/>
          <w:sz w:val="28"/>
          <w:szCs w:val="28"/>
          <w:highlight w:val="none"/>
        </w:rPr>
        <w:t>.成交通知</w:t>
      </w:r>
    </w:p>
    <w:p w14:paraId="612F77C5">
      <w:pPr>
        <w:widowControl w:val="0"/>
        <w:tabs>
          <w:tab w:val="left" w:pos="1800"/>
        </w:tabs>
        <w:wordWrap/>
        <w:snapToGrid/>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.1确定成交供应商后,采购代理机构将在焦作市公共资源交易中心网、河南省政府采购网上发布成交公告，同时向成交供应商发出成交通知书，成交通知书将作为签订合同的依据。</w:t>
      </w:r>
    </w:p>
    <w:p w14:paraId="0D32FD3D">
      <w:pPr>
        <w:widowControl w:val="0"/>
        <w:wordWrap/>
        <w:snapToGrid/>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.2成交通知书对采购人和成交供应商具有同等法律效力。成交通知书发出后，采购人改变成交结果，或者成交供应商放弃成交，应当承担相应的法律责任。</w:t>
      </w:r>
    </w:p>
    <w:p w14:paraId="37B5A01E">
      <w:pPr>
        <w:widowControl w:val="0"/>
        <w:wordWrap/>
        <w:snapToGrid/>
        <w:spacing w:line="560" w:lineRule="exact"/>
        <w:jc w:val="center"/>
        <w:rPr>
          <w:rFonts w:ascii="宋体" w:hAnsi="宋体" w:cs="宋体"/>
          <w:b/>
          <w:color w:val="auto"/>
          <w:sz w:val="28"/>
          <w:szCs w:val="28"/>
          <w:highlight w:val="none"/>
        </w:rPr>
      </w:pPr>
      <w:r>
        <w:rPr>
          <w:rFonts w:hint="eastAsia" w:ascii="宋体" w:hAnsi="宋体" w:cs="宋体"/>
          <w:b/>
          <w:color w:val="auto"/>
          <w:sz w:val="28"/>
          <w:szCs w:val="28"/>
          <w:highlight w:val="none"/>
        </w:rPr>
        <w:t>八、合同授予</w:t>
      </w:r>
    </w:p>
    <w:p w14:paraId="7FDB6B65">
      <w:pPr>
        <w:widowControl w:val="0"/>
        <w:tabs>
          <w:tab w:val="left" w:pos="1620"/>
        </w:tabs>
        <w:wordWrap/>
        <w:snapToGrid/>
        <w:spacing w:line="560" w:lineRule="exact"/>
        <w:ind w:firstLine="562" w:firstLineChars="200"/>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2</w:t>
      </w:r>
      <w:r>
        <w:rPr>
          <w:rFonts w:hint="eastAsia" w:ascii="仿宋_GB2312" w:hAnsi="仿宋_GB2312" w:eastAsia="仿宋_GB2312" w:cs="仿宋_GB2312"/>
          <w:b/>
          <w:color w:val="auto"/>
          <w:sz w:val="28"/>
          <w:szCs w:val="28"/>
          <w:highlight w:val="none"/>
          <w:lang w:val="en-US" w:eastAsia="zh-CN"/>
        </w:rPr>
        <w:t>7</w:t>
      </w:r>
      <w:r>
        <w:rPr>
          <w:rFonts w:hint="eastAsia" w:ascii="仿宋_GB2312" w:hAnsi="仿宋_GB2312" w:eastAsia="仿宋_GB2312" w:cs="仿宋_GB2312"/>
          <w:b/>
          <w:color w:val="auto"/>
          <w:sz w:val="28"/>
          <w:szCs w:val="28"/>
          <w:highlight w:val="none"/>
        </w:rPr>
        <w:t>.签订合同及合同的执行</w:t>
      </w:r>
    </w:p>
    <w:p w14:paraId="1517438B">
      <w:pPr>
        <w:widowControl w:val="0"/>
        <w:wordWrap/>
        <w:snapToGrid/>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rPr>
        <w:t xml:space="preserve">.1 </w:t>
      </w:r>
      <w:r>
        <w:rPr>
          <w:rFonts w:hint="eastAsia" w:ascii="仿宋_GB2312" w:hAnsi="仿宋_GB2312" w:eastAsia="仿宋_GB2312" w:cs="仿宋_GB2312"/>
          <w:color w:val="auto"/>
          <w:sz w:val="28"/>
          <w:szCs w:val="28"/>
          <w:highlight w:val="none"/>
          <w:lang w:val="en-US" w:eastAsia="zh-CN"/>
        </w:rPr>
        <w:t>鼓励</w:t>
      </w:r>
      <w:r>
        <w:rPr>
          <w:rFonts w:hint="eastAsia" w:ascii="仿宋_GB2312" w:hAnsi="仿宋_GB2312" w:eastAsia="仿宋_GB2312" w:cs="仿宋_GB2312"/>
          <w:color w:val="auto"/>
          <w:sz w:val="28"/>
          <w:szCs w:val="28"/>
          <w:highlight w:val="none"/>
        </w:rPr>
        <w:t>采购人、成交供应商在成交通知书发出</w:t>
      </w:r>
      <w:r>
        <w:rPr>
          <w:rFonts w:hint="eastAsia" w:ascii="仿宋_GB2312" w:hAnsi="仿宋_GB2312" w:eastAsia="仿宋_GB2312" w:cs="仿宋_GB2312"/>
          <w:color w:val="auto"/>
          <w:sz w:val="28"/>
          <w:szCs w:val="28"/>
          <w:highlight w:val="none"/>
          <w:lang w:val="en-US" w:eastAsia="zh-CN"/>
        </w:rPr>
        <w:t>后1个工作日</w:t>
      </w:r>
      <w:r>
        <w:rPr>
          <w:rFonts w:hint="eastAsia" w:ascii="仿宋_GB2312" w:hAnsi="仿宋_GB2312" w:eastAsia="仿宋_GB2312" w:cs="仿宋_GB2312"/>
          <w:color w:val="auto"/>
          <w:sz w:val="28"/>
          <w:szCs w:val="28"/>
          <w:highlight w:val="none"/>
          <w:u w:val="none"/>
        </w:rPr>
        <w:t>内</w:t>
      </w:r>
      <w:r>
        <w:rPr>
          <w:rFonts w:hint="eastAsia" w:ascii="仿宋_GB2312" w:hAnsi="仿宋_GB2312" w:eastAsia="仿宋_GB2312" w:cs="仿宋_GB2312"/>
          <w:color w:val="auto"/>
          <w:sz w:val="28"/>
          <w:szCs w:val="28"/>
          <w:highlight w:val="none"/>
        </w:rPr>
        <w:t>，按照竞争性磋商文件的合同文本以及采购标的、规格型号、采购金额、采购数量、技术和服务要求等事项签订政府采购合同。</w:t>
      </w:r>
    </w:p>
    <w:p w14:paraId="5B5F7543">
      <w:pPr>
        <w:widowControl w:val="0"/>
        <w:wordWrap/>
        <w:snapToGrid/>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rPr>
        <w:t>.2采购人不得向成交供应商提出超过竞争性磋商文件以外的任何要求作为签订合同的条件，不得与成交供应商订立背离竞争性磋商文件的合同文本以及采购标的、采购金额、采购数量、技术和服务要求等实质性内容的协议。</w:t>
      </w:r>
    </w:p>
    <w:p w14:paraId="56FE364D">
      <w:pPr>
        <w:widowControl w:val="0"/>
        <w:wordWrap/>
        <w:snapToGrid/>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rPr>
        <w:t>.3 竞争性磋商文件、竞争性磋商文件的修改文件、成交供应商的响应性文件、补充或修改的文件及澄清或承诺文件等，均为双方签订合同的组成部分，并与合同一并作为本竞争性磋商文件所列项目的互补性法律文件，与合同具有同等法律效力。</w:t>
      </w:r>
    </w:p>
    <w:p w14:paraId="4E74E088">
      <w:pPr>
        <w:widowControl w:val="0"/>
        <w:wordWrap/>
        <w:snapToGrid/>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rPr>
        <w:t>.4 成交供应商应在签订合同后</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个工作日内向采购代理机构备案。</w:t>
      </w:r>
    </w:p>
    <w:p w14:paraId="5FB73F56">
      <w:pPr>
        <w:widowControl w:val="0"/>
        <w:wordWrap/>
        <w:snapToGrid/>
        <w:spacing w:line="560" w:lineRule="exact"/>
        <w:jc w:val="center"/>
        <w:rPr>
          <w:rFonts w:ascii="宋体" w:hAnsi="宋体" w:cs="宋体"/>
          <w:b/>
          <w:color w:val="auto"/>
          <w:sz w:val="28"/>
          <w:szCs w:val="28"/>
          <w:highlight w:val="none"/>
        </w:rPr>
      </w:pPr>
      <w:r>
        <w:rPr>
          <w:rFonts w:hint="eastAsia" w:ascii="宋体" w:hAnsi="宋体" w:cs="宋体"/>
          <w:b/>
          <w:color w:val="auto"/>
          <w:sz w:val="28"/>
          <w:szCs w:val="28"/>
          <w:highlight w:val="none"/>
        </w:rPr>
        <w:t>九、质疑与投诉</w:t>
      </w:r>
    </w:p>
    <w:p w14:paraId="62DFB549">
      <w:pPr>
        <w:widowControl w:val="0"/>
        <w:tabs>
          <w:tab w:val="left" w:pos="1800"/>
        </w:tabs>
        <w:wordWrap/>
        <w:snapToGrid/>
        <w:spacing w:line="560" w:lineRule="exact"/>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2</w:t>
      </w:r>
      <w:r>
        <w:rPr>
          <w:rFonts w:hint="eastAsia" w:ascii="仿宋_GB2312" w:hAnsi="仿宋_GB2312" w:eastAsia="仿宋_GB2312" w:cs="仿宋_GB2312"/>
          <w:b/>
          <w:bCs/>
          <w:color w:val="auto"/>
          <w:sz w:val="28"/>
          <w:szCs w:val="28"/>
          <w:highlight w:val="none"/>
          <w:lang w:val="en-US" w:eastAsia="zh-CN"/>
        </w:rPr>
        <w:t>8</w:t>
      </w: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b/>
          <w:bCs/>
          <w:color w:val="auto"/>
          <w:sz w:val="28"/>
          <w:szCs w:val="28"/>
          <w:highlight w:val="none"/>
        </w:rPr>
        <w:t>质疑与投诉</w:t>
      </w:r>
    </w:p>
    <w:p w14:paraId="121E50AF">
      <w:pPr>
        <w:widowControl w:val="0"/>
        <w:tabs>
          <w:tab w:val="left" w:pos="1800"/>
        </w:tabs>
        <w:wordWrap/>
        <w:snapToGrid/>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rPr>
        <w:t>.1 质疑供应商认为采购文件、采购过程、成交结果使自己的权益受到损害的，可以在知道或者应知其权益受到损害之日起7个工作日内，以书面形式向采购人提出质疑。</w:t>
      </w:r>
    </w:p>
    <w:p w14:paraId="2F31431B">
      <w:pPr>
        <w:widowControl w:val="0"/>
        <w:wordWrap/>
        <w:snapToGrid/>
        <w:spacing w:line="560" w:lineRule="exac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质疑供应商应在法定质疑期内一次性提出针对同一采购程序环节的质疑。</w:t>
      </w:r>
    </w:p>
    <w:p w14:paraId="03536860">
      <w:pPr>
        <w:widowControl w:val="0"/>
        <w:wordWrap/>
        <w:snapToGrid/>
        <w:spacing w:line="560" w:lineRule="exac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2</w:t>
      </w:r>
      <w:r>
        <w:rPr>
          <w:rFonts w:hint="eastAsia" w:ascii="仿宋_GB2312" w:eastAsia="仿宋_GB2312"/>
          <w:color w:val="auto"/>
          <w:sz w:val="28"/>
          <w:szCs w:val="28"/>
          <w:highlight w:val="none"/>
          <w:lang w:val="en-US" w:eastAsia="zh-CN"/>
        </w:rPr>
        <w:t>8</w:t>
      </w:r>
      <w:r>
        <w:rPr>
          <w:rFonts w:hint="eastAsia" w:ascii="仿宋_GB2312" w:eastAsia="仿宋_GB2312"/>
          <w:color w:val="auto"/>
          <w:sz w:val="28"/>
          <w:szCs w:val="28"/>
          <w:highlight w:val="none"/>
        </w:rPr>
        <w:t>.2 提出质疑的供应商应当是参与所质疑项目采购活动的</w:t>
      </w:r>
      <w:r>
        <w:rPr>
          <w:rFonts w:hint="eastAsia" w:ascii="仿宋_GB2312" w:eastAsia="仿宋_GB2312"/>
          <w:color w:val="auto"/>
          <w:sz w:val="28"/>
          <w:szCs w:val="28"/>
          <w:highlight w:val="none"/>
          <w:lang w:eastAsia="zh-CN"/>
        </w:rPr>
        <w:t>供应商</w:t>
      </w:r>
      <w:r>
        <w:rPr>
          <w:rFonts w:hint="eastAsia" w:ascii="仿宋_GB2312" w:eastAsia="仿宋_GB2312"/>
          <w:color w:val="auto"/>
          <w:sz w:val="28"/>
          <w:szCs w:val="28"/>
          <w:highlight w:val="none"/>
        </w:rPr>
        <w:t>。</w:t>
      </w:r>
    </w:p>
    <w:p w14:paraId="311164D8">
      <w:pPr>
        <w:widowControl w:val="0"/>
        <w:wordWrap/>
        <w:snapToGrid/>
        <w:spacing w:line="560" w:lineRule="exac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2</w:t>
      </w:r>
      <w:r>
        <w:rPr>
          <w:rFonts w:hint="eastAsia" w:ascii="仿宋_GB2312" w:eastAsia="仿宋_GB2312"/>
          <w:color w:val="auto"/>
          <w:sz w:val="28"/>
          <w:szCs w:val="28"/>
          <w:highlight w:val="none"/>
          <w:lang w:val="en-US" w:eastAsia="zh-CN"/>
        </w:rPr>
        <w:t>8</w:t>
      </w:r>
      <w:r>
        <w:rPr>
          <w:rFonts w:hint="eastAsia" w:ascii="仿宋_GB2312" w:eastAsia="仿宋_GB2312"/>
          <w:color w:val="auto"/>
          <w:sz w:val="28"/>
          <w:szCs w:val="28"/>
          <w:highlight w:val="none"/>
        </w:rPr>
        <w:t>.3 潜在供应商已依法获取其可质疑的采购文件的，可以对该文件提出质疑。对采购文件提出质疑的，应当在获取采购文件或者采购文件公告期限届满之日起7个工作日内提出。</w:t>
      </w:r>
    </w:p>
    <w:p w14:paraId="3BE215DA">
      <w:pPr>
        <w:widowControl w:val="0"/>
        <w:wordWrap/>
        <w:snapToGrid/>
        <w:spacing w:line="560" w:lineRule="exac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供应商提出质疑应当提交质疑函和必要的证明材料。质疑函应当包括下列内容：</w:t>
      </w:r>
    </w:p>
    <w:p w14:paraId="04257972">
      <w:pPr>
        <w:widowControl w:val="0"/>
        <w:wordWrap/>
        <w:snapToGrid/>
        <w:spacing w:line="560" w:lineRule="exac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（1）供应商的姓名或者名称、地址、邮编、联系人及联系电话；</w:t>
      </w:r>
    </w:p>
    <w:p w14:paraId="3115E666">
      <w:pPr>
        <w:widowControl w:val="0"/>
        <w:wordWrap/>
        <w:snapToGrid/>
        <w:spacing w:line="560" w:lineRule="exac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（2）质疑项目的名称、编号；</w:t>
      </w:r>
    </w:p>
    <w:p w14:paraId="3791F211">
      <w:pPr>
        <w:widowControl w:val="0"/>
        <w:wordWrap/>
        <w:snapToGrid/>
        <w:spacing w:line="560" w:lineRule="exac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（3）具体、明确的质疑事项和与质疑事项相关的请求；</w:t>
      </w:r>
    </w:p>
    <w:p w14:paraId="60CE4B5C">
      <w:pPr>
        <w:widowControl w:val="0"/>
        <w:wordWrap/>
        <w:snapToGrid/>
        <w:spacing w:line="560" w:lineRule="exac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（4）事实依据；</w:t>
      </w:r>
    </w:p>
    <w:p w14:paraId="77384CAC">
      <w:pPr>
        <w:widowControl w:val="0"/>
        <w:wordWrap/>
        <w:snapToGrid/>
        <w:spacing w:line="560" w:lineRule="exac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（5）必要的法律依据；</w:t>
      </w:r>
    </w:p>
    <w:p w14:paraId="73745A97">
      <w:pPr>
        <w:widowControl w:val="0"/>
        <w:wordWrap/>
        <w:snapToGrid/>
        <w:spacing w:line="560" w:lineRule="exac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（6）提出质疑的日期；</w:t>
      </w:r>
    </w:p>
    <w:p w14:paraId="52D7E2CF">
      <w:pPr>
        <w:widowControl w:val="0"/>
        <w:wordWrap/>
        <w:snapToGrid/>
        <w:spacing w:line="560" w:lineRule="exac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w:t>
      </w:r>
      <w:r>
        <w:rPr>
          <w:rFonts w:hint="eastAsia" w:ascii="仿宋_GB2312" w:eastAsia="仿宋_GB2312"/>
          <w:color w:val="auto"/>
          <w:sz w:val="28"/>
          <w:szCs w:val="28"/>
          <w:highlight w:val="none"/>
          <w:lang w:val="en-US" w:eastAsia="zh-CN"/>
        </w:rPr>
        <w:t>7</w:t>
      </w:r>
      <w:r>
        <w:rPr>
          <w:rFonts w:hint="eastAsia" w:ascii="仿宋_GB2312" w:eastAsia="仿宋_GB2312"/>
          <w:color w:val="auto"/>
          <w:sz w:val="28"/>
          <w:szCs w:val="28"/>
          <w:highlight w:val="none"/>
        </w:rPr>
        <w:t>）</w:t>
      </w:r>
      <w:r>
        <w:rPr>
          <w:rFonts w:hint="eastAsia" w:ascii="仿宋_GB2312" w:eastAsia="仿宋_GB2312"/>
          <w:color w:val="auto"/>
          <w:sz w:val="28"/>
          <w:szCs w:val="28"/>
          <w:highlight w:val="none"/>
          <w:lang w:val="en-US" w:eastAsia="zh-CN"/>
        </w:rPr>
        <w:t>获取磋商文件的凭证；</w:t>
      </w:r>
    </w:p>
    <w:p w14:paraId="7B0358C4">
      <w:pPr>
        <w:widowControl w:val="0"/>
        <w:wordWrap/>
        <w:snapToGrid/>
        <w:spacing w:line="560" w:lineRule="exac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w:t>
      </w:r>
      <w:r>
        <w:rPr>
          <w:rFonts w:hint="eastAsia" w:ascii="仿宋_GB2312" w:eastAsia="仿宋_GB2312"/>
          <w:color w:val="auto"/>
          <w:sz w:val="28"/>
          <w:szCs w:val="28"/>
          <w:highlight w:val="none"/>
          <w:lang w:val="en-US" w:eastAsia="zh-CN"/>
        </w:rPr>
        <w:t>8</w:t>
      </w:r>
      <w:r>
        <w:rPr>
          <w:rFonts w:hint="eastAsia" w:ascii="仿宋_GB2312" w:eastAsia="仿宋_GB2312"/>
          <w:color w:val="auto"/>
          <w:sz w:val="28"/>
          <w:szCs w:val="28"/>
          <w:highlight w:val="none"/>
        </w:rPr>
        <w:t>）以上资料一式二份（采购人、采购代理机构各执一份）。</w:t>
      </w:r>
    </w:p>
    <w:p w14:paraId="2019691D">
      <w:pPr>
        <w:widowControl w:val="0"/>
        <w:wordWrap/>
        <w:adjustRightInd/>
        <w:snapToGrid/>
        <w:spacing w:line="560" w:lineRule="exact"/>
        <w:ind w:firstLine="560" w:firstLineChars="200"/>
        <w:textAlignment w:val="auto"/>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2</w:t>
      </w:r>
      <w:r>
        <w:rPr>
          <w:rFonts w:hint="eastAsia" w:ascii="仿宋_GB2312" w:eastAsia="仿宋_GB2312"/>
          <w:color w:val="auto"/>
          <w:sz w:val="28"/>
          <w:szCs w:val="28"/>
          <w:highlight w:val="none"/>
          <w:lang w:val="en-US" w:eastAsia="zh-CN"/>
        </w:rPr>
        <w:t>8</w:t>
      </w:r>
      <w:r>
        <w:rPr>
          <w:rFonts w:hint="eastAsia" w:ascii="仿宋_GB2312" w:eastAsia="仿宋_GB2312"/>
          <w:color w:val="auto"/>
          <w:sz w:val="28"/>
          <w:szCs w:val="28"/>
          <w:highlight w:val="none"/>
        </w:rPr>
        <w:t>.4 供应商不得虚假质疑和恶意质疑，并对质疑内容的真实性承担责任。供应商或者其他利害关系人通过捏造事实、伪造证明材料等方式提出异议或投诉，阻碍招投标活动正常进行的，属于严重不良行为，采购代理机构将提请政府采购监管部门将其列入不良行为记录名单，依法予以处罚。</w:t>
      </w:r>
    </w:p>
    <w:p w14:paraId="2366C411">
      <w:pPr>
        <w:widowControl w:val="0"/>
        <w:wordWrap/>
        <w:adjustRightInd/>
        <w:snapToGrid/>
        <w:spacing w:line="560" w:lineRule="exact"/>
        <w:ind w:firstLine="560" w:firstLineChars="200"/>
        <w:textAlignment w:val="auto"/>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2</w:t>
      </w:r>
      <w:r>
        <w:rPr>
          <w:rFonts w:hint="eastAsia" w:ascii="仿宋_GB2312" w:eastAsia="仿宋_GB2312"/>
          <w:color w:val="auto"/>
          <w:sz w:val="28"/>
          <w:szCs w:val="28"/>
          <w:highlight w:val="none"/>
          <w:lang w:val="en-US" w:eastAsia="zh-CN"/>
        </w:rPr>
        <w:t>8</w:t>
      </w:r>
      <w:r>
        <w:rPr>
          <w:rFonts w:hint="eastAsia" w:ascii="仿宋_GB2312" w:eastAsia="仿宋_GB2312"/>
          <w:color w:val="auto"/>
          <w:sz w:val="28"/>
          <w:szCs w:val="28"/>
          <w:highlight w:val="none"/>
        </w:rPr>
        <w:t>.5采购人应在收到符合上述条件的书面质疑后7个工作日内审查质疑事项，并作出答复，同时以书面形式（或网上公告方式）通知质疑供应商和其他相关权利人，但答复的内容不涉及商业秘密。</w:t>
      </w:r>
    </w:p>
    <w:p w14:paraId="5AA22876">
      <w:pPr>
        <w:widowControl w:val="0"/>
        <w:wordWrap/>
        <w:adjustRightInd/>
        <w:snapToGrid/>
        <w:spacing w:line="560" w:lineRule="exact"/>
        <w:ind w:firstLine="560" w:firstLineChars="200"/>
        <w:textAlignment w:val="auto"/>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2</w:t>
      </w:r>
      <w:r>
        <w:rPr>
          <w:rFonts w:hint="eastAsia" w:ascii="仿宋_GB2312" w:eastAsia="仿宋_GB2312"/>
          <w:color w:val="auto"/>
          <w:sz w:val="28"/>
          <w:szCs w:val="28"/>
          <w:highlight w:val="none"/>
          <w:lang w:val="en-US" w:eastAsia="zh-CN"/>
        </w:rPr>
        <w:t>8</w:t>
      </w:r>
      <w:r>
        <w:rPr>
          <w:rFonts w:hint="eastAsia" w:ascii="仿宋_GB2312" w:eastAsia="仿宋_GB2312"/>
          <w:color w:val="auto"/>
          <w:sz w:val="28"/>
          <w:szCs w:val="28"/>
          <w:highlight w:val="none"/>
        </w:rPr>
        <w:t>.6质疑处理遵循“谁过错谁负担”的原则，有过错的一方承担调查论证费用。</w:t>
      </w:r>
    </w:p>
    <w:p w14:paraId="7E47B918">
      <w:pPr>
        <w:widowControl w:val="0"/>
        <w:wordWrap/>
        <w:adjustRightInd/>
        <w:snapToGrid/>
        <w:spacing w:line="560" w:lineRule="exact"/>
        <w:ind w:firstLine="560" w:firstLineChars="200"/>
        <w:textAlignment w:val="auto"/>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 xml:space="preserve">28.7质疑联系事项： </w:t>
      </w:r>
    </w:p>
    <w:p w14:paraId="77D1C2BE">
      <w:pPr>
        <w:widowControl w:val="0"/>
        <w:wordWrap/>
        <w:adjustRightInd/>
        <w:snapToGrid/>
        <w:spacing w:line="560" w:lineRule="exact"/>
        <w:ind w:firstLine="560" w:firstLineChars="200"/>
        <w:textAlignment w:val="auto"/>
        <w:rPr>
          <w:rFonts w:hint="eastAsia" w:ascii="仿宋_GB2312" w:eastAsia="仿宋_GB2312"/>
          <w:color w:val="auto"/>
          <w:sz w:val="28"/>
          <w:szCs w:val="28"/>
          <w:highlight w:val="none"/>
        </w:rPr>
      </w:pPr>
      <w:r>
        <w:rPr>
          <w:rFonts w:hint="eastAsia" w:ascii="仿宋_GB2312" w:eastAsia="仿宋_GB2312"/>
          <w:color w:val="auto"/>
          <w:sz w:val="28"/>
          <w:szCs w:val="28"/>
          <w:highlight w:val="none"/>
          <w:lang w:eastAsia="zh-CN"/>
        </w:rPr>
        <w:t>（</w:t>
      </w:r>
      <w:r>
        <w:rPr>
          <w:rFonts w:hint="eastAsia" w:ascii="仿宋_GB2312" w:eastAsia="仿宋_GB2312"/>
          <w:color w:val="auto"/>
          <w:sz w:val="28"/>
          <w:szCs w:val="28"/>
          <w:highlight w:val="none"/>
          <w:lang w:val="en-US" w:eastAsia="zh-CN"/>
        </w:rPr>
        <w:t>1</w:t>
      </w:r>
      <w:r>
        <w:rPr>
          <w:rFonts w:hint="eastAsia" w:ascii="仿宋_GB2312" w:eastAsia="仿宋_GB2312"/>
          <w:color w:val="auto"/>
          <w:sz w:val="28"/>
          <w:szCs w:val="28"/>
          <w:highlight w:val="none"/>
          <w:lang w:eastAsia="zh-CN"/>
        </w:rPr>
        <w:t>）</w:t>
      </w:r>
      <w:r>
        <w:rPr>
          <w:rFonts w:hint="eastAsia" w:ascii="仿宋_GB2312" w:eastAsia="仿宋_GB2312"/>
          <w:color w:val="auto"/>
          <w:sz w:val="28"/>
          <w:szCs w:val="28"/>
          <w:highlight w:val="none"/>
        </w:rPr>
        <w:t>质疑供应商应将质疑函分别送至采购人、采购代理机构（格式详见附件）</w:t>
      </w:r>
    </w:p>
    <w:p w14:paraId="159445E1">
      <w:pPr>
        <w:widowControl w:val="0"/>
        <w:wordWrap/>
        <w:adjustRightInd/>
        <w:snapToGrid/>
        <w:spacing w:line="560" w:lineRule="exact"/>
        <w:ind w:firstLine="560" w:firstLineChars="200"/>
        <w:textAlignment w:val="auto"/>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rPr>
        <w:t>（2）采购人：</w:t>
      </w:r>
      <w:r>
        <w:rPr>
          <w:rFonts w:hint="eastAsia" w:ascii="仿宋_GB2312" w:hAnsi="仿宋_GB2312" w:eastAsia="仿宋_GB2312" w:cs="仿宋_GB2312"/>
          <w:color w:val="auto"/>
          <w:sz w:val="28"/>
          <w:szCs w:val="28"/>
          <w:highlight w:val="none"/>
          <w:lang w:val="en-US" w:eastAsia="zh-CN"/>
        </w:rPr>
        <w:t>焦作市第四中学</w:t>
      </w:r>
    </w:p>
    <w:p w14:paraId="1A767427">
      <w:pPr>
        <w:widowControl w:val="0"/>
        <w:wordWrap/>
        <w:adjustRightInd w:val="0"/>
        <w:snapToGrid/>
        <w:spacing w:line="560" w:lineRule="exact"/>
        <w:ind w:firstLine="560" w:firstLineChars="200"/>
        <w:jc w:val="both"/>
        <w:textAlignment w:val="baseline"/>
        <w:rPr>
          <w:rFonts w:hint="eastAsia" w:ascii="仿宋" w:hAnsi="仿宋" w:eastAsia="仿宋" w:cs="仿宋"/>
          <w:color w:val="auto"/>
          <w:sz w:val="28"/>
          <w:szCs w:val="28"/>
          <w:highlight w:val="none"/>
          <w:lang w:val="en-US" w:eastAsia="zh-CN"/>
        </w:rPr>
      </w:pPr>
      <w:r>
        <w:rPr>
          <w:rFonts w:hint="eastAsia" w:ascii="仿宋_GB2312" w:eastAsia="仿宋_GB2312"/>
          <w:color w:val="auto"/>
          <w:sz w:val="28"/>
          <w:szCs w:val="28"/>
          <w:highlight w:val="none"/>
        </w:rPr>
        <w:t>联系人：</w:t>
      </w:r>
      <w:r>
        <w:rPr>
          <w:rFonts w:hint="eastAsia" w:ascii="仿宋_GB2312" w:hAnsi="仿宋_GB2312" w:eastAsia="仿宋_GB2312" w:cs="仿宋_GB2312"/>
          <w:color w:val="auto"/>
          <w:sz w:val="28"/>
          <w:szCs w:val="28"/>
          <w:highlight w:val="none"/>
          <w:lang w:val="en-US" w:eastAsia="zh-CN"/>
        </w:rPr>
        <w:t>赵先生</w:t>
      </w:r>
    </w:p>
    <w:p w14:paraId="7F15F4A2">
      <w:pPr>
        <w:widowControl w:val="0"/>
        <w:wordWrap/>
        <w:adjustRightInd w:val="0"/>
        <w:snapToGrid/>
        <w:spacing w:line="560" w:lineRule="exact"/>
        <w:ind w:firstLine="560" w:firstLineChars="200"/>
        <w:jc w:val="both"/>
        <w:textAlignment w:val="baseline"/>
        <w:rPr>
          <w:rFonts w:hint="default" w:ascii="仿宋_GB2312" w:eastAsia="仿宋_GB2312"/>
          <w:color w:val="auto"/>
          <w:sz w:val="28"/>
          <w:szCs w:val="28"/>
          <w:highlight w:val="none"/>
          <w:lang w:val="en-US" w:eastAsia="zh-CN"/>
        </w:rPr>
      </w:pPr>
      <w:r>
        <w:rPr>
          <w:rFonts w:hint="eastAsia" w:ascii="仿宋" w:hAnsi="仿宋" w:eastAsia="仿宋" w:cs="仿宋"/>
          <w:color w:val="auto"/>
          <w:sz w:val="28"/>
          <w:szCs w:val="28"/>
          <w:highlight w:val="none"/>
          <w:lang w:val="en-US" w:eastAsia="zh-CN"/>
        </w:rPr>
        <w:t>联系</w:t>
      </w:r>
      <w:r>
        <w:rPr>
          <w:rFonts w:hint="eastAsia" w:ascii="仿宋_GB2312" w:eastAsia="仿宋_GB2312"/>
          <w:color w:val="auto"/>
          <w:sz w:val="28"/>
          <w:szCs w:val="28"/>
          <w:highlight w:val="none"/>
        </w:rPr>
        <w:t>电话</w:t>
      </w:r>
      <w:r>
        <w:rPr>
          <w:rFonts w:hint="eastAsia" w:ascii="仿宋" w:hAnsi="仿宋" w:eastAsia="仿宋" w:cs="仿宋"/>
          <w:color w:val="auto"/>
          <w:sz w:val="28"/>
          <w:szCs w:val="28"/>
          <w:highlight w:val="none"/>
          <w:lang w:val="en-US" w:eastAsia="zh-CN"/>
        </w:rPr>
        <w:t>：</w:t>
      </w:r>
      <w:r>
        <w:rPr>
          <w:rFonts w:hint="eastAsia" w:ascii="仿宋_GB2312" w:hAnsi="仿宋_GB2312" w:eastAsia="仿宋_GB2312" w:cs="仿宋_GB2312"/>
          <w:color w:val="auto"/>
          <w:sz w:val="28"/>
          <w:szCs w:val="28"/>
          <w:highlight w:val="none"/>
          <w:lang w:val="en-US" w:eastAsia="zh-CN"/>
        </w:rPr>
        <w:t>13603447087</w:t>
      </w:r>
    </w:p>
    <w:p w14:paraId="5F602600">
      <w:pPr>
        <w:widowControl w:val="0"/>
        <w:wordWrap/>
        <w:adjustRightInd w:val="0"/>
        <w:snapToGrid/>
        <w:spacing w:line="560" w:lineRule="exact"/>
        <w:ind w:firstLine="560" w:firstLineChars="200"/>
        <w:jc w:val="both"/>
        <w:textAlignment w:val="baseline"/>
        <w:rPr>
          <w:rFonts w:hint="default" w:ascii="仿宋" w:hAnsi="仿宋" w:eastAsia="仿宋" w:cs="仿宋"/>
          <w:color w:val="auto"/>
          <w:sz w:val="28"/>
          <w:szCs w:val="28"/>
          <w:highlight w:val="none"/>
          <w:lang w:val="en-US" w:eastAsia="zh-CN"/>
        </w:rPr>
      </w:pPr>
      <w:r>
        <w:rPr>
          <w:rFonts w:hint="eastAsia" w:ascii="仿宋_GB2312" w:eastAsia="仿宋_GB2312"/>
          <w:color w:val="auto"/>
          <w:sz w:val="28"/>
          <w:szCs w:val="28"/>
          <w:highlight w:val="none"/>
        </w:rPr>
        <w:t>联系地址：</w:t>
      </w:r>
      <w:r>
        <w:rPr>
          <w:rFonts w:hint="eastAsia" w:ascii="仿宋_GB2312" w:hAnsi="仿宋_GB2312" w:eastAsia="仿宋_GB2312" w:cs="仿宋_GB2312"/>
          <w:color w:val="auto"/>
          <w:sz w:val="28"/>
          <w:szCs w:val="28"/>
          <w:highlight w:val="none"/>
        </w:rPr>
        <w:t>焦作市中站区解放西路9号</w:t>
      </w:r>
      <w:r>
        <w:rPr>
          <w:rFonts w:hint="eastAsia" w:ascii="仿宋_GB2312" w:eastAsia="仿宋_GB2312"/>
          <w:color w:val="auto"/>
          <w:sz w:val="28"/>
          <w:szCs w:val="28"/>
          <w:highlight w:val="none"/>
        </w:rPr>
        <w:t>　</w:t>
      </w:r>
    </w:p>
    <w:p w14:paraId="19594C72">
      <w:pPr>
        <w:widowControl w:val="0"/>
        <w:wordWrap/>
        <w:adjustRightInd/>
        <w:snapToGrid/>
        <w:spacing w:line="560" w:lineRule="exact"/>
        <w:ind w:firstLine="560" w:firstLineChars="200"/>
        <w:textAlignment w:val="auto"/>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（3）采购代理机构：焦作市公共资源项目服务有限责任公司</w:t>
      </w:r>
    </w:p>
    <w:p w14:paraId="4AA45437">
      <w:pPr>
        <w:widowControl w:val="0"/>
        <w:wordWrap/>
        <w:adjustRightInd/>
        <w:snapToGrid/>
        <w:spacing w:line="560" w:lineRule="exact"/>
        <w:ind w:firstLine="560" w:firstLineChars="200"/>
        <w:textAlignment w:val="auto"/>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rPr>
        <w:t>联系人：</w:t>
      </w:r>
      <w:r>
        <w:rPr>
          <w:rFonts w:hint="eastAsia" w:ascii="仿宋_GB2312" w:eastAsia="仿宋_GB2312"/>
          <w:color w:val="auto"/>
          <w:sz w:val="28"/>
          <w:szCs w:val="28"/>
          <w:highlight w:val="none"/>
          <w:lang w:val="en-US" w:eastAsia="zh-CN"/>
        </w:rPr>
        <w:t>贾女士</w:t>
      </w:r>
    </w:p>
    <w:p w14:paraId="1926350E">
      <w:pPr>
        <w:widowControl w:val="0"/>
        <w:wordWrap/>
        <w:adjustRightInd/>
        <w:snapToGrid/>
        <w:spacing w:line="560" w:lineRule="exact"/>
        <w:ind w:firstLine="560" w:firstLineChars="200"/>
        <w:textAlignment w:val="auto"/>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联系电话：0391-3568884</w:t>
      </w:r>
    </w:p>
    <w:p w14:paraId="719850DD">
      <w:pPr>
        <w:widowControl w:val="0"/>
        <w:wordWrap/>
        <w:snapToGrid/>
        <w:spacing w:line="560" w:lineRule="exac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 xml:space="preserve">联系地址：焦作市人民路889号阳光大厦B座 </w:t>
      </w:r>
    </w:p>
    <w:p w14:paraId="1BBAAFAE">
      <w:pPr>
        <w:widowControl w:val="0"/>
        <w:wordWrap/>
        <w:snapToGrid/>
        <w:spacing w:line="560" w:lineRule="exact"/>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2</w:t>
      </w:r>
      <w:r>
        <w:rPr>
          <w:rFonts w:hint="eastAsia" w:ascii="仿宋_GB2312" w:eastAsia="仿宋_GB2312"/>
          <w:color w:val="auto"/>
          <w:sz w:val="28"/>
          <w:szCs w:val="28"/>
          <w:highlight w:val="none"/>
          <w:lang w:val="en-US" w:eastAsia="zh-CN"/>
        </w:rPr>
        <w:t>8</w:t>
      </w:r>
      <w:r>
        <w:rPr>
          <w:rFonts w:hint="eastAsia" w:ascii="仿宋_GB2312" w:eastAsia="仿宋_GB2312"/>
          <w:color w:val="auto"/>
          <w:sz w:val="28"/>
          <w:szCs w:val="28"/>
          <w:highlight w:val="none"/>
        </w:rPr>
        <w:t>.8质疑供应商对采购人的答复不满意以及采购人未在规定的时间内做出答复的，可以在答复期满后15个工作日内向</w:t>
      </w:r>
      <w:r>
        <w:rPr>
          <w:rFonts w:hint="eastAsia" w:ascii="仿宋_GB2312" w:eastAsia="仿宋_GB2312"/>
          <w:color w:val="auto"/>
          <w:sz w:val="28"/>
          <w:szCs w:val="28"/>
          <w:highlight w:val="none"/>
          <w:lang w:eastAsia="zh-CN"/>
        </w:rPr>
        <w:t>同级财政部门</w:t>
      </w:r>
      <w:r>
        <w:rPr>
          <w:rFonts w:hint="eastAsia" w:ascii="仿宋_GB2312" w:eastAsia="仿宋_GB2312"/>
          <w:color w:val="auto"/>
          <w:sz w:val="28"/>
          <w:szCs w:val="28"/>
          <w:highlight w:val="none"/>
        </w:rPr>
        <w:t>投诉。</w:t>
      </w:r>
    </w:p>
    <w:p w14:paraId="3B09A8EB">
      <w:pPr>
        <w:spacing w:line="560" w:lineRule="exact"/>
        <w:ind w:firstLine="600" w:firstLineChars="200"/>
        <w:rPr>
          <w:rFonts w:ascii="仿宋_GB2312" w:hAnsi="宋体" w:eastAsia="仿宋_GB2312" w:cs="Lucida Sans Unicode"/>
          <w:color w:val="auto"/>
          <w:sz w:val="28"/>
          <w:szCs w:val="28"/>
          <w:highlight w:val="none"/>
        </w:rPr>
      </w:pPr>
      <w:r>
        <w:rPr>
          <w:rFonts w:hint="eastAsia" w:ascii="仿宋_GB2312" w:eastAsia="仿宋_GB2312"/>
          <w:color w:val="auto"/>
          <w:sz w:val="30"/>
          <w:szCs w:val="30"/>
          <w:highlight w:val="none"/>
        </w:rPr>
        <w:br w:type="page"/>
      </w:r>
      <w:r>
        <w:rPr>
          <w:rFonts w:hint="eastAsia" w:ascii="仿宋_GB2312" w:hAnsi="宋体" w:eastAsia="仿宋_GB2312" w:cs="Lucida Sans Unicode"/>
          <w:color w:val="auto"/>
          <w:sz w:val="28"/>
          <w:szCs w:val="28"/>
          <w:highlight w:val="none"/>
        </w:rPr>
        <w:t>附件：</w:t>
      </w:r>
    </w:p>
    <w:p w14:paraId="70320EB5">
      <w:pPr>
        <w:jc w:val="center"/>
        <w:rPr>
          <w:rFonts w:ascii="仿宋" w:hAnsi="仿宋" w:eastAsia="仿宋" w:cs="仿宋"/>
          <w:b/>
          <w:bCs/>
          <w:color w:val="auto"/>
          <w:sz w:val="28"/>
          <w:szCs w:val="28"/>
          <w:highlight w:val="none"/>
        </w:rPr>
      </w:pPr>
      <w:r>
        <w:rPr>
          <w:rFonts w:hint="eastAsia" w:ascii="黑体" w:hAnsi="黑体" w:eastAsia="黑体" w:cs="黑体"/>
          <w:b/>
          <w:bCs/>
          <w:color w:val="auto"/>
          <w:sz w:val="28"/>
          <w:szCs w:val="28"/>
          <w:highlight w:val="none"/>
        </w:rPr>
        <w:t>质疑函范本</w:t>
      </w:r>
    </w:p>
    <w:p w14:paraId="1DC9F667">
      <w:pPr>
        <w:spacing w:line="560" w:lineRule="exact"/>
        <w:ind w:firstLine="562" w:firstLineChars="200"/>
        <w:rPr>
          <w:rFonts w:ascii="仿宋_GB2312" w:eastAsia="仿宋_GB2312"/>
          <w:b/>
          <w:bCs/>
          <w:color w:val="auto"/>
          <w:sz w:val="28"/>
          <w:szCs w:val="28"/>
          <w:highlight w:val="none"/>
        </w:rPr>
      </w:pPr>
      <w:r>
        <w:rPr>
          <w:rFonts w:hint="eastAsia" w:ascii="仿宋_GB2312" w:eastAsia="仿宋_GB2312"/>
          <w:b/>
          <w:bCs/>
          <w:color w:val="auto"/>
          <w:sz w:val="28"/>
          <w:szCs w:val="28"/>
          <w:highlight w:val="none"/>
        </w:rPr>
        <w:t>一、质疑供应商基本信息</w:t>
      </w:r>
    </w:p>
    <w:p w14:paraId="59AAE29B">
      <w:pPr>
        <w:spacing w:line="560" w:lineRule="exact"/>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质疑供应商：</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 xml:space="preserve">                   </w:t>
      </w:r>
    </w:p>
    <w:p w14:paraId="65B921D7">
      <w:pPr>
        <w:spacing w:line="560" w:lineRule="exact"/>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地址：</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邮编：</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 xml:space="preserve">                                 </w:t>
      </w:r>
    </w:p>
    <w:p w14:paraId="199CF56B">
      <w:pPr>
        <w:spacing w:line="560" w:lineRule="exact"/>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联系人：</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 xml:space="preserve"> 联系电话：</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 xml:space="preserve">               </w:t>
      </w:r>
    </w:p>
    <w:p w14:paraId="75048A2F">
      <w:pPr>
        <w:spacing w:line="560" w:lineRule="exact"/>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授权代表：</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 xml:space="preserve">  </w:t>
      </w:r>
    </w:p>
    <w:p w14:paraId="73803C45">
      <w:pPr>
        <w:spacing w:line="560" w:lineRule="exact"/>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联系电话：</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 xml:space="preserve">    </w:t>
      </w:r>
    </w:p>
    <w:p w14:paraId="6748B265">
      <w:pPr>
        <w:spacing w:line="560" w:lineRule="exact"/>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地址：</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邮编：</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 xml:space="preserve">         </w:t>
      </w:r>
    </w:p>
    <w:p w14:paraId="67CC914C">
      <w:pPr>
        <w:spacing w:line="560" w:lineRule="exact"/>
        <w:ind w:firstLine="562" w:firstLineChars="200"/>
        <w:rPr>
          <w:rFonts w:ascii="仿宋_GB2312" w:eastAsia="仿宋_GB2312"/>
          <w:b/>
          <w:bCs/>
          <w:color w:val="auto"/>
          <w:sz w:val="28"/>
          <w:szCs w:val="28"/>
          <w:highlight w:val="none"/>
        </w:rPr>
      </w:pPr>
      <w:r>
        <w:rPr>
          <w:rFonts w:hint="eastAsia" w:ascii="仿宋_GB2312" w:eastAsia="仿宋_GB2312"/>
          <w:b/>
          <w:bCs/>
          <w:color w:val="auto"/>
          <w:sz w:val="28"/>
          <w:szCs w:val="28"/>
          <w:highlight w:val="none"/>
        </w:rPr>
        <w:t>二、质疑项目基本情况</w:t>
      </w:r>
    </w:p>
    <w:p w14:paraId="20974742">
      <w:pPr>
        <w:spacing w:line="560" w:lineRule="exact"/>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质疑项目的名称：</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 xml:space="preserve">                   </w:t>
      </w:r>
    </w:p>
    <w:p w14:paraId="6EC01610">
      <w:pPr>
        <w:spacing w:line="560" w:lineRule="exact"/>
        <w:ind w:firstLine="560" w:firstLineChars="200"/>
        <w:rPr>
          <w:rFonts w:ascii="仿宋_GB2312" w:eastAsia="仿宋_GB2312"/>
          <w:color w:val="auto"/>
          <w:sz w:val="28"/>
          <w:szCs w:val="28"/>
          <w:highlight w:val="none"/>
          <w:u w:val="single"/>
        </w:rPr>
      </w:pPr>
      <w:r>
        <w:rPr>
          <w:rFonts w:hint="eastAsia" w:ascii="仿宋_GB2312" w:eastAsia="仿宋_GB2312"/>
          <w:color w:val="auto"/>
          <w:sz w:val="28"/>
          <w:szCs w:val="28"/>
          <w:highlight w:val="none"/>
        </w:rPr>
        <w:t>质疑项目的编号：</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 xml:space="preserve"> 包号：</w:t>
      </w:r>
      <w:r>
        <w:rPr>
          <w:rFonts w:hint="eastAsia" w:ascii="仿宋_GB2312" w:eastAsia="仿宋_GB2312"/>
          <w:color w:val="auto"/>
          <w:sz w:val="28"/>
          <w:szCs w:val="28"/>
          <w:highlight w:val="none"/>
          <w:u w:val="single"/>
        </w:rPr>
        <w:t xml:space="preserve">                 </w:t>
      </w:r>
    </w:p>
    <w:p w14:paraId="31C4D8D8">
      <w:pPr>
        <w:spacing w:line="560" w:lineRule="exact"/>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采购人名称：</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 xml:space="preserve">                    </w:t>
      </w:r>
    </w:p>
    <w:p w14:paraId="0A758B56">
      <w:pPr>
        <w:spacing w:line="560" w:lineRule="exact"/>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磋商文件获取日期: </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 xml:space="preserve">                              </w:t>
      </w:r>
    </w:p>
    <w:p w14:paraId="4C8E9322">
      <w:pPr>
        <w:spacing w:line="560" w:lineRule="exact"/>
        <w:ind w:firstLine="562" w:firstLineChars="200"/>
        <w:rPr>
          <w:rFonts w:ascii="仿宋_GB2312" w:eastAsia="仿宋_GB2312"/>
          <w:b/>
          <w:bCs/>
          <w:color w:val="auto"/>
          <w:sz w:val="28"/>
          <w:szCs w:val="28"/>
          <w:highlight w:val="none"/>
        </w:rPr>
      </w:pPr>
      <w:r>
        <w:rPr>
          <w:rFonts w:hint="eastAsia" w:ascii="仿宋_GB2312" w:eastAsia="仿宋_GB2312"/>
          <w:b/>
          <w:bCs/>
          <w:color w:val="auto"/>
          <w:sz w:val="28"/>
          <w:szCs w:val="28"/>
          <w:highlight w:val="none"/>
        </w:rPr>
        <w:t>三、质疑事项具体内容</w:t>
      </w:r>
    </w:p>
    <w:p w14:paraId="33827450">
      <w:pPr>
        <w:spacing w:line="560" w:lineRule="exact"/>
        <w:ind w:firstLine="560" w:firstLineChars="200"/>
        <w:rPr>
          <w:rFonts w:ascii="仿宋_GB2312" w:eastAsia="仿宋_GB2312"/>
          <w:color w:val="auto"/>
          <w:sz w:val="28"/>
          <w:szCs w:val="28"/>
          <w:highlight w:val="none"/>
          <w:u w:val="single"/>
        </w:rPr>
      </w:pPr>
      <w:r>
        <w:rPr>
          <w:rFonts w:hint="eastAsia" w:ascii="仿宋_GB2312" w:eastAsia="仿宋_GB2312"/>
          <w:color w:val="auto"/>
          <w:sz w:val="28"/>
          <w:szCs w:val="28"/>
          <w:highlight w:val="none"/>
        </w:rPr>
        <w:t>质疑事项1:</w:t>
      </w:r>
      <w:r>
        <w:rPr>
          <w:rFonts w:hint="eastAsia" w:ascii="仿宋_GB2312" w:eastAsia="仿宋_GB2312"/>
          <w:color w:val="auto"/>
          <w:sz w:val="28"/>
          <w:szCs w:val="28"/>
          <w:highlight w:val="none"/>
          <w:u w:val="single"/>
        </w:rPr>
        <w:t xml:space="preserve">                    </w:t>
      </w:r>
    </w:p>
    <w:p w14:paraId="307B8CD5">
      <w:pPr>
        <w:spacing w:line="560" w:lineRule="exact"/>
        <w:ind w:firstLine="560" w:firstLineChars="200"/>
        <w:rPr>
          <w:rFonts w:ascii="仿宋_GB2312" w:eastAsia="仿宋_GB2312"/>
          <w:color w:val="auto"/>
          <w:sz w:val="28"/>
          <w:szCs w:val="28"/>
          <w:highlight w:val="none"/>
          <w:u w:val="single"/>
        </w:rPr>
      </w:pPr>
      <w:r>
        <w:rPr>
          <w:rFonts w:hint="eastAsia" w:ascii="仿宋_GB2312" w:eastAsia="仿宋_GB2312"/>
          <w:color w:val="auto"/>
          <w:sz w:val="28"/>
          <w:szCs w:val="28"/>
          <w:highlight w:val="none"/>
        </w:rPr>
        <w:t>事实依据：</w:t>
      </w:r>
      <w:r>
        <w:rPr>
          <w:rFonts w:hint="eastAsia" w:ascii="仿宋_GB2312" w:eastAsia="仿宋_GB2312"/>
          <w:color w:val="auto"/>
          <w:sz w:val="28"/>
          <w:szCs w:val="28"/>
          <w:highlight w:val="none"/>
          <w:u w:val="single"/>
        </w:rPr>
        <w:t xml:space="preserve">                     </w:t>
      </w:r>
    </w:p>
    <w:p w14:paraId="17F37830">
      <w:pPr>
        <w:spacing w:line="560" w:lineRule="exact"/>
        <w:ind w:firstLine="560" w:firstLineChars="200"/>
        <w:rPr>
          <w:rFonts w:ascii="仿宋_GB2312" w:eastAsia="仿宋_GB2312"/>
          <w:color w:val="auto"/>
          <w:sz w:val="28"/>
          <w:szCs w:val="28"/>
          <w:highlight w:val="none"/>
          <w:u w:val="single"/>
        </w:rPr>
      </w:pPr>
      <w:r>
        <w:rPr>
          <w:rFonts w:hint="eastAsia" w:ascii="仿宋_GB2312" w:eastAsia="仿宋_GB2312"/>
          <w:color w:val="auto"/>
          <w:sz w:val="28"/>
          <w:szCs w:val="28"/>
          <w:highlight w:val="none"/>
        </w:rPr>
        <w:t>法律依据：</w:t>
      </w:r>
      <w:r>
        <w:rPr>
          <w:rFonts w:hint="eastAsia" w:ascii="仿宋_GB2312" w:eastAsia="仿宋_GB2312"/>
          <w:color w:val="auto"/>
          <w:sz w:val="28"/>
          <w:szCs w:val="28"/>
          <w:highlight w:val="none"/>
          <w:u w:val="single"/>
        </w:rPr>
        <w:t xml:space="preserve">                     </w:t>
      </w:r>
    </w:p>
    <w:p w14:paraId="52F354E5">
      <w:pPr>
        <w:spacing w:line="560" w:lineRule="exact"/>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质疑事项2</w:t>
      </w:r>
    </w:p>
    <w:p w14:paraId="12C08FFF">
      <w:pPr>
        <w:spacing w:line="560" w:lineRule="exact"/>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w:t>
      </w:r>
    </w:p>
    <w:p w14:paraId="48C1E22B">
      <w:pPr>
        <w:spacing w:line="560" w:lineRule="exact"/>
        <w:ind w:firstLine="562" w:firstLineChars="200"/>
        <w:rPr>
          <w:rFonts w:ascii="仿宋_GB2312" w:eastAsia="仿宋_GB2312"/>
          <w:b/>
          <w:bCs/>
          <w:color w:val="auto"/>
          <w:sz w:val="28"/>
          <w:szCs w:val="28"/>
          <w:highlight w:val="none"/>
        </w:rPr>
      </w:pPr>
      <w:r>
        <w:rPr>
          <w:rFonts w:hint="eastAsia" w:ascii="仿宋_GB2312" w:eastAsia="仿宋_GB2312"/>
          <w:b/>
          <w:bCs/>
          <w:color w:val="auto"/>
          <w:sz w:val="28"/>
          <w:szCs w:val="28"/>
          <w:highlight w:val="none"/>
        </w:rPr>
        <w:t>四、与质疑事项相关的质疑请求</w:t>
      </w:r>
    </w:p>
    <w:p w14:paraId="219A9A0C">
      <w:pPr>
        <w:spacing w:line="560" w:lineRule="exact"/>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请求：</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 xml:space="preserve">                         </w:t>
      </w:r>
    </w:p>
    <w:p w14:paraId="5D239C55">
      <w:pPr>
        <w:spacing w:line="560" w:lineRule="exact"/>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签字(签章)：</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 xml:space="preserve">   公章：                      </w:t>
      </w:r>
    </w:p>
    <w:p w14:paraId="558CB684">
      <w:pPr>
        <w:spacing w:line="560" w:lineRule="exact"/>
        <w:ind w:firstLine="560" w:firstLineChars="200"/>
        <w:rPr>
          <w:rFonts w:ascii="仿宋_GB2312" w:eastAsia="仿宋_GB2312"/>
          <w:color w:val="auto"/>
          <w:sz w:val="28"/>
          <w:szCs w:val="28"/>
          <w:highlight w:val="none"/>
          <w:u w:val="single"/>
        </w:rPr>
      </w:pPr>
      <w:r>
        <w:rPr>
          <w:rFonts w:hint="eastAsia" w:ascii="仿宋_GB2312" w:eastAsia="仿宋_GB2312"/>
          <w:color w:val="auto"/>
          <w:sz w:val="28"/>
          <w:szCs w:val="28"/>
          <w:highlight w:val="none"/>
        </w:rPr>
        <w:t>日期：</w:t>
      </w:r>
      <w:r>
        <w:rPr>
          <w:rFonts w:hint="eastAsia" w:ascii="仿宋_GB2312" w:eastAsia="仿宋_GB2312"/>
          <w:color w:val="auto"/>
          <w:sz w:val="28"/>
          <w:szCs w:val="28"/>
          <w:highlight w:val="none"/>
          <w:u w:val="single"/>
        </w:rPr>
        <w:t xml:space="preserve">                      </w:t>
      </w:r>
    </w:p>
    <w:p w14:paraId="52F3EB96">
      <w:pPr>
        <w:rPr>
          <w:rFonts w:ascii="仿宋_GB2312" w:eastAsia="仿宋_GB2312"/>
          <w:color w:val="auto"/>
          <w:sz w:val="28"/>
          <w:szCs w:val="28"/>
          <w:highlight w:val="none"/>
        </w:rPr>
        <w:sectPr>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09AE49A7">
      <w:pPr>
        <w:spacing w:line="560" w:lineRule="exact"/>
        <w:ind w:firstLine="562" w:firstLineChars="200"/>
        <w:rPr>
          <w:rFonts w:ascii="仿宋_GB2312" w:eastAsia="仿宋_GB2312"/>
          <w:b/>
          <w:bCs/>
          <w:color w:val="auto"/>
          <w:sz w:val="28"/>
          <w:szCs w:val="28"/>
          <w:highlight w:val="none"/>
        </w:rPr>
      </w:pPr>
      <w:r>
        <w:rPr>
          <w:rFonts w:hint="eastAsia" w:ascii="仿宋_GB2312" w:eastAsia="仿宋_GB2312"/>
          <w:b/>
          <w:bCs/>
          <w:color w:val="auto"/>
          <w:sz w:val="28"/>
          <w:szCs w:val="28"/>
          <w:highlight w:val="none"/>
        </w:rPr>
        <w:t>质疑函制作说明：</w:t>
      </w:r>
    </w:p>
    <w:p w14:paraId="373A52CA">
      <w:pPr>
        <w:spacing w:line="588" w:lineRule="exact"/>
        <w:ind w:firstLine="584" w:firstLineChars="200"/>
        <w:rPr>
          <w:rFonts w:ascii="仿宋_GB2312" w:eastAsia="仿宋_GB2312"/>
          <w:color w:val="auto"/>
          <w:spacing w:val="6"/>
          <w:sz w:val="28"/>
          <w:szCs w:val="28"/>
          <w:highlight w:val="none"/>
        </w:rPr>
      </w:pPr>
      <w:r>
        <w:rPr>
          <w:rFonts w:hint="eastAsia" w:ascii="仿宋_GB2312" w:eastAsia="仿宋_GB2312"/>
          <w:color w:val="auto"/>
          <w:spacing w:val="6"/>
          <w:sz w:val="28"/>
          <w:szCs w:val="28"/>
          <w:highlight w:val="none"/>
        </w:rPr>
        <w:t>1.供应商提出质疑时，应提交质疑函和必要的证明材料。</w:t>
      </w:r>
    </w:p>
    <w:p w14:paraId="681763BB">
      <w:pPr>
        <w:spacing w:line="588" w:lineRule="exact"/>
        <w:ind w:firstLine="584" w:firstLineChars="200"/>
        <w:rPr>
          <w:rFonts w:ascii="仿宋_GB2312" w:eastAsia="仿宋_GB2312"/>
          <w:color w:val="auto"/>
          <w:spacing w:val="6"/>
          <w:sz w:val="28"/>
          <w:szCs w:val="28"/>
          <w:highlight w:val="none"/>
        </w:rPr>
      </w:pPr>
      <w:r>
        <w:rPr>
          <w:rFonts w:hint="eastAsia" w:ascii="仿宋_GB2312" w:eastAsia="仿宋_GB2312"/>
          <w:color w:val="auto"/>
          <w:spacing w:val="6"/>
          <w:sz w:val="28"/>
          <w:szCs w:val="28"/>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CFEBE64">
      <w:pPr>
        <w:spacing w:line="588" w:lineRule="exact"/>
        <w:ind w:firstLine="584" w:firstLineChars="200"/>
        <w:rPr>
          <w:rFonts w:ascii="仿宋_GB2312" w:eastAsia="仿宋_GB2312"/>
          <w:color w:val="auto"/>
          <w:spacing w:val="6"/>
          <w:sz w:val="28"/>
          <w:szCs w:val="28"/>
          <w:highlight w:val="none"/>
        </w:rPr>
      </w:pPr>
      <w:r>
        <w:rPr>
          <w:rFonts w:hint="eastAsia" w:ascii="仿宋_GB2312" w:eastAsia="仿宋_GB2312"/>
          <w:color w:val="auto"/>
          <w:spacing w:val="6"/>
          <w:sz w:val="28"/>
          <w:szCs w:val="28"/>
          <w:highlight w:val="none"/>
        </w:rPr>
        <w:t>3.质疑供应商若对项目的某一分包进行质疑，质疑函中应列明具体分包号。</w:t>
      </w:r>
    </w:p>
    <w:p w14:paraId="205E032C">
      <w:pPr>
        <w:spacing w:line="588" w:lineRule="exact"/>
        <w:ind w:firstLine="584" w:firstLineChars="200"/>
        <w:rPr>
          <w:rFonts w:ascii="仿宋_GB2312" w:eastAsia="仿宋_GB2312"/>
          <w:color w:val="auto"/>
          <w:spacing w:val="6"/>
          <w:sz w:val="28"/>
          <w:szCs w:val="28"/>
          <w:highlight w:val="none"/>
        </w:rPr>
      </w:pPr>
      <w:r>
        <w:rPr>
          <w:rFonts w:hint="eastAsia" w:ascii="仿宋_GB2312" w:eastAsia="仿宋_GB2312"/>
          <w:color w:val="auto"/>
          <w:spacing w:val="6"/>
          <w:sz w:val="28"/>
          <w:szCs w:val="28"/>
          <w:highlight w:val="none"/>
        </w:rPr>
        <w:t>4.质疑函的质疑事项应具体、明确，并有必要的事实依据和法律依据。</w:t>
      </w:r>
    </w:p>
    <w:p w14:paraId="25441A9E">
      <w:pPr>
        <w:spacing w:line="588" w:lineRule="exact"/>
        <w:ind w:firstLine="584" w:firstLineChars="200"/>
        <w:rPr>
          <w:rFonts w:ascii="仿宋_GB2312" w:eastAsia="仿宋_GB2312"/>
          <w:color w:val="auto"/>
          <w:spacing w:val="6"/>
          <w:sz w:val="28"/>
          <w:szCs w:val="28"/>
          <w:highlight w:val="none"/>
        </w:rPr>
      </w:pPr>
      <w:r>
        <w:rPr>
          <w:rFonts w:hint="eastAsia" w:ascii="仿宋_GB2312" w:eastAsia="仿宋_GB2312"/>
          <w:color w:val="auto"/>
          <w:spacing w:val="6"/>
          <w:sz w:val="28"/>
          <w:szCs w:val="28"/>
          <w:highlight w:val="none"/>
        </w:rPr>
        <w:t>5.质疑函的质疑请求应与质疑事项相关。</w:t>
      </w:r>
    </w:p>
    <w:p w14:paraId="10FCA976">
      <w:pPr>
        <w:spacing w:line="560" w:lineRule="exact"/>
        <w:ind w:firstLine="584" w:firstLineChars="200"/>
        <w:rPr>
          <w:rFonts w:ascii="仿宋_GB2312" w:eastAsia="仿宋_GB2312"/>
          <w:color w:val="auto"/>
          <w:sz w:val="28"/>
          <w:szCs w:val="28"/>
          <w:highlight w:val="none"/>
        </w:rPr>
      </w:pPr>
      <w:r>
        <w:rPr>
          <w:rFonts w:hint="eastAsia" w:ascii="仿宋_GB2312" w:eastAsia="仿宋_GB2312"/>
          <w:color w:val="auto"/>
          <w:spacing w:val="6"/>
          <w:sz w:val="28"/>
          <w:szCs w:val="28"/>
          <w:highlight w:val="none"/>
        </w:rPr>
        <w:t>6.质疑供应商为自然人的，质疑函应由本人签字；质疑供应商为法人或者其他组织的，质疑函应由法定代表人、主要负责人，或者其授权代表签字或者盖章，并加盖公章。</w:t>
      </w:r>
    </w:p>
    <w:p w14:paraId="46E26586">
      <w:pPr>
        <w:spacing w:line="560" w:lineRule="exact"/>
        <w:jc w:val="center"/>
        <w:rPr>
          <w:rFonts w:ascii="宋体" w:hAnsi="宋体" w:cs="宋体"/>
          <w:b/>
          <w:color w:val="auto"/>
          <w:sz w:val="30"/>
          <w:szCs w:val="30"/>
          <w:highlight w:val="none"/>
        </w:rPr>
      </w:pPr>
    </w:p>
    <w:p w14:paraId="07281D60">
      <w:pPr>
        <w:spacing w:line="560" w:lineRule="exact"/>
        <w:jc w:val="center"/>
        <w:rPr>
          <w:rFonts w:ascii="宋体" w:hAnsi="宋体" w:cs="宋体"/>
          <w:b/>
          <w:color w:val="auto"/>
          <w:sz w:val="30"/>
          <w:szCs w:val="30"/>
          <w:highlight w:val="none"/>
        </w:rPr>
      </w:pPr>
    </w:p>
    <w:p w14:paraId="0B201658">
      <w:pPr>
        <w:spacing w:line="560" w:lineRule="exact"/>
        <w:jc w:val="center"/>
        <w:rPr>
          <w:rFonts w:ascii="宋体" w:hAnsi="宋体" w:cs="宋体"/>
          <w:b/>
          <w:color w:val="auto"/>
          <w:sz w:val="30"/>
          <w:szCs w:val="30"/>
          <w:highlight w:val="none"/>
        </w:rPr>
      </w:pPr>
    </w:p>
    <w:p w14:paraId="305FD4A1">
      <w:pPr>
        <w:spacing w:line="560" w:lineRule="exact"/>
        <w:jc w:val="center"/>
        <w:rPr>
          <w:rFonts w:ascii="宋体" w:hAnsi="宋体" w:cs="宋体"/>
          <w:b/>
          <w:color w:val="auto"/>
          <w:sz w:val="30"/>
          <w:szCs w:val="30"/>
          <w:highlight w:val="none"/>
        </w:rPr>
      </w:pPr>
    </w:p>
    <w:p w14:paraId="6687C9F3">
      <w:pPr>
        <w:spacing w:line="560" w:lineRule="exact"/>
        <w:jc w:val="center"/>
        <w:rPr>
          <w:rFonts w:ascii="宋体" w:hAnsi="宋体" w:cs="宋体"/>
          <w:b/>
          <w:color w:val="auto"/>
          <w:sz w:val="30"/>
          <w:szCs w:val="30"/>
          <w:highlight w:val="none"/>
        </w:rPr>
      </w:pPr>
    </w:p>
    <w:p w14:paraId="2D473C9C">
      <w:pPr>
        <w:spacing w:line="560" w:lineRule="exact"/>
        <w:jc w:val="center"/>
        <w:rPr>
          <w:rFonts w:ascii="宋体" w:hAnsi="宋体" w:cs="宋体"/>
          <w:b/>
          <w:color w:val="auto"/>
          <w:sz w:val="30"/>
          <w:szCs w:val="30"/>
          <w:highlight w:val="none"/>
        </w:rPr>
      </w:pPr>
    </w:p>
    <w:p w14:paraId="413FF32D">
      <w:pPr>
        <w:spacing w:line="560" w:lineRule="exact"/>
        <w:jc w:val="center"/>
        <w:rPr>
          <w:rFonts w:ascii="宋体" w:hAnsi="宋体" w:cs="宋体"/>
          <w:b/>
          <w:color w:val="auto"/>
          <w:sz w:val="30"/>
          <w:szCs w:val="30"/>
          <w:highlight w:val="none"/>
        </w:rPr>
      </w:pPr>
    </w:p>
    <w:p w14:paraId="5B121264">
      <w:pPr>
        <w:spacing w:line="560" w:lineRule="exact"/>
        <w:jc w:val="center"/>
        <w:rPr>
          <w:rFonts w:ascii="宋体" w:hAnsi="宋体" w:cs="宋体"/>
          <w:b/>
          <w:color w:val="auto"/>
          <w:sz w:val="30"/>
          <w:szCs w:val="30"/>
          <w:highlight w:val="none"/>
        </w:rPr>
      </w:pPr>
    </w:p>
    <w:p w14:paraId="7182911A">
      <w:pPr>
        <w:spacing w:line="560" w:lineRule="exact"/>
        <w:jc w:val="center"/>
        <w:rPr>
          <w:rFonts w:ascii="宋体" w:hAnsi="宋体" w:cs="宋体"/>
          <w:b/>
          <w:color w:val="auto"/>
          <w:sz w:val="30"/>
          <w:szCs w:val="30"/>
          <w:highlight w:val="none"/>
        </w:rPr>
      </w:pPr>
    </w:p>
    <w:p w14:paraId="07D44F94">
      <w:pPr>
        <w:spacing w:line="560" w:lineRule="exact"/>
        <w:jc w:val="center"/>
        <w:rPr>
          <w:rFonts w:ascii="宋体" w:hAnsi="宋体" w:cs="宋体"/>
          <w:b/>
          <w:color w:val="auto"/>
          <w:sz w:val="30"/>
          <w:szCs w:val="30"/>
          <w:highlight w:val="none"/>
        </w:rPr>
      </w:pPr>
    </w:p>
    <w:p w14:paraId="4C1B9F55">
      <w:pPr>
        <w:widowControl w:val="0"/>
        <w:numPr>
          <w:ilvl w:val="0"/>
          <w:numId w:val="0"/>
        </w:numPr>
        <w:wordWrap/>
        <w:adjustRightInd/>
        <w:snapToGrid/>
        <w:spacing w:line="560" w:lineRule="exact"/>
        <w:ind w:leftChars="0"/>
        <w:jc w:val="center"/>
        <w:textAlignment w:val="auto"/>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 xml:space="preserve">第三章 </w:t>
      </w:r>
      <w:r>
        <w:rPr>
          <w:rFonts w:hint="eastAsia" w:ascii="宋体" w:hAnsi="宋体" w:eastAsia="宋体" w:cs="宋体"/>
          <w:b/>
          <w:color w:val="auto"/>
          <w:sz w:val="30"/>
          <w:szCs w:val="30"/>
          <w:highlight w:val="none"/>
        </w:rPr>
        <w:t>采购需求</w:t>
      </w:r>
    </w:p>
    <w:p w14:paraId="28AB2523">
      <w:pPr>
        <w:numPr>
          <w:ilvl w:val="0"/>
          <w:numId w:val="5"/>
        </w:numPr>
        <w:spacing w:line="560" w:lineRule="exact"/>
        <w:ind w:firstLine="562" w:firstLineChars="200"/>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项目概况及</w:t>
      </w:r>
      <w:r>
        <w:rPr>
          <w:rFonts w:hint="eastAsia" w:ascii="仿宋_GB2312" w:hAnsi="仿宋_GB2312" w:eastAsia="仿宋_GB2312" w:cs="仿宋_GB2312"/>
          <w:b/>
          <w:bCs/>
          <w:color w:val="auto"/>
          <w:sz w:val="28"/>
          <w:szCs w:val="28"/>
          <w:highlight w:val="none"/>
        </w:rPr>
        <w:t>采购</w:t>
      </w:r>
      <w:r>
        <w:rPr>
          <w:rFonts w:hint="eastAsia" w:ascii="仿宋_GB2312" w:hAnsi="仿宋_GB2312" w:eastAsia="仿宋_GB2312" w:cs="仿宋_GB2312"/>
          <w:b/>
          <w:bCs/>
          <w:color w:val="auto"/>
          <w:sz w:val="28"/>
          <w:szCs w:val="28"/>
          <w:highlight w:val="none"/>
          <w:lang w:val="en-US" w:eastAsia="zh-CN"/>
        </w:rPr>
        <w:t>清单</w:t>
      </w:r>
    </w:p>
    <w:p w14:paraId="6FB99EF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物理吊装实验室</w:t>
      </w:r>
      <w:r>
        <w:rPr>
          <w:rFonts w:hint="eastAsia" w:ascii="仿宋_GB2312" w:hAnsi="仿宋_GB2312" w:eastAsia="仿宋_GB2312" w:cs="仿宋_GB2312"/>
          <w:color w:val="auto"/>
          <w:sz w:val="28"/>
          <w:szCs w:val="28"/>
          <w:highlight w:val="none"/>
          <w:lang w:eastAsia="zh-CN"/>
        </w:rPr>
        <w:t>清单</w:t>
      </w:r>
    </w:p>
    <w:tbl>
      <w:tblPr>
        <w:tblStyle w:val="21"/>
        <w:tblW w:w="9071" w:type="dxa"/>
        <w:jc w:val="center"/>
        <w:tblLayout w:type="fixed"/>
        <w:tblCellMar>
          <w:top w:w="0" w:type="dxa"/>
          <w:left w:w="108" w:type="dxa"/>
          <w:bottom w:w="0" w:type="dxa"/>
          <w:right w:w="108" w:type="dxa"/>
        </w:tblCellMar>
      </w:tblPr>
      <w:tblGrid>
        <w:gridCol w:w="1719"/>
        <w:gridCol w:w="3582"/>
        <w:gridCol w:w="1803"/>
        <w:gridCol w:w="1967"/>
      </w:tblGrid>
      <w:tr w14:paraId="5486E1FA">
        <w:tblPrEx>
          <w:tblCellMar>
            <w:top w:w="0" w:type="dxa"/>
            <w:left w:w="108" w:type="dxa"/>
            <w:bottom w:w="0" w:type="dxa"/>
            <w:right w:w="108" w:type="dxa"/>
          </w:tblCellMar>
        </w:tblPrEx>
        <w:trPr>
          <w:trHeight w:val="561" w:hRule="atLeast"/>
          <w:jc w:val="center"/>
        </w:trPr>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C6AA8">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序号</w:t>
            </w:r>
          </w:p>
        </w:tc>
        <w:tc>
          <w:tcPr>
            <w:tcW w:w="3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AE82D">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货物名称</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25FE8">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数量</w:t>
            </w:r>
          </w:p>
        </w:tc>
        <w:tc>
          <w:tcPr>
            <w:tcW w:w="1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49D10">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单位</w:t>
            </w:r>
          </w:p>
        </w:tc>
      </w:tr>
      <w:tr w14:paraId="3FE57E79">
        <w:tblPrEx>
          <w:tblCellMar>
            <w:top w:w="0" w:type="dxa"/>
            <w:left w:w="108" w:type="dxa"/>
            <w:bottom w:w="0" w:type="dxa"/>
            <w:right w:w="108" w:type="dxa"/>
          </w:tblCellMar>
        </w:tblPrEx>
        <w:trPr>
          <w:trHeight w:val="561" w:hRule="atLeast"/>
          <w:jc w:val="center"/>
        </w:trPr>
        <w:tc>
          <w:tcPr>
            <w:tcW w:w="907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092B58">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教师控制演示区</w:t>
            </w:r>
          </w:p>
        </w:tc>
      </w:tr>
      <w:tr w14:paraId="128050E2">
        <w:tblPrEx>
          <w:tblCellMar>
            <w:top w:w="0" w:type="dxa"/>
            <w:left w:w="108" w:type="dxa"/>
            <w:bottom w:w="0" w:type="dxa"/>
            <w:right w:w="108" w:type="dxa"/>
          </w:tblCellMar>
        </w:tblPrEx>
        <w:trPr>
          <w:trHeight w:val="561" w:hRule="atLeast"/>
          <w:jc w:val="center"/>
        </w:trPr>
        <w:tc>
          <w:tcPr>
            <w:tcW w:w="1719" w:type="dxa"/>
            <w:tcBorders>
              <w:top w:val="single" w:color="000000" w:sz="4" w:space="0"/>
              <w:left w:val="single" w:color="000000" w:sz="4" w:space="0"/>
              <w:bottom w:val="single" w:color="000000" w:sz="4" w:space="0"/>
              <w:right w:val="single" w:color="000000" w:sz="4" w:space="0"/>
            </w:tcBorders>
            <w:noWrap/>
            <w:vAlign w:val="center"/>
          </w:tcPr>
          <w:p w14:paraId="28B1D38C">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w:t>
            </w:r>
          </w:p>
        </w:tc>
        <w:tc>
          <w:tcPr>
            <w:tcW w:w="3582" w:type="dxa"/>
            <w:tcBorders>
              <w:top w:val="single" w:color="000000" w:sz="4" w:space="0"/>
              <w:left w:val="single" w:color="000000" w:sz="4" w:space="0"/>
              <w:bottom w:val="single" w:color="000000" w:sz="4" w:space="0"/>
              <w:right w:val="single" w:color="000000" w:sz="4" w:space="0"/>
            </w:tcBorders>
            <w:vAlign w:val="center"/>
          </w:tcPr>
          <w:p w14:paraId="0D6A4890">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实验桌（装配式教师演示台）</w:t>
            </w:r>
          </w:p>
        </w:tc>
        <w:tc>
          <w:tcPr>
            <w:tcW w:w="1803" w:type="dxa"/>
            <w:tcBorders>
              <w:top w:val="single" w:color="000000" w:sz="4" w:space="0"/>
              <w:left w:val="single" w:color="000000" w:sz="4" w:space="0"/>
              <w:bottom w:val="single" w:color="000000" w:sz="4" w:space="0"/>
              <w:right w:val="single" w:color="000000" w:sz="4" w:space="0"/>
            </w:tcBorders>
            <w:vAlign w:val="center"/>
          </w:tcPr>
          <w:p w14:paraId="00702D5B">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w:t>
            </w:r>
          </w:p>
        </w:tc>
        <w:tc>
          <w:tcPr>
            <w:tcW w:w="1967" w:type="dxa"/>
            <w:tcBorders>
              <w:top w:val="single" w:color="000000" w:sz="4" w:space="0"/>
              <w:left w:val="single" w:color="000000" w:sz="4" w:space="0"/>
              <w:bottom w:val="single" w:color="000000" w:sz="4" w:space="0"/>
              <w:right w:val="single" w:color="000000" w:sz="4" w:space="0"/>
            </w:tcBorders>
            <w:vAlign w:val="center"/>
          </w:tcPr>
          <w:p w14:paraId="259254B1">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张</w:t>
            </w:r>
          </w:p>
        </w:tc>
      </w:tr>
      <w:tr w14:paraId="12CDD10A">
        <w:tblPrEx>
          <w:tblCellMar>
            <w:top w:w="0" w:type="dxa"/>
            <w:left w:w="108" w:type="dxa"/>
            <w:bottom w:w="0" w:type="dxa"/>
            <w:right w:w="108" w:type="dxa"/>
          </w:tblCellMar>
        </w:tblPrEx>
        <w:trPr>
          <w:trHeight w:val="561" w:hRule="atLeast"/>
          <w:jc w:val="center"/>
        </w:trPr>
        <w:tc>
          <w:tcPr>
            <w:tcW w:w="1719" w:type="dxa"/>
            <w:tcBorders>
              <w:top w:val="single" w:color="000000" w:sz="4" w:space="0"/>
              <w:left w:val="single" w:color="000000" w:sz="4" w:space="0"/>
              <w:bottom w:val="single" w:color="000000" w:sz="4" w:space="0"/>
              <w:right w:val="single" w:color="000000" w:sz="4" w:space="0"/>
            </w:tcBorders>
            <w:noWrap/>
            <w:vAlign w:val="center"/>
          </w:tcPr>
          <w:p w14:paraId="40DDA2C1">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w:t>
            </w:r>
          </w:p>
        </w:tc>
        <w:tc>
          <w:tcPr>
            <w:tcW w:w="3582" w:type="dxa"/>
            <w:tcBorders>
              <w:top w:val="single" w:color="000000" w:sz="4" w:space="0"/>
              <w:left w:val="single" w:color="000000" w:sz="4" w:space="0"/>
              <w:bottom w:val="single" w:color="000000" w:sz="4" w:space="0"/>
              <w:right w:val="single" w:color="000000" w:sz="4" w:space="0"/>
            </w:tcBorders>
            <w:vAlign w:val="center"/>
          </w:tcPr>
          <w:p w14:paraId="296771B8">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教师椅</w:t>
            </w:r>
          </w:p>
        </w:tc>
        <w:tc>
          <w:tcPr>
            <w:tcW w:w="1803" w:type="dxa"/>
            <w:tcBorders>
              <w:top w:val="single" w:color="000000" w:sz="4" w:space="0"/>
              <w:left w:val="single" w:color="000000" w:sz="4" w:space="0"/>
              <w:bottom w:val="single" w:color="000000" w:sz="4" w:space="0"/>
              <w:right w:val="single" w:color="000000" w:sz="4" w:space="0"/>
            </w:tcBorders>
            <w:vAlign w:val="center"/>
          </w:tcPr>
          <w:p w14:paraId="27661F28">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w:t>
            </w:r>
          </w:p>
        </w:tc>
        <w:tc>
          <w:tcPr>
            <w:tcW w:w="1967" w:type="dxa"/>
            <w:tcBorders>
              <w:top w:val="single" w:color="000000" w:sz="4" w:space="0"/>
              <w:left w:val="single" w:color="000000" w:sz="4" w:space="0"/>
              <w:bottom w:val="single" w:color="000000" w:sz="4" w:space="0"/>
              <w:right w:val="single" w:color="000000" w:sz="4" w:space="0"/>
            </w:tcBorders>
            <w:vAlign w:val="center"/>
          </w:tcPr>
          <w:p w14:paraId="05932D0E">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张</w:t>
            </w:r>
          </w:p>
        </w:tc>
      </w:tr>
      <w:tr w14:paraId="285F849F">
        <w:tblPrEx>
          <w:tblCellMar>
            <w:top w:w="0" w:type="dxa"/>
            <w:left w:w="108" w:type="dxa"/>
            <w:bottom w:w="0" w:type="dxa"/>
            <w:right w:w="108" w:type="dxa"/>
          </w:tblCellMar>
        </w:tblPrEx>
        <w:trPr>
          <w:trHeight w:val="561" w:hRule="atLeast"/>
          <w:jc w:val="center"/>
        </w:trPr>
        <w:tc>
          <w:tcPr>
            <w:tcW w:w="1719" w:type="dxa"/>
            <w:tcBorders>
              <w:top w:val="single" w:color="000000" w:sz="4" w:space="0"/>
              <w:left w:val="single" w:color="000000" w:sz="4" w:space="0"/>
              <w:bottom w:val="single" w:color="000000" w:sz="4" w:space="0"/>
              <w:right w:val="single" w:color="000000" w:sz="4" w:space="0"/>
            </w:tcBorders>
            <w:noWrap/>
            <w:vAlign w:val="center"/>
          </w:tcPr>
          <w:p w14:paraId="73A4DF9F">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3</w:t>
            </w:r>
          </w:p>
        </w:tc>
        <w:tc>
          <w:tcPr>
            <w:tcW w:w="3582" w:type="dxa"/>
            <w:tcBorders>
              <w:top w:val="single" w:color="000000" w:sz="4" w:space="0"/>
              <w:left w:val="single" w:color="000000" w:sz="4" w:space="0"/>
              <w:bottom w:val="single" w:color="000000" w:sz="4" w:space="0"/>
              <w:right w:val="single" w:color="000000" w:sz="4" w:space="0"/>
            </w:tcBorders>
            <w:vAlign w:val="center"/>
          </w:tcPr>
          <w:p w14:paraId="53B74C13">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教师电源</w:t>
            </w:r>
          </w:p>
        </w:tc>
        <w:tc>
          <w:tcPr>
            <w:tcW w:w="1803" w:type="dxa"/>
            <w:tcBorders>
              <w:top w:val="single" w:color="000000" w:sz="4" w:space="0"/>
              <w:left w:val="single" w:color="000000" w:sz="4" w:space="0"/>
              <w:bottom w:val="single" w:color="000000" w:sz="4" w:space="0"/>
              <w:right w:val="single" w:color="000000" w:sz="4" w:space="0"/>
            </w:tcBorders>
            <w:vAlign w:val="center"/>
          </w:tcPr>
          <w:p w14:paraId="6F246425">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w:t>
            </w:r>
          </w:p>
        </w:tc>
        <w:tc>
          <w:tcPr>
            <w:tcW w:w="1967" w:type="dxa"/>
            <w:tcBorders>
              <w:top w:val="single" w:color="000000" w:sz="4" w:space="0"/>
              <w:left w:val="single" w:color="000000" w:sz="4" w:space="0"/>
              <w:bottom w:val="single" w:color="000000" w:sz="4" w:space="0"/>
              <w:right w:val="single" w:color="000000" w:sz="4" w:space="0"/>
            </w:tcBorders>
            <w:vAlign w:val="center"/>
          </w:tcPr>
          <w:p w14:paraId="28ADD628">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套</w:t>
            </w:r>
          </w:p>
        </w:tc>
      </w:tr>
      <w:tr w14:paraId="6F03DAA1">
        <w:tblPrEx>
          <w:tblCellMar>
            <w:top w:w="0" w:type="dxa"/>
            <w:left w:w="108" w:type="dxa"/>
            <w:bottom w:w="0" w:type="dxa"/>
            <w:right w:w="108" w:type="dxa"/>
          </w:tblCellMar>
        </w:tblPrEx>
        <w:trPr>
          <w:trHeight w:val="561" w:hRule="atLeast"/>
          <w:jc w:val="center"/>
        </w:trPr>
        <w:tc>
          <w:tcPr>
            <w:tcW w:w="1719" w:type="dxa"/>
            <w:tcBorders>
              <w:top w:val="single" w:color="000000" w:sz="4" w:space="0"/>
              <w:left w:val="single" w:color="000000" w:sz="4" w:space="0"/>
              <w:bottom w:val="single" w:color="000000" w:sz="4" w:space="0"/>
              <w:right w:val="single" w:color="000000" w:sz="4" w:space="0"/>
            </w:tcBorders>
            <w:noWrap/>
            <w:vAlign w:val="center"/>
          </w:tcPr>
          <w:p w14:paraId="0D4ACABC">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4</w:t>
            </w:r>
          </w:p>
        </w:tc>
        <w:tc>
          <w:tcPr>
            <w:tcW w:w="3582" w:type="dxa"/>
            <w:tcBorders>
              <w:top w:val="single" w:color="000000" w:sz="4" w:space="0"/>
              <w:left w:val="single" w:color="000000" w:sz="4" w:space="0"/>
              <w:bottom w:val="single" w:color="000000" w:sz="4" w:space="0"/>
              <w:right w:val="single" w:color="000000" w:sz="4" w:space="0"/>
            </w:tcBorders>
            <w:vAlign w:val="center"/>
          </w:tcPr>
          <w:p w14:paraId="5EA71883">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智能吊装控制系统</w:t>
            </w:r>
          </w:p>
        </w:tc>
        <w:tc>
          <w:tcPr>
            <w:tcW w:w="1803" w:type="dxa"/>
            <w:tcBorders>
              <w:top w:val="single" w:color="000000" w:sz="4" w:space="0"/>
              <w:left w:val="single" w:color="000000" w:sz="4" w:space="0"/>
              <w:bottom w:val="single" w:color="000000" w:sz="4" w:space="0"/>
              <w:right w:val="single" w:color="000000" w:sz="4" w:space="0"/>
            </w:tcBorders>
            <w:vAlign w:val="center"/>
          </w:tcPr>
          <w:p w14:paraId="177F708C">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w:t>
            </w:r>
          </w:p>
        </w:tc>
        <w:tc>
          <w:tcPr>
            <w:tcW w:w="1967" w:type="dxa"/>
            <w:tcBorders>
              <w:top w:val="single" w:color="000000" w:sz="4" w:space="0"/>
              <w:left w:val="single" w:color="000000" w:sz="4" w:space="0"/>
              <w:bottom w:val="single" w:color="000000" w:sz="4" w:space="0"/>
              <w:right w:val="single" w:color="000000" w:sz="4" w:space="0"/>
            </w:tcBorders>
            <w:vAlign w:val="center"/>
          </w:tcPr>
          <w:p w14:paraId="17A9D509">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套</w:t>
            </w:r>
          </w:p>
        </w:tc>
      </w:tr>
      <w:tr w14:paraId="4E31C1AC">
        <w:tblPrEx>
          <w:tblCellMar>
            <w:top w:w="0" w:type="dxa"/>
            <w:left w:w="108" w:type="dxa"/>
            <w:bottom w:w="0" w:type="dxa"/>
            <w:right w:w="108" w:type="dxa"/>
          </w:tblCellMar>
        </w:tblPrEx>
        <w:trPr>
          <w:trHeight w:val="561" w:hRule="atLeast"/>
          <w:jc w:val="center"/>
        </w:trPr>
        <w:tc>
          <w:tcPr>
            <w:tcW w:w="9071" w:type="dxa"/>
            <w:gridSpan w:val="4"/>
            <w:tcBorders>
              <w:top w:val="single" w:color="000000" w:sz="4" w:space="0"/>
              <w:left w:val="single" w:color="000000" w:sz="4" w:space="0"/>
              <w:bottom w:val="single" w:color="000000" w:sz="4" w:space="0"/>
              <w:right w:val="single" w:color="000000" w:sz="4" w:space="0"/>
            </w:tcBorders>
            <w:noWrap/>
            <w:vAlign w:val="center"/>
          </w:tcPr>
          <w:p w14:paraId="18EC5915">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学生实验学习区</w:t>
            </w:r>
          </w:p>
        </w:tc>
      </w:tr>
      <w:tr w14:paraId="0D661F46">
        <w:tblPrEx>
          <w:tblCellMar>
            <w:top w:w="0" w:type="dxa"/>
            <w:left w:w="108" w:type="dxa"/>
            <w:bottom w:w="0" w:type="dxa"/>
            <w:right w:w="108" w:type="dxa"/>
          </w:tblCellMar>
        </w:tblPrEx>
        <w:trPr>
          <w:trHeight w:val="561" w:hRule="atLeast"/>
          <w:jc w:val="center"/>
        </w:trPr>
        <w:tc>
          <w:tcPr>
            <w:tcW w:w="1719" w:type="dxa"/>
            <w:tcBorders>
              <w:top w:val="single" w:color="000000" w:sz="4" w:space="0"/>
              <w:left w:val="single" w:color="000000" w:sz="4" w:space="0"/>
              <w:bottom w:val="single" w:color="000000" w:sz="4" w:space="0"/>
              <w:right w:val="single" w:color="000000" w:sz="4" w:space="0"/>
            </w:tcBorders>
            <w:vAlign w:val="center"/>
          </w:tcPr>
          <w:p w14:paraId="05294AB5">
            <w:pPr>
              <w:widowControl/>
              <w:jc w:val="center"/>
              <w:textAlignment w:val="center"/>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val="en-US" w:eastAsia="zh-CN" w:bidi="ar"/>
              </w:rPr>
              <w:t>5</w:t>
            </w:r>
          </w:p>
        </w:tc>
        <w:tc>
          <w:tcPr>
            <w:tcW w:w="3582" w:type="dxa"/>
            <w:tcBorders>
              <w:top w:val="single" w:color="000000" w:sz="4" w:space="0"/>
              <w:left w:val="single" w:color="000000" w:sz="4" w:space="0"/>
              <w:bottom w:val="single" w:color="000000" w:sz="4" w:space="0"/>
              <w:right w:val="single" w:color="000000" w:sz="4" w:space="0"/>
            </w:tcBorders>
            <w:vAlign w:val="center"/>
          </w:tcPr>
          <w:p w14:paraId="6C26A018">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实验桌（学生）</w:t>
            </w:r>
          </w:p>
        </w:tc>
        <w:tc>
          <w:tcPr>
            <w:tcW w:w="1803" w:type="dxa"/>
            <w:tcBorders>
              <w:top w:val="single" w:color="000000" w:sz="4" w:space="0"/>
              <w:left w:val="single" w:color="000000" w:sz="4" w:space="0"/>
              <w:bottom w:val="single" w:color="000000" w:sz="4" w:space="0"/>
              <w:right w:val="single" w:color="000000" w:sz="4" w:space="0"/>
            </w:tcBorders>
            <w:vAlign w:val="center"/>
          </w:tcPr>
          <w:p w14:paraId="0D36ABC5">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28</w:t>
            </w:r>
          </w:p>
        </w:tc>
        <w:tc>
          <w:tcPr>
            <w:tcW w:w="1967" w:type="dxa"/>
            <w:tcBorders>
              <w:top w:val="single" w:color="000000" w:sz="4" w:space="0"/>
              <w:left w:val="single" w:color="000000" w:sz="4" w:space="0"/>
              <w:bottom w:val="single" w:color="000000" w:sz="4" w:space="0"/>
              <w:right w:val="single" w:color="000000" w:sz="4" w:space="0"/>
            </w:tcBorders>
            <w:vAlign w:val="center"/>
          </w:tcPr>
          <w:p w14:paraId="0CC1BC56">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张</w:t>
            </w:r>
          </w:p>
        </w:tc>
      </w:tr>
      <w:tr w14:paraId="28781C1B">
        <w:tblPrEx>
          <w:tblCellMar>
            <w:top w:w="0" w:type="dxa"/>
            <w:left w:w="108" w:type="dxa"/>
            <w:bottom w:w="0" w:type="dxa"/>
            <w:right w:w="108" w:type="dxa"/>
          </w:tblCellMar>
        </w:tblPrEx>
        <w:trPr>
          <w:trHeight w:val="561" w:hRule="atLeast"/>
          <w:jc w:val="center"/>
        </w:trPr>
        <w:tc>
          <w:tcPr>
            <w:tcW w:w="1719" w:type="dxa"/>
            <w:tcBorders>
              <w:top w:val="single" w:color="000000" w:sz="4" w:space="0"/>
              <w:left w:val="single" w:color="000000" w:sz="4" w:space="0"/>
              <w:bottom w:val="single" w:color="000000" w:sz="4" w:space="0"/>
              <w:right w:val="single" w:color="000000" w:sz="4" w:space="0"/>
            </w:tcBorders>
            <w:vAlign w:val="center"/>
          </w:tcPr>
          <w:p w14:paraId="120B0F30">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w:t>
            </w:r>
          </w:p>
        </w:tc>
        <w:tc>
          <w:tcPr>
            <w:tcW w:w="3582" w:type="dxa"/>
            <w:tcBorders>
              <w:top w:val="single" w:color="000000" w:sz="4" w:space="0"/>
              <w:left w:val="single" w:color="000000" w:sz="4" w:space="0"/>
              <w:bottom w:val="single" w:color="000000" w:sz="4" w:space="0"/>
              <w:right w:val="single" w:color="000000" w:sz="4" w:space="0"/>
            </w:tcBorders>
            <w:vAlign w:val="center"/>
          </w:tcPr>
          <w:p w14:paraId="2BC61F3D">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学生凳</w:t>
            </w:r>
          </w:p>
        </w:tc>
        <w:tc>
          <w:tcPr>
            <w:tcW w:w="1803" w:type="dxa"/>
            <w:tcBorders>
              <w:top w:val="single" w:color="000000" w:sz="4" w:space="0"/>
              <w:left w:val="single" w:color="000000" w:sz="4" w:space="0"/>
              <w:bottom w:val="single" w:color="000000" w:sz="4" w:space="0"/>
              <w:right w:val="single" w:color="000000" w:sz="4" w:space="0"/>
            </w:tcBorders>
            <w:vAlign w:val="center"/>
          </w:tcPr>
          <w:p w14:paraId="1C851A0D">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56</w:t>
            </w:r>
          </w:p>
        </w:tc>
        <w:tc>
          <w:tcPr>
            <w:tcW w:w="1967" w:type="dxa"/>
            <w:tcBorders>
              <w:top w:val="single" w:color="000000" w:sz="4" w:space="0"/>
              <w:left w:val="single" w:color="000000" w:sz="4" w:space="0"/>
              <w:bottom w:val="single" w:color="000000" w:sz="4" w:space="0"/>
              <w:right w:val="single" w:color="000000" w:sz="4" w:space="0"/>
            </w:tcBorders>
            <w:vAlign w:val="center"/>
          </w:tcPr>
          <w:p w14:paraId="24B1D9DE">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个</w:t>
            </w:r>
          </w:p>
        </w:tc>
      </w:tr>
      <w:tr w14:paraId="420FB5CC">
        <w:tblPrEx>
          <w:tblCellMar>
            <w:top w:w="0" w:type="dxa"/>
            <w:left w:w="108" w:type="dxa"/>
            <w:bottom w:w="0" w:type="dxa"/>
            <w:right w:w="108" w:type="dxa"/>
          </w:tblCellMar>
        </w:tblPrEx>
        <w:trPr>
          <w:trHeight w:val="561" w:hRule="atLeast"/>
          <w:jc w:val="center"/>
        </w:trPr>
        <w:tc>
          <w:tcPr>
            <w:tcW w:w="1719" w:type="dxa"/>
            <w:tcBorders>
              <w:top w:val="single" w:color="000000" w:sz="4" w:space="0"/>
              <w:left w:val="single" w:color="000000" w:sz="4" w:space="0"/>
              <w:bottom w:val="single" w:color="000000" w:sz="4" w:space="0"/>
              <w:right w:val="single" w:color="000000" w:sz="4" w:space="0"/>
            </w:tcBorders>
            <w:vAlign w:val="center"/>
          </w:tcPr>
          <w:p w14:paraId="6AD8FE47">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w:t>
            </w:r>
          </w:p>
        </w:tc>
        <w:tc>
          <w:tcPr>
            <w:tcW w:w="3582" w:type="dxa"/>
            <w:tcBorders>
              <w:top w:val="single" w:color="000000" w:sz="4" w:space="0"/>
              <w:left w:val="single" w:color="000000" w:sz="4" w:space="0"/>
              <w:bottom w:val="single" w:color="000000" w:sz="4" w:space="0"/>
              <w:right w:val="single" w:color="000000" w:sz="4" w:space="0"/>
            </w:tcBorders>
            <w:vAlign w:val="center"/>
          </w:tcPr>
          <w:p w14:paraId="3C60F035">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升降电源</w:t>
            </w:r>
          </w:p>
        </w:tc>
        <w:tc>
          <w:tcPr>
            <w:tcW w:w="1803" w:type="dxa"/>
            <w:tcBorders>
              <w:top w:val="single" w:color="000000" w:sz="4" w:space="0"/>
              <w:left w:val="single" w:color="000000" w:sz="4" w:space="0"/>
              <w:bottom w:val="single" w:color="000000" w:sz="4" w:space="0"/>
              <w:right w:val="single" w:color="000000" w:sz="4" w:space="0"/>
            </w:tcBorders>
            <w:vAlign w:val="center"/>
          </w:tcPr>
          <w:p w14:paraId="7339EFC8">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15</w:t>
            </w:r>
          </w:p>
        </w:tc>
        <w:tc>
          <w:tcPr>
            <w:tcW w:w="1967" w:type="dxa"/>
            <w:tcBorders>
              <w:top w:val="single" w:color="000000" w:sz="4" w:space="0"/>
              <w:left w:val="single" w:color="000000" w:sz="4" w:space="0"/>
              <w:bottom w:val="single" w:color="000000" w:sz="4" w:space="0"/>
              <w:right w:val="single" w:color="000000" w:sz="4" w:space="0"/>
            </w:tcBorders>
            <w:vAlign w:val="center"/>
          </w:tcPr>
          <w:p w14:paraId="5AD2D036">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套</w:t>
            </w:r>
          </w:p>
        </w:tc>
      </w:tr>
      <w:tr w14:paraId="78FA3538">
        <w:tblPrEx>
          <w:tblCellMar>
            <w:top w:w="0" w:type="dxa"/>
            <w:left w:w="108" w:type="dxa"/>
            <w:bottom w:w="0" w:type="dxa"/>
            <w:right w:w="108" w:type="dxa"/>
          </w:tblCellMar>
        </w:tblPrEx>
        <w:trPr>
          <w:trHeight w:val="561" w:hRule="atLeast"/>
          <w:jc w:val="center"/>
        </w:trPr>
        <w:tc>
          <w:tcPr>
            <w:tcW w:w="9071" w:type="dxa"/>
            <w:gridSpan w:val="4"/>
            <w:tcBorders>
              <w:top w:val="single" w:color="000000" w:sz="4" w:space="0"/>
              <w:left w:val="single" w:color="000000" w:sz="4" w:space="0"/>
              <w:bottom w:val="single" w:color="000000" w:sz="4" w:space="0"/>
              <w:right w:val="single" w:color="000000" w:sz="4" w:space="0"/>
            </w:tcBorders>
            <w:vAlign w:val="center"/>
          </w:tcPr>
          <w:p w14:paraId="1B678246">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安装附件部分</w:t>
            </w:r>
          </w:p>
        </w:tc>
      </w:tr>
      <w:tr w14:paraId="5BBD82FC">
        <w:tblPrEx>
          <w:tblCellMar>
            <w:top w:w="0" w:type="dxa"/>
            <w:left w:w="108" w:type="dxa"/>
            <w:bottom w:w="0" w:type="dxa"/>
            <w:right w:w="108" w:type="dxa"/>
          </w:tblCellMar>
        </w:tblPrEx>
        <w:trPr>
          <w:trHeight w:val="561" w:hRule="atLeast"/>
          <w:jc w:val="center"/>
        </w:trPr>
        <w:tc>
          <w:tcPr>
            <w:tcW w:w="1719" w:type="dxa"/>
            <w:tcBorders>
              <w:top w:val="single" w:color="000000" w:sz="4" w:space="0"/>
              <w:left w:val="single" w:color="000000" w:sz="4" w:space="0"/>
              <w:bottom w:val="single" w:color="000000" w:sz="4" w:space="0"/>
              <w:right w:val="single" w:color="000000" w:sz="4" w:space="0"/>
            </w:tcBorders>
            <w:noWrap/>
            <w:vAlign w:val="center"/>
          </w:tcPr>
          <w:p w14:paraId="0121483B">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8</w:t>
            </w:r>
          </w:p>
        </w:tc>
        <w:tc>
          <w:tcPr>
            <w:tcW w:w="3582" w:type="dxa"/>
            <w:tcBorders>
              <w:top w:val="single" w:color="000000" w:sz="4" w:space="0"/>
              <w:left w:val="single" w:color="000000" w:sz="4" w:space="0"/>
              <w:bottom w:val="single" w:color="000000" w:sz="4" w:space="0"/>
              <w:right w:val="single" w:color="000000" w:sz="4" w:space="0"/>
            </w:tcBorders>
            <w:vAlign w:val="center"/>
          </w:tcPr>
          <w:p w14:paraId="184C182F">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电源布线耗材</w:t>
            </w:r>
          </w:p>
        </w:tc>
        <w:tc>
          <w:tcPr>
            <w:tcW w:w="1803" w:type="dxa"/>
            <w:tcBorders>
              <w:top w:val="single" w:color="000000" w:sz="4" w:space="0"/>
              <w:left w:val="single" w:color="000000" w:sz="4" w:space="0"/>
              <w:bottom w:val="single" w:color="000000" w:sz="4" w:space="0"/>
              <w:right w:val="single" w:color="000000" w:sz="4" w:space="0"/>
            </w:tcBorders>
            <w:vAlign w:val="center"/>
          </w:tcPr>
          <w:p w14:paraId="12192E55">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w:t>
            </w:r>
          </w:p>
        </w:tc>
        <w:tc>
          <w:tcPr>
            <w:tcW w:w="1967" w:type="dxa"/>
            <w:tcBorders>
              <w:top w:val="single" w:color="000000" w:sz="4" w:space="0"/>
              <w:left w:val="single" w:color="000000" w:sz="4" w:space="0"/>
              <w:bottom w:val="single" w:color="000000" w:sz="4" w:space="0"/>
              <w:right w:val="single" w:color="000000" w:sz="4" w:space="0"/>
            </w:tcBorders>
            <w:vAlign w:val="center"/>
          </w:tcPr>
          <w:p w14:paraId="200B6A43">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室</w:t>
            </w:r>
          </w:p>
        </w:tc>
      </w:tr>
      <w:tr w14:paraId="012698DE">
        <w:tblPrEx>
          <w:tblCellMar>
            <w:top w:w="0" w:type="dxa"/>
            <w:left w:w="108" w:type="dxa"/>
            <w:bottom w:w="0" w:type="dxa"/>
            <w:right w:w="108" w:type="dxa"/>
          </w:tblCellMar>
        </w:tblPrEx>
        <w:trPr>
          <w:trHeight w:val="561" w:hRule="atLeast"/>
          <w:jc w:val="center"/>
        </w:trPr>
        <w:tc>
          <w:tcPr>
            <w:tcW w:w="1719" w:type="dxa"/>
            <w:tcBorders>
              <w:top w:val="single" w:color="000000" w:sz="4" w:space="0"/>
              <w:left w:val="single" w:color="000000" w:sz="4" w:space="0"/>
              <w:bottom w:val="single" w:color="000000" w:sz="4" w:space="0"/>
              <w:right w:val="single" w:color="000000" w:sz="4" w:space="0"/>
            </w:tcBorders>
            <w:noWrap/>
            <w:vAlign w:val="center"/>
          </w:tcPr>
          <w:p w14:paraId="63CFF9FD">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w:t>
            </w:r>
          </w:p>
        </w:tc>
        <w:tc>
          <w:tcPr>
            <w:tcW w:w="3582" w:type="dxa"/>
            <w:tcBorders>
              <w:top w:val="single" w:color="000000" w:sz="4" w:space="0"/>
              <w:left w:val="single" w:color="000000" w:sz="4" w:space="0"/>
              <w:bottom w:val="single" w:color="000000" w:sz="4" w:space="0"/>
              <w:right w:val="single" w:color="000000" w:sz="4" w:space="0"/>
            </w:tcBorders>
            <w:vAlign w:val="center"/>
          </w:tcPr>
          <w:p w14:paraId="02710503">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系统安装辅件</w:t>
            </w:r>
          </w:p>
        </w:tc>
        <w:tc>
          <w:tcPr>
            <w:tcW w:w="1803" w:type="dxa"/>
            <w:tcBorders>
              <w:top w:val="single" w:color="000000" w:sz="4" w:space="0"/>
              <w:left w:val="single" w:color="000000" w:sz="4" w:space="0"/>
              <w:bottom w:val="single" w:color="000000" w:sz="4" w:space="0"/>
              <w:right w:val="single" w:color="000000" w:sz="4" w:space="0"/>
            </w:tcBorders>
            <w:noWrap/>
            <w:vAlign w:val="center"/>
          </w:tcPr>
          <w:p w14:paraId="594B05B5">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w:t>
            </w:r>
          </w:p>
        </w:tc>
        <w:tc>
          <w:tcPr>
            <w:tcW w:w="1967" w:type="dxa"/>
            <w:tcBorders>
              <w:top w:val="single" w:color="000000" w:sz="4" w:space="0"/>
              <w:left w:val="single" w:color="000000" w:sz="4" w:space="0"/>
              <w:bottom w:val="single" w:color="000000" w:sz="4" w:space="0"/>
              <w:right w:val="single" w:color="000000" w:sz="4" w:space="0"/>
            </w:tcBorders>
            <w:noWrap/>
            <w:vAlign w:val="center"/>
          </w:tcPr>
          <w:p w14:paraId="7C5ACB23">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套</w:t>
            </w:r>
          </w:p>
        </w:tc>
      </w:tr>
      <w:tr w14:paraId="09EF8F37">
        <w:tblPrEx>
          <w:tblCellMar>
            <w:top w:w="0" w:type="dxa"/>
            <w:left w:w="108" w:type="dxa"/>
            <w:bottom w:w="0" w:type="dxa"/>
            <w:right w:w="108" w:type="dxa"/>
          </w:tblCellMar>
        </w:tblPrEx>
        <w:trPr>
          <w:trHeight w:val="561" w:hRule="atLeast"/>
          <w:jc w:val="center"/>
        </w:trPr>
        <w:tc>
          <w:tcPr>
            <w:tcW w:w="9071" w:type="dxa"/>
            <w:gridSpan w:val="4"/>
            <w:tcBorders>
              <w:top w:val="single" w:color="000000" w:sz="4" w:space="0"/>
              <w:left w:val="single" w:color="000000" w:sz="4" w:space="0"/>
              <w:bottom w:val="single" w:color="000000" w:sz="4" w:space="0"/>
              <w:right w:val="single" w:color="000000" w:sz="4" w:space="0"/>
            </w:tcBorders>
            <w:noWrap/>
            <w:vAlign w:val="center"/>
          </w:tcPr>
          <w:p w14:paraId="193114AA">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其他</w:t>
            </w:r>
          </w:p>
        </w:tc>
      </w:tr>
      <w:tr w14:paraId="2FA7BD90">
        <w:tblPrEx>
          <w:tblCellMar>
            <w:top w:w="0" w:type="dxa"/>
            <w:left w:w="108" w:type="dxa"/>
            <w:bottom w:w="0" w:type="dxa"/>
            <w:right w:w="108" w:type="dxa"/>
          </w:tblCellMar>
        </w:tblPrEx>
        <w:trPr>
          <w:trHeight w:val="561" w:hRule="atLeast"/>
          <w:jc w:val="center"/>
        </w:trPr>
        <w:tc>
          <w:tcPr>
            <w:tcW w:w="1719" w:type="dxa"/>
            <w:tcBorders>
              <w:top w:val="single" w:color="000000" w:sz="4" w:space="0"/>
              <w:left w:val="single" w:color="000000" w:sz="4" w:space="0"/>
              <w:bottom w:val="single" w:color="000000" w:sz="4" w:space="0"/>
              <w:right w:val="single" w:color="000000" w:sz="4" w:space="0"/>
            </w:tcBorders>
            <w:noWrap/>
            <w:vAlign w:val="center"/>
          </w:tcPr>
          <w:p w14:paraId="1F47B5C4">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10</w:t>
            </w:r>
          </w:p>
        </w:tc>
        <w:tc>
          <w:tcPr>
            <w:tcW w:w="3582" w:type="dxa"/>
            <w:tcBorders>
              <w:top w:val="single" w:color="000000" w:sz="4" w:space="0"/>
              <w:left w:val="single" w:color="000000" w:sz="4" w:space="0"/>
              <w:bottom w:val="single" w:color="000000" w:sz="4" w:space="0"/>
              <w:right w:val="single" w:color="000000" w:sz="4" w:space="0"/>
            </w:tcBorders>
            <w:vAlign w:val="center"/>
          </w:tcPr>
          <w:p w14:paraId="662198DA">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86寸一体机</w:t>
            </w:r>
          </w:p>
        </w:tc>
        <w:tc>
          <w:tcPr>
            <w:tcW w:w="1803" w:type="dxa"/>
            <w:tcBorders>
              <w:top w:val="single" w:color="000000" w:sz="4" w:space="0"/>
              <w:left w:val="single" w:color="000000" w:sz="4" w:space="0"/>
              <w:bottom w:val="single" w:color="000000" w:sz="4" w:space="0"/>
              <w:right w:val="single" w:color="000000" w:sz="4" w:space="0"/>
            </w:tcBorders>
            <w:noWrap/>
            <w:vAlign w:val="center"/>
          </w:tcPr>
          <w:p w14:paraId="5E96BD86">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w:t>
            </w:r>
          </w:p>
        </w:tc>
        <w:tc>
          <w:tcPr>
            <w:tcW w:w="1967" w:type="dxa"/>
            <w:tcBorders>
              <w:top w:val="single" w:color="000000" w:sz="4" w:space="0"/>
              <w:left w:val="single" w:color="000000" w:sz="4" w:space="0"/>
              <w:bottom w:val="single" w:color="000000" w:sz="4" w:space="0"/>
              <w:right w:val="single" w:color="000000" w:sz="4" w:space="0"/>
            </w:tcBorders>
            <w:noWrap/>
            <w:vAlign w:val="center"/>
          </w:tcPr>
          <w:p w14:paraId="5AA823DF">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套</w:t>
            </w:r>
          </w:p>
        </w:tc>
      </w:tr>
      <w:tr w14:paraId="73847EF8">
        <w:tblPrEx>
          <w:tblCellMar>
            <w:top w:w="0" w:type="dxa"/>
            <w:left w:w="108" w:type="dxa"/>
            <w:bottom w:w="0" w:type="dxa"/>
            <w:right w:w="108" w:type="dxa"/>
          </w:tblCellMar>
        </w:tblPrEx>
        <w:trPr>
          <w:trHeight w:val="561" w:hRule="atLeast"/>
          <w:jc w:val="center"/>
        </w:trPr>
        <w:tc>
          <w:tcPr>
            <w:tcW w:w="1719" w:type="dxa"/>
            <w:tcBorders>
              <w:top w:val="single" w:color="000000" w:sz="4" w:space="0"/>
              <w:left w:val="single" w:color="000000" w:sz="4" w:space="0"/>
              <w:bottom w:val="single" w:color="000000" w:sz="4" w:space="0"/>
              <w:right w:val="single" w:color="000000" w:sz="4" w:space="0"/>
            </w:tcBorders>
            <w:noWrap/>
            <w:vAlign w:val="center"/>
          </w:tcPr>
          <w:p w14:paraId="43535321">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w:t>
            </w:r>
          </w:p>
        </w:tc>
        <w:tc>
          <w:tcPr>
            <w:tcW w:w="3582" w:type="dxa"/>
            <w:tcBorders>
              <w:top w:val="single" w:color="000000" w:sz="4" w:space="0"/>
              <w:left w:val="single" w:color="000000" w:sz="4" w:space="0"/>
              <w:bottom w:val="single" w:color="000000" w:sz="4" w:space="0"/>
              <w:right w:val="single" w:color="000000" w:sz="4" w:space="0"/>
            </w:tcBorders>
            <w:vAlign w:val="center"/>
          </w:tcPr>
          <w:p w14:paraId="14B6457D">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教育灯盘</w:t>
            </w:r>
          </w:p>
        </w:tc>
        <w:tc>
          <w:tcPr>
            <w:tcW w:w="1803" w:type="dxa"/>
            <w:tcBorders>
              <w:top w:val="single" w:color="000000" w:sz="4" w:space="0"/>
              <w:left w:val="single" w:color="000000" w:sz="4" w:space="0"/>
              <w:bottom w:val="single" w:color="000000" w:sz="4" w:space="0"/>
              <w:right w:val="single" w:color="000000" w:sz="4" w:space="0"/>
            </w:tcBorders>
            <w:noWrap/>
            <w:vAlign w:val="center"/>
          </w:tcPr>
          <w:p w14:paraId="1BE7671E">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15</w:t>
            </w:r>
          </w:p>
        </w:tc>
        <w:tc>
          <w:tcPr>
            <w:tcW w:w="1967" w:type="dxa"/>
            <w:tcBorders>
              <w:top w:val="single" w:color="000000" w:sz="4" w:space="0"/>
              <w:left w:val="single" w:color="000000" w:sz="4" w:space="0"/>
              <w:bottom w:val="single" w:color="000000" w:sz="4" w:space="0"/>
              <w:right w:val="single" w:color="000000" w:sz="4" w:space="0"/>
            </w:tcBorders>
            <w:noWrap/>
            <w:vAlign w:val="center"/>
          </w:tcPr>
          <w:p w14:paraId="77AFA9A7">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个</w:t>
            </w:r>
          </w:p>
        </w:tc>
      </w:tr>
      <w:tr w14:paraId="26B2D30D">
        <w:tblPrEx>
          <w:tblCellMar>
            <w:top w:w="0" w:type="dxa"/>
            <w:left w:w="108" w:type="dxa"/>
            <w:bottom w:w="0" w:type="dxa"/>
            <w:right w:w="108" w:type="dxa"/>
          </w:tblCellMar>
        </w:tblPrEx>
        <w:trPr>
          <w:trHeight w:val="561" w:hRule="atLeast"/>
          <w:jc w:val="center"/>
        </w:trPr>
        <w:tc>
          <w:tcPr>
            <w:tcW w:w="1719" w:type="dxa"/>
            <w:tcBorders>
              <w:top w:val="single" w:color="000000" w:sz="4" w:space="0"/>
              <w:left w:val="single" w:color="000000" w:sz="4" w:space="0"/>
              <w:bottom w:val="single" w:color="000000" w:sz="4" w:space="0"/>
              <w:right w:val="single" w:color="000000" w:sz="4" w:space="0"/>
            </w:tcBorders>
            <w:noWrap/>
            <w:vAlign w:val="center"/>
          </w:tcPr>
          <w:p w14:paraId="09B1E465">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12</w:t>
            </w:r>
          </w:p>
        </w:tc>
        <w:tc>
          <w:tcPr>
            <w:tcW w:w="3582" w:type="dxa"/>
            <w:tcBorders>
              <w:top w:val="single" w:color="000000" w:sz="4" w:space="0"/>
              <w:left w:val="single" w:color="000000" w:sz="4" w:space="0"/>
              <w:bottom w:val="single" w:color="000000" w:sz="4" w:space="0"/>
              <w:right w:val="single" w:color="000000" w:sz="4" w:space="0"/>
            </w:tcBorders>
            <w:vAlign w:val="center"/>
          </w:tcPr>
          <w:p w14:paraId="62450AE3">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学科窗帘</w:t>
            </w:r>
          </w:p>
        </w:tc>
        <w:tc>
          <w:tcPr>
            <w:tcW w:w="1803" w:type="dxa"/>
            <w:tcBorders>
              <w:top w:val="single" w:color="000000" w:sz="4" w:space="0"/>
              <w:left w:val="single" w:color="000000" w:sz="4" w:space="0"/>
              <w:bottom w:val="single" w:color="000000" w:sz="4" w:space="0"/>
              <w:right w:val="single" w:color="000000" w:sz="4" w:space="0"/>
            </w:tcBorders>
            <w:noWrap/>
            <w:vAlign w:val="center"/>
          </w:tcPr>
          <w:p w14:paraId="149A672B">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w:t>
            </w:r>
          </w:p>
        </w:tc>
        <w:tc>
          <w:tcPr>
            <w:tcW w:w="1967" w:type="dxa"/>
            <w:tcBorders>
              <w:top w:val="single" w:color="000000" w:sz="4" w:space="0"/>
              <w:left w:val="single" w:color="000000" w:sz="4" w:space="0"/>
              <w:bottom w:val="single" w:color="000000" w:sz="4" w:space="0"/>
              <w:right w:val="single" w:color="000000" w:sz="4" w:space="0"/>
            </w:tcBorders>
            <w:noWrap/>
            <w:vAlign w:val="center"/>
          </w:tcPr>
          <w:p w14:paraId="34CF58F0">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套</w:t>
            </w:r>
          </w:p>
        </w:tc>
      </w:tr>
    </w:tbl>
    <w:p w14:paraId="2E06F757">
      <w:pPr>
        <w:keepNext w:val="0"/>
        <w:keepLines w:val="0"/>
        <w:pageBreakBefore w:val="0"/>
        <w:widowControl w:val="0"/>
        <w:numPr>
          <w:ilvl w:val="0"/>
          <w:numId w:val="6"/>
        </w:numPr>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val="0"/>
          <w:bCs w:val="0"/>
          <w:color w:val="auto"/>
          <w:sz w:val="28"/>
          <w:szCs w:val="28"/>
        </w:rPr>
        <w:t>化学智能吊装实验室</w:t>
      </w:r>
    </w:p>
    <w:tbl>
      <w:tblPr>
        <w:tblStyle w:val="21"/>
        <w:tblW w:w="9071" w:type="dxa"/>
        <w:jc w:val="center"/>
        <w:tblLayout w:type="fixed"/>
        <w:tblCellMar>
          <w:top w:w="0" w:type="dxa"/>
          <w:left w:w="108" w:type="dxa"/>
          <w:bottom w:w="0" w:type="dxa"/>
          <w:right w:w="108" w:type="dxa"/>
        </w:tblCellMar>
      </w:tblPr>
      <w:tblGrid>
        <w:gridCol w:w="1921"/>
        <w:gridCol w:w="2999"/>
        <w:gridCol w:w="1970"/>
        <w:gridCol w:w="2181"/>
      </w:tblGrid>
      <w:tr w14:paraId="641A4662">
        <w:tblPrEx>
          <w:tblCellMar>
            <w:top w:w="0" w:type="dxa"/>
            <w:left w:w="108" w:type="dxa"/>
            <w:bottom w:w="0" w:type="dxa"/>
            <w:right w:w="108" w:type="dxa"/>
          </w:tblCellMar>
        </w:tblPrEx>
        <w:trPr>
          <w:trHeight w:val="560" w:hRule="atLeast"/>
          <w:jc w:val="center"/>
        </w:trPr>
        <w:tc>
          <w:tcPr>
            <w:tcW w:w="10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BAF07">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序号</w:t>
            </w:r>
          </w:p>
        </w:tc>
        <w:tc>
          <w:tcPr>
            <w:tcW w:w="1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08C07">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货物名称</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9FB33">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数量</w:t>
            </w:r>
          </w:p>
        </w:tc>
        <w:tc>
          <w:tcPr>
            <w:tcW w:w="1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01D24">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单位</w:t>
            </w:r>
          </w:p>
        </w:tc>
      </w:tr>
      <w:tr w14:paraId="42896C53">
        <w:tblPrEx>
          <w:tblCellMar>
            <w:top w:w="0" w:type="dxa"/>
            <w:left w:w="108" w:type="dxa"/>
            <w:bottom w:w="0" w:type="dxa"/>
            <w:right w:w="108" w:type="dxa"/>
          </w:tblCellMar>
        </w:tblPrEx>
        <w:trPr>
          <w:trHeight w:val="560" w:hRule="atLeast"/>
          <w:jc w:val="center"/>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802F59">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教师控制演示区</w:t>
            </w:r>
          </w:p>
        </w:tc>
      </w:tr>
      <w:tr w14:paraId="661BF86F">
        <w:tblPrEx>
          <w:tblCellMar>
            <w:top w:w="0" w:type="dxa"/>
            <w:left w:w="108" w:type="dxa"/>
            <w:bottom w:w="0" w:type="dxa"/>
            <w:right w:w="108" w:type="dxa"/>
          </w:tblCellMar>
        </w:tblPrEx>
        <w:trPr>
          <w:trHeight w:val="560" w:hRule="atLeast"/>
          <w:jc w:val="center"/>
        </w:trPr>
        <w:tc>
          <w:tcPr>
            <w:tcW w:w="1059" w:type="pct"/>
            <w:tcBorders>
              <w:top w:val="single" w:color="000000" w:sz="4" w:space="0"/>
              <w:left w:val="single" w:color="000000" w:sz="4" w:space="0"/>
              <w:bottom w:val="single" w:color="000000" w:sz="4" w:space="0"/>
              <w:right w:val="single" w:color="000000" w:sz="4" w:space="0"/>
            </w:tcBorders>
            <w:noWrap/>
            <w:vAlign w:val="center"/>
          </w:tcPr>
          <w:p w14:paraId="036E6122">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w:t>
            </w:r>
          </w:p>
        </w:tc>
        <w:tc>
          <w:tcPr>
            <w:tcW w:w="1653" w:type="pct"/>
            <w:tcBorders>
              <w:top w:val="single" w:color="000000" w:sz="4" w:space="0"/>
              <w:left w:val="single" w:color="000000" w:sz="4" w:space="0"/>
              <w:bottom w:val="single" w:color="000000" w:sz="4" w:space="0"/>
              <w:right w:val="single" w:color="000000" w:sz="4" w:space="0"/>
            </w:tcBorders>
            <w:vAlign w:val="center"/>
          </w:tcPr>
          <w:p w14:paraId="4FDD4EAF">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实验桌（装配式教师演示台）</w:t>
            </w:r>
          </w:p>
        </w:tc>
        <w:tc>
          <w:tcPr>
            <w:tcW w:w="1086" w:type="pct"/>
            <w:tcBorders>
              <w:top w:val="single" w:color="000000" w:sz="4" w:space="0"/>
              <w:left w:val="single" w:color="000000" w:sz="4" w:space="0"/>
              <w:bottom w:val="single" w:color="000000" w:sz="4" w:space="0"/>
              <w:right w:val="single" w:color="000000" w:sz="4" w:space="0"/>
            </w:tcBorders>
            <w:vAlign w:val="center"/>
          </w:tcPr>
          <w:p w14:paraId="5BE05CAE">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w:t>
            </w:r>
          </w:p>
        </w:tc>
        <w:tc>
          <w:tcPr>
            <w:tcW w:w="1200" w:type="pct"/>
            <w:tcBorders>
              <w:top w:val="single" w:color="000000" w:sz="4" w:space="0"/>
              <w:left w:val="single" w:color="000000" w:sz="4" w:space="0"/>
              <w:bottom w:val="single" w:color="000000" w:sz="4" w:space="0"/>
              <w:right w:val="single" w:color="000000" w:sz="4" w:space="0"/>
            </w:tcBorders>
            <w:vAlign w:val="center"/>
          </w:tcPr>
          <w:p w14:paraId="40400D64">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张</w:t>
            </w:r>
          </w:p>
        </w:tc>
      </w:tr>
      <w:tr w14:paraId="5AD7A94F">
        <w:tblPrEx>
          <w:tblCellMar>
            <w:top w:w="0" w:type="dxa"/>
            <w:left w:w="108" w:type="dxa"/>
            <w:bottom w:w="0" w:type="dxa"/>
            <w:right w:w="108" w:type="dxa"/>
          </w:tblCellMar>
        </w:tblPrEx>
        <w:trPr>
          <w:trHeight w:val="560" w:hRule="atLeast"/>
          <w:jc w:val="center"/>
        </w:trPr>
        <w:tc>
          <w:tcPr>
            <w:tcW w:w="1059" w:type="pct"/>
            <w:tcBorders>
              <w:top w:val="single" w:color="000000" w:sz="4" w:space="0"/>
              <w:left w:val="single" w:color="000000" w:sz="4" w:space="0"/>
              <w:bottom w:val="single" w:color="000000" w:sz="4" w:space="0"/>
              <w:right w:val="single" w:color="000000" w:sz="4" w:space="0"/>
            </w:tcBorders>
            <w:noWrap/>
            <w:vAlign w:val="center"/>
          </w:tcPr>
          <w:p w14:paraId="797057E2">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2</w:t>
            </w:r>
          </w:p>
        </w:tc>
        <w:tc>
          <w:tcPr>
            <w:tcW w:w="1653" w:type="pct"/>
            <w:tcBorders>
              <w:top w:val="single" w:color="000000" w:sz="4" w:space="0"/>
              <w:left w:val="single" w:color="000000" w:sz="4" w:space="0"/>
              <w:bottom w:val="single" w:color="000000" w:sz="4" w:space="0"/>
              <w:right w:val="single" w:color="000000" w:sz="4" w:space="0"/>
            </w:tcBorders>
            <w:vAlign w:val="center"/>
          </w:tcPr>
          <w:p w14:paraId="608E6420">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教师椅</w:t>
            </w:r>
          </w:p>
        </w:tc>
        <w:tc>
          <w:tcPr>
            <w:tcW w:w="1086" w:type="pct"/>
            <w:tcBorders>
              <w:top w:val="single" w:color="000000" w:sz="4" w:space="0"/>
              <w:left w:val="single" w:color="000000" w:sz="4" w:space="0"/>
              <w:bottom w:val="single" w:color="000000" w:sz="4" w:space="0"/>
              <w:right w:val="single" w:color="000000" w:sz="4" w:space="0"/>
            </w:tcBorders>
            <w:vAlign w:val="center"/>
          </w:tcPr>
          <w:p w14:paraId="2B82071D">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w:t>
            </w:r>
          </w:p>
        </w:tc>
        <w:tc>
          <w:tcPr>
            <w:tcW w:w="1200" w:type="pct"/>
            <w:tcBorders>
              <w:top w:val="single" w:color="000000" w:sz="4" w:space="0"/>
              <w:left w:val="single" w:color="000000" w:sz="4" w:space="0"/>
              <w:bottom w:val="single" w:color="000000" w:sz="4" w:space="0"/>
              <w:right w:val="single" w:color="000000" w:sz="4" w:space="0"/>
            </w:tcBorders>
            <w:vAlign w:val="center"/>
          </w:tcPr>
          <w:p w14:paraId="01ABCC8D">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张</w:t>
            </w:r>
          </w:p>
        </w:tc>
      </w:tr>
      <w:tr w14:paraId="0D83F94E">
        <w:tblPrEx>
          <w:tblCellMar>
            <w:top w:w="0" w:type="dxa"/>
            <w:left w:w="108" w:type="dxa"/>
            <w:bottom w:w="0" w:type="dxa"/>
            <w:right w:w="108" w:type="dxa"/>
          </w:tblCellMar>
        </w:tblPrEx>
        <w:trPr>
          <w:trHeight w:val="560" w:hRule="atLeast"/>
          <w:jc w:val="center"/>
        </w:trPr>
        <w:tc>
          <w:tcPr>
            <w:tcW w:w="1059" w:type="pct"/>
            <w:tcBorders>
              <w:top w:val="single" w:color="000000" w:sz="4" w:space="0"/>
              <w:left w:val="single" w:color="000000" w:sz="4" w:space="0"/>
              <w:bottom w:val="single" w:color="000000" w:sz="4" w:space="0"/>
              <w:right w:val="single" w:color="000000" w:sz="4" w:space="0"/>
            </w:tcBorders>
            <w:noWrap/>
            <w:vAlign w:val="center"/>
          </w:tcPr>
          <w:p w14:paraId="642130AC">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3</w:t>
            </w:r>
          </w:p>
        </w:tc>
        <w:tc>
          <w:tcPr>
            <w:tcW w:w="1653" w:type="pct"/>
            <w:tcBorders>
              <w:top w:val="single" w:color="000000" w:sz="4" w:space="0"/>
              <w:left w:val="single" w:color="000000" w:sz="4" w:space="0"/>
              <w:bottom w:val="single" w:color="000000" w:sz="4" w:space="0"/>
              <w:right w:val="single" w:color="000000" w:sz="4" w:space="0"/>
            </w:tcBorders>
            <w:vAlign w:val="center"/>
          </w:tcPr>
          <w:p w14:paraId="743E65BF">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吊装系统交互控制终端</w:t>
            </w:r>
          </w:p>
        </w:tc>
        <w:tc>
          <w:tcPr>
            <w:tcW w:w="1086" w:type="pct"/>
            <w:tcBorders>
              <w:top w:val="single" w:color="000000" w:sz="4" w:space="0"/>
              <w:left w:val="single" w:color="000000" w:sz="4" w:space="0"/>
              <w:bottom w:val="single" w:color="000000" w:sz="4" w:space="0"/>
              <w:right w:val="single" w:color="000000" w:sz="4" w:space="0"/>
            </w:tcBorders>
            <w:vAlign w:val="center"/>
          </w:tcPr>
          <w:p w14:paraId="763DBAE7">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w:t>
            </w:r>
          </w:p>
        </w:tc>
        <w:tc>
          <w:tcPr>
            <w:tcW w:w="1200" w:type="pct"/>
            <w:tcBorders>
              <w:top w:val="single" w:color="000000" w:sz="4" w:space="0"/>
              <w:left w:val="single" w:color="000000" w:sz="4" w:space="0"/>
              <w:bottom w:val="single" w:color="000000" w:sz="4" w:space="0"/>
              <w:right w:val="single" w:color="000000" w:sz="4" w:space="0"/>
            </w:tcBorders>
            <w:vAlign w:val="center"/>
          </w:tcPr>
          <w:p w14:paraId="27CC7213">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套</w:t>
            </w:r>
          </w:p>
        </w:tc>
      </w:tr>
      <w:tr w14:paraId="62209D28">
        <w:tblPrEx>
          <w:tblCellMar>
            <w:top w:w="0" w:type="dxa"/>
            <w:left w:w="108" w:type="dxa"/>
            <w:bottom w:w="0" w:type="dxa"/>
            <w:right w:w="108" w:type="dxa"/>
          </w:tblCellMar>
        </w:tblPrEx>
        <w:trPr>
          <w:trHeight w:val="560" w:hRule="atLeast"/>
          <w:jc w:val="center"/>
        </w:trPr>
        <w:tc>
          <w:tcPr>
            <w:tcW w:w="1059" w:type="pct"/>
            <w:tcBorders>
              <w:top w:val="single" w:color="000000" w:sz="4" w:space="0"/>
              <w:left w:val="single" w:color="000000" w:sz="4" w:space="0"/>
              <w:bottom w:val="single" w:color="000000" w:sz="4" w:space="0"/>
              <w:right w:val="single" w:color="000000" w:sz="4" w:space="0"/>
            </w:tcBorders>
            <w:noWrap/>
            <w:vAlign w:val="center"/>
          </w:tcPr>
          <w:p w14:paraId="4EBDC20D">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4</w:t>
            </w:r>
          </w:p>
        </w:tc>
        <w:tc>
          <w:tcPr>
            <w:tcW w:w="1653" w:type="pct"/>
            <w:tcBorders>
              <w:top w:val="single" w:color="000000" w:sz="4" w:space="0"/>
              <w:left w:val="single" w:color="000000" w:sz="4" w:space="0"/>
              <w:bottom w:val="single" w:color="000000" w:sz="4" w:space="0"/>
              <w:right w:val="single" w:color="000000" w:sz="4" w:space="0"/>
            </w:tcBorders>
            <w:vAlign w:val="center"/>
          </w:tcPr>
          <w:p w14:paraId="5FA42CA9">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智能吊装综合控制系统</w:t>
            </w:r>
          </w:p>
        </w:tc>
        <w:tc>
          <w:tcPr>
            <w:tcW w:w="1086" w:type="pct"/>
            <w:tcBorders>
              <w:top w:val="single" w:color="000000" w:sz="4" w:space="0"/>
              <w:left w:val="single" w:color="000000" w:sz="4" w:space="0"/>
              <w:bottom w:val="single" w:color="000000" w:sz="4" w:space="0"/>
              <w:right w:val="single" w:color="000000" w:sz="4" w:space="0"/>
            </w:tcBorders>
            <w:vAlign w:val="center"/>
          </w:tcPr>
          <w:p w14:paraId="172A5057">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w:t>
            </w:r>
          </w:p>
        </w:tc>
        <w:tc>
          <w:tcPr>
            <w:tcW w:w="1200" w:type="pct"/>
            <w:tcBorders>
              <w:top w:val="single" w:color="000000" w:sz="4" w:space="0"/>
              <w:left w:val="single" w:color="000000" w:sz="4" w:space="0"/>
              <w:bottom w:val="single" w:color="000000" w:sz="4" w:space="0"/>
              <w:right w:val="single" w:color="000000" w:sz="4" w:space="0"/>
            </w:tcBorders>
            <w:vAlign w:val="center"/>
          </w:tcPr>
          <w:p w14:paraId="4DE931DD">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套</w:t>
            </w:r>
          </w:p>
        </w:tc>
      </w:tr>
      <w:tr w14:paraId="6C7DD6C0">
        <w:tblPrEx>
          <w:tblCellMar>
            <w:top w:w="0" w:type="dxa"/>
            <w:left w:w="108" w:type="dxa"/>
            <w:bottom w:w="0" w:type="dxa"/>
            <w:right w:w="108" w:type="dxa"/>
          </w:tblCellMar>
        </w:tblPrEx>
        <w:trPr>
          <w:trHeight w:val="560" w:hRule="atLeast"/>
          <w:jc w:val="center"/>
        </w:trPr>
        <w:tc>
          <w:tcPr>
            <w:tcW w:w="1059" w:type="pct"/>
            <w:tcBorders>
              <w:top w:val="single" w:color="000000" w:sz="4" w:space="0"/>
              <w:left w:val="single" w:color="000000" w:sz="4" w:space="0"/>
              <w:bottom w:val="single" w:color="000000" w:sz="4" w:space="0"/>
              <w:right w:val="single" w:color="000000" w:sz="4" w:space="0"/>
            </w:tcBorders>
            <w:noWrap/>
            <w:vAlign w:val="center"/>
          </w:tcPr>
          <w:p w14:paraId="053A2263">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5</w:t>
            </w:r>
          </w:p>
        </w:tc>
        <w:tc>
          <w:tcPr>
            <w:tcW w:w="1653" w:type="pct"/>
            <w:tcBorders>
              <w:top w:val="single" w:color="000000" w:sz="4" w:space="0"/>
              <w:left w:val="single" w:color="000000" w:sz="4" w:space="0"/>
              <w:bottom w:val="single" w:color="000000" w:sz="4" w:space="0"/>
              <w:right w:val="single" w:color="000000" w:sz="4" w:space="0"/>
            </w:tcBorders>
            <w:vAlign w:val="center"/>
          </w:tcPr>
          <w:p w14:paraId="59C28F79">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智能吊装综合监测系统</w:t>
            </w:r>
          </w:p>
        </w:tc>
        <w:tc>
          <w:tcPr>
            <w:tcW w:w="1086" w:type="pct"/>
            <w:tcBorders>
              <w:top w:val="single" w:color="000000" w:sz="4" w:space="0"/>
              <w:left w:val="single" w:color="000000" w:sz="4" w:space="0"/>
              <w:bottom w:val="single" w:color="000000" w:sz="4" w:space="0"/>
              <w:right w:val="single" w:color="000000" w:sz="4" w:space="0"/>
            </w:tcBorders>
            <w:vAlign w:val="center"/>
          </w:tcPr>
          <w:p w14:paraId="4B3BFFCF">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w:t>
            </w:r>
          </w:p>
        </w:tc>
        <w:tc>
          <w:tcPr>
            <w:tcW w:w="1200" w:type="pct"/>
            <w:tcBorders>
              <w:top w:val="single" w:color="000000" w:sz="4" w:space="0"/>
              <w:left w:val="single" w:color="000000" w:sz="4" w:space="0"/>
              <w:bottom w:val="single" w:color="000000" w:sz="4" w:space="0"/>
              <w:right w:val="single" w:color="000000" w:sz="4" w:space="0"/>
            </w:tcBorders>
            <w:vAlign w:val="center"/>
          </w:tcPr>
          <w:p w14:paraId="0951D35D">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套</w:t>
            </w:r>
          </w:p>
        </w:tc>
      </w:tr>
      <w:tr w14:paraId="7DA761E0">
        <w:tblPrEx>
          <w:tblCellMar>
            <w:top w:w="0" w:type="dxa"/>
            <w:left w:w="108" w:type="dxa"/>
            <w:bottom w:w="0" w:type="dxa"/>
            <w:right w:w="108" w:type="dxa"/>
          </w:tblCellMar>
        </w:tblPrEx>
        <w:trPr>
          <w:trHeight w:val="560" w:hRule="atLeast"/>
          <w:jc w:val="center"/>
        </w:trPr>
        <w:tc>
          <w:tcPr>
            <w:tcW w:w="5000" w:type="pct"/>
            <w:gridSpan w:val="4"/>
            <w:tcBorders>
              <w:top w:val="single" w:color="000000" w:sz="4" w:space="0"/>
              <w:left w:val="single" w:color="000000" w:sz="4" w:space="0"/>
              <w:bottom w:val="single" w:color="000000" w:sz="4" w:space="0"/>
              <w:right w:val="single" w:color="000000" w:sz="4" w:space="0"/>
            </w:tcBorders>
            <w:noWrap/>
            <w:vAlign w:val="center"/>
          </w:tcPr>
          <w:p w14:paraId="378C8D55">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学生实验学习区</w:t>
            </w:r>
          </w:p>
        </w:tc>
      </w:tr>
      <w:tr w14:paraId="3870991F">
        <w:tblPrEx>
          <w:tblCellMar>
            <w:top w:w="0" w:type="dxa"/>
            <w:left w:w="108" w:type="dxa"/>
            <w:bottom w:w="0" w:type="dxa"/>
            <w:right w:w="108" w:type="dxa"/>
          </w:tblCellMar>
        </w:tblPrEx>
        <w:trPr>
          <w:trHeight w:val="560" w:hRule="atLeast"/>
          <w:jc w:val="center"/>
        </w:trPr>
        <w:tc>
          <w:tcPr>
            <w:tcW w:w="1059" w:type="pct"/>
            <w:tcBorders>
              <w:top w:val="single" w:color="000000" w:sz="4" w:space="0"/>
              <w:left w:val="single" w:color="000000" w:sz="4" w:space="0"/>
              <w:bottom w:val="single" w:color="000000" w:sz="4" w:space="0"/>
              <w:right w:val="single" w:color="000000" w:sz="4" w:space="0"/>
            </w:tcBorders>
            <w:vAlign w:val="center"/>
          </w:tcPr>
          <w:p w14:paraId="65D5F2DD">
            <w:pPr>
              <w:widowControl/>
              <w:jc w:val="center"/>
              <w:textAlignment w:val="center"/>
              <w:rPr>
                <w:rFonts w:hint="eastAsia" w:ascii="宋体" w:hAnsi="宋体" w:eastAsia="宋体" w:cs="宋体"/>
                <w:b w:val="0"/>
                <w:bCs w:val="0"/>
                <w:color w:val="auto"/>
                <w:sz w:val="21"/>
                <w:szCs w:val="21"/>
                <w:lang w:eastAsia="zh-CN"/>
              </w:rPr>
            </w:pPr>
            <w:r>
              <w:rPr>
                <w:rFonts w:hint="eastAsia" w:ascii="宋体" w:hAnsi="宋体" w:cs="宋体"/>
                <w:b w:val="0"/>
                <w:bCs w:val="0"/>
                <w:color w:val="auto"/>
                <w:kern w:val="0"/>
                <w:sz w:val="21"/>
                <w:szCs w:val="21"/>
                <w:lang w:val="en-US" w:eastAsia="zh-CN" w:bidi="ar"/>
              </w:rPr>
              <w:t>6</w:t>
            </w:r>
          </w:p>
        </w:tc>
        <w:tc>
          <w:tcPr>
            <w:tcW w:w="1653" w:type="pct"/>
            <w:tcBorders>
              <w:top w:val="single" w:color="000000" w:sz="4" w:space="0"/>
              <w:left w:val="single" w:color="000000" w:sz="4" w:space="0"/>
              <w:bottom w:val="single" w:color="000000" w:sz="4" w:space="0"/>
              <w:right w:val="single" w:color="000000" w:sz="4" w:space="0"/>
            </w:tcBorders>
            <w:vAlign w:val="center"/>
          </w:tcPr>
          <w:p w14:paraId="12D12484">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实验桌（学生）</w:t>
            </w:r>
          </w:p>
        </w:tc>
        <w:tc>
          <w:tcPr>
            <w:tcW w:w="1086" w:type="pct"/>
            <w:tcBorders>
              <w:top w:val="single" w:color="000000" w:sz="4" w:space="0"/>
              <w:left w:val="single" w:color="000000" w:sz="4" w:space="0"/>
              <w:bottom w:val="single" w:color="000000" w:sz="4" w:space="0"/>
              <w:right w:val="single" w:color="000000" w:sz="4" w:space="0"/>
            </w:tcBorders>
            <w:vAlign w:val="center"/>
          </w:tcPr>
          <w:p w14:paraId="54F0E56A">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28</w:t>
            </w:r>
          </w:p>
        </w:tc>
        <w:tc>
          <w:tcPr>
            <w:tcW w:w="1200" w:type="pct"/>
            <w:tcBorders>
              <w:top w:val="single" w:color="000000" w:sz="4" w:space="0"/>
              <w:left w:val="single" w:color="000000" w:sz="4" w:space="0"/>
              <w:bottom w:val="single" w:color="000000" w:sz="4" w:space="0"/>
              <w:right w:val="single" w:color="000000" w:sz="4" w:space="0"/>
            </w:tcBorders>
            <w:vAlign w:val="center"/>
          </w:tcPr>
          <w:p w14:paraId="53FD509F">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张</w:t>
            </w:r>
          </w:p>
        </w:tc>
      </w:tr>
      <w:tr w14:paraId="4E47CEE4">
        <w:tblPrEx>
          <w:tblCellMar>
            <w:top w:w="0" w:type="dxa"/>
            <w:left w:w="108" w:type="dxa"/>
            <w:bottom w:w="0" w:type="dxa"/>
            <w:right w:w="108" w:type="dxa"/>
          </w:tblCellMar>
        </w:tblPrEx>
        <w:trPr>
          <w:trHeight w:val="560" w:hRule="atLeast"/>
          <w:jc w:val="center"/>
        </w:trPr>
        <w:tc>
          <w:tcPr>
            <w:tcW w:w="1059" w:type="pct"/>
            <w:tcBorders>
              <w:top w:val="single" w:color="000000" w:sz="4" w:space="0"/>
              <w:left w:val="single" w:color="000000" w:sz="4" w:space="0"/>
              <w:bottom w:val="single" w:color="000000" w:sz="4" w:space="0"/>
              <w:right w:val="single" w:color="000000" w:sz="4" w:space="0"/>
            </w:tcBorders>
            <w:vAlign w:val="center"/>
          </w:tcPr>
          <w:p w14:paraId="63431850">
            <w:pPr>
              <w:widowControl/>
              <w:jc w:val="center"/>
              <w:textAlignment w:val="center"/>
              <w:rPr>
                <w:rFonts w:hint="eastAsia" w:ascii="宋体" w:hAnsi="宋体" w:eastAsia="宋体" w:cs="宋体"/>
                <w:b w:val="0"/>
                <w:bCs w:val="0"/>
                <w:color w:val="auto"/>
                <w:sz w:val="21"/>
                <w:szCs w:val="21"/>
                <w:lang w:eastAsia="zh-CN"/>
              </w:rPr>
            </w:pPr>
            <w:r>
              <w:rPr>
                <w:rFonts w:hint="eastAsia" w:ascii="宋体" w:hAnsi="宋体" w:cs="宋体"/>
                <w:b w:val="0"/>
                <w:bCs w:val="0"/>
                <w:color w:val="auto"/>
                <w:kern w:val="0"/>
                <w:sz w:val="21"/>
                <w:szCs w:val="21"/>
                <w:lang w:val="en-US" w:eastAsia="zh-CN" w:bidi="ar"/>
              </w:rPr>
              <w:t>7</w:t>
            </w:r>
          </w:p>
        </w:tc>
        <w:tc>
          <w:tcPr>
            <w:tcW w:w="1653" w:type="pct"/>
            <w:tcBorders>
              <w:top w:val="single" w:color="000000" w:sz="4" w:space="0"/>
              <w:left w:val="single" w:color="000000" w:sz="4" w:space="0"/>
              <w:bottom w:val="single" w:color="000000" w:sz="4" w:space="0"/>
              <w:right w:val="single" w:color="000000" w:sz="4" w:space="0"/>
            </w:tcBorders>
            <w:vAlign w:val="center"/>
          </w:tcPr>
          <w:p w14:paraId="65A26395">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学生凳</w:t>
            </w:r>
          </w:p>
        </w:tc>
        <w:tc>
          <w:tcPr>
            <w:tcW w:w="1086" w:type="pct"/>
            <w:tcBorders>
              <w:top w:val="single" w:color="000000" w:sz="4" w:space="0"/>
              <w:left w:val="single" w:color="000000" w:sz="4" w:space="0"/>
              <w:bottom w:val="single" w:color="000000" w:sz="4" w:space="0"/>
              <w:right w:val="single" w:color="000000" w:sz="4" w:space="0"/>
            </w:tcBorders>
            <w:vAlign w:val="center"/>
          </w:tcPr>
          <w:p w14:paraId="5775BCC5">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56</w:t>
            </w:r>
          </w:p>
        </w:tc>
        <w:tc>
          <w:tcPr>
            <w:tcW w:w="1200" w:type="pct"/>
            <w:tcBorders>
              <w:top w:val="single" w:color="000000" w:sz="4" w:space="0"/>
              <w:left w:val="single" w:color="000000" w:sz="4" w:space="0"/>
              <w:bottom w:val="single" w:color="000000" w:sz="4" w:space="0"/>
              <w:right w:val="single" w:color="000000" w:sz="4" w:space="0"/>
            </w:tcBorders>
            <w:vAlign w:val="center"/>
          </w:tcPr>
          <w:p w14:paraId="2AA1F831">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个</w:t>
            </w:r>
          </w:p>
        </w:tc>
      </w:tr>
      <w:tr w14:paraId="6CC863CB">
        <w:tblPrEx>
          <w:tblCellMar>
            <w:top w:w="0" w:type="dxa"/>
            <w:left w:w="108" w:type="dxa"/>
            <w:bottom w:w="0" w:type="dxa"/>
            <w:right w:w="108" w:type="dxa"/>
          </w:tblCellMar>
        </w:tblPrEx>
        <w:trPr>
          <w:trHeight w:val="560" w:hRule="atLeast"/>
          <w:jc w:val="center"/>
        </w:trPr>
        <w:tc>
          <w:tcPr>
            <w:tcW w:w="5000" w:type="pct"/>
            <w:gridSpan w:val="4"/>
            <w:tcBorders>
              <w:top w:val="single" w:color="000000" w:sz="4" w:space="0"/>
              <w:left w:val="single" w:color="000000" w:sz="4" w:space="0"/>
              <w:bottom w:val="single" w:color="000000" w:sz="4" w:space="0"/>
              <w:right w:val="single" w:color="000000" w:sz="4" w:space="0"/>
            </w:tcBorders>
            <w:vAlign w:val="center"/>
          </w:tcPr>
          <w:p w14:paraId="1BEF3DDE">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智能吊装集成系统</w:t>
            </w:r>
          </w:p>
        </w:tc>
      </w:tr>
      <w:tr w14:paraId="09F851EA">
        <w:tblPrEx>
          <w:tblCellMar>
            <w:top w:w="0" w:type="dxa"/>
            <w:left w:w="108" w:type="dxa"/>
            <w:bottom w:w="0" w:type="dxa"/>
            <w:right w:w="108" w:type="dxa"/>
          </w:tblCellMar>
        </w:tblPrEx>
        <w:trPr>
          <w:trHeight w:val="560" w:hRule="atLeast"/>
          <w:jc w:val="center"/>
        </w:trPr>
        <w:tc>
          <w:tcPr>
            <w:tcW w:w="1059" w:type="pct"/>
            <w:tcBorders>
              <w:top w:val="single" w:color="000000" w:sz="4" w:space="0"/>
              <w:left w:val="single" w:color="000000" w:sz="4" w:space="0"/>
              <w:bottom w:val="single" w:color="000000" w:sz="4" w:space="0"/>
              <w:right w:val="single" w:color="000000" w:sz="4" w:space="0"/>
            </w:tcBorders>
            <w:vAlign w:val="center"/>
          </w:tcPr>
          <w:p w14:paraId="03CA5A1B">
            <w:pPr>
              <w:widowControl/>
              <w:jc w:val="center"/>
              <w:textAlignment w:val="center"/>
              <w:rPr>
                <w:rFonts w:hint="eastAsia" w:ascii="宋体" w:hAnsi="宋体" w:eastAsia="宋体" w:cs="宋体"/>
                <w:b w:val="0"/>
                <w:bCs w:val="0"/>
                <w:color w:val="auto"/>
                <w:sz w:val="21"/>
                <w:szCs w:val="21"/>
                <w:lang w:eastAsia="zh-CN"/>
              </w:rPr>
            </w:pPr>
            <w:r>
              <w:rPr>
                <w:rFonts w:hint="eastAsia" w:ascii="宋体" w:hAnsi="宋体" w:cs="宋体"/>
                <w:b w:val="0"/>
                <w:bCs w:val="0"/>
                <w:color w:val="auto"/>
                <w:kern w:val="0"/>
                <w:sz w:val="21"/>
                <w:szCs w:val="21"/>
                <w:lang w:val="en-US" w:eastAsia="zh-CN" w:bidi="ar"/>
              </w:rPr>
              <w:t>8</w:t>
            </w:r>
          </w:p>
        </w:tc>
        <w:tc>
          <w:tcPr>
            <w:tcW w:w="1653" w:type="pct"/>
            <w:tcBorders>
              <w:top w:val="single" w:color="000000" w:sz="4" w:space="0"/>
              <w:left w:val="single" w:color="000000" w:sz="4" w:space="0"/>
              <w:bottom w:val="single" w:color="000000" w:sz="4" w:space="0"/>
              <w:right w:val="single" w:color="000000" w:sz="4" w:space="0"/>
            </w:tcBorders>
            <w:vAlign w:val="center"/>
          </w:tcPr>
          <w:p w14:paraId="6D11B76F">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集成箱体模块</w:t>
            </w:r>
          </w:p>
        </w:tc>
        <w:tc>
          <w:tcPr>
            <w:tcW w:w="1086" w:type="pct"/>
            <w:tcBorders>
              <w:top w:val="single" w:color="000000" w:sz="4" w:space="0"/>
              <w:left w:val="single" w:color="000000" w:sz="4" w:space="0"/>
              <w:bottom w:val="single" w:color="000000" w:sz="4" w:space="0"/>
              <w:right w:val="single" w:color="000000" w:sz="4" w:space="0"/>
            </w:tcBorders>
            <w:vAlign w:val="center"/>
          </w:tcPr>
          <w:p w14:paraId="2E4C371D">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15</w:t>
            </w:r>
          </w:p>
        </w:tc>
        <w:tc>
          <w:tcPr>
            <w:tcW w:w="1200" w:type="pct"/>
            <w:tcBorders>
              <w:top w:val="single" w:color="000000" w:sz="4" w:space="0"/>
              <w:left w:val="single" w:color="000000" w:sz="4" w:space="0"/>
              <w:bottom w:val="single" w:color="000000" w:sz="4" w:space="0"/>
              <w:right w:val="single" w:color="000000" w:sz="4" w:space="0"/>
            </w:tcBorders>
            <w:vAlign w:val="center"/>
          </w:tcPr>
          <w:p w14:paraId="6AE4A10B">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组</w:t>
            </w:r>
          </w:p>
        </w:tc>
      </w:tr>
      <w:tr w14:paraId="01D66895">
        <w:tblPrEx>
          <w:tblCellMar>
            <w:top w:w="0" w:type="dxa"/>
            <w:left w:w="108" w:type="dxa"/>
            <w:bottom w:w="0" w:type="dxa"/>
            <w:right w:w="108" w:type="dxa"/>
          </w:tblCellMar>
        </w:tblPrEx>
        <w:trPr>
          <w:trHeight w:val="560" w:hRule="atLeast"/>
          <w:jc w:val="center"/>
        </w:trPr>
        <w:tc>
          <w:tcPr>
            <w:tcW w:w="1059" w:type="pct"/>
            <w:tcBorders>
              <w:top w:val="single" w:color="000000" w:sz="4" w:space="0"/>
              <w:left w:val="single" w:color="000000" w:sz="4" w:space="0"/>
              <w:bottom w:val="single" w:color="000000" w:sz="4" w:space="0"/>
              <w:right w:val="single" w:color="000000" w:sz="4" w:space="0"/>
            </w:tcBorders>
            <w:vAlign w:val="center"/>
          </w:tcPr>
          <w:p w14:paraId="5961B29C">
            <w:pPr>
              <w:widowControl/>
              <w:jc w:val="center"/>
              <w:textAlignment w:val="center"/>
              <w:rPr>
                <w:rFonts w:hint="eastAsia" w:ascii="宋体" w:hAnsi="宋体" w:eastAsia="宋体" w:cs="宋体"/>
                <w:b w:val="0"/>
                <w:bCs w:val="0"/>
                <w:color w:val="auto"/>
                <w:sz w:val="21"/>
                <w:szCs w:val="21"/>
                <w:lang w:eastAsia="zh-CN"/>
              </w:rPr>
            </w:pPr>
            <w:r>
              <w:rPr>
                <w:rFonts w:hint="eastAsia" w:ascii="宋体" w:hAnsi="宋体" w:cs="宋体"/>
                <w:b w:val="0"/>
                <w:bCs w:val="0"/>
                <w:color w:val="auto"/>
                <w:kern w:val="0"/>
                <w:sz w:val="21"/>
                <w:szCs w:val="21"/>
                <w:lang w:val="en-US" w:eastAsia="zh-CN" w:bidi="ar"/>
              </w:rPr>
              <w:t>9</w:t>
            </w:r>
          </w:p>
        </w:tc>
        <w:tc>
          <w:tcPr>
            <w:tcW w:w="1653" w:type="pct"/>
            <w:tcBorders>
              <w:top w:val="single" w:color="000000" w:sz="4" w:space="0"/>
              <w:left w:val="single" w:color="000000" w:sz="4" w:space="0"/>
              <w:bottom w:val="single" w:color="000000" w:sz="4" w:space="0"/>
              <w:right w:val="single" w:color="000000" w:sz="4" w:space="0"/>
            </w:tcBorders>
            <w:noWrap/>
            <w:vAlign w:val="center"/>
          </w:tcPr>
          <w:p w14:paraId="6CB92432">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照明系统模块</w:t>
            </w:r>
          </w:p>
        </w:tc>
        <w:tc>
          <w:tcPr>
            <w:tcW w:w="1086" w:type="pct"/>
            <w:tcBorders>
              <w:top w:val="single" w:color="000000" w:sz="4" w:space="0"/>
              <w:left w:val="single" w:color="000000" w:sz="4" w:space="0"/>
              <w:bottom w:val="single" w:color="000000" w:sz="4" w:space="0"/>
              <w:right w:val="single" w:color="000000" w:sz="4" w:space="0"/>
            </w:tcBorders>
            <w:vAlign w:val="center"/>
          </w:tcPr>
          <w:p w14:paraId="7D50D293">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15</w:t>
            </w:r>
          </w:p>
        </w:tc>
        <w:tc>
          <w:tcPr>
            <w:tcW w:w="1200" w:type="pct"/>
            <w:tcBorders>
              <w:top w:val="single" w:color="000000" w:sz="4" w:space="0"/>
              <w:left w:val="single" w:color="000000" w:sz="4" w:space="0"/>
              <w:bottom w:val="single" w:color="000000" w:sz="4" w:space="0"/>
              <w:right w:val="single" w:color="000000" w:sz="4" w:space="0"/>
            </w:tcBorders>
            <w:vAlign w:val="center"/>
          </w:tcPr>
          <w:p w14:paraId="7EED7896">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组</w:t>
            </w:r>
          </w:p>
        </w:tc>
      </w:tr>
      <w:tr w14:paraId="513A3956">
        <w:tblPrEx>
          <w:tblCellMar>
            <w:top w:w="0" w:type="dxa"/>
            <w:left w:w="108" w:type="dxa"/>
            <w:bottom w:w="0" w:type="dxa"/>
            <w:right w:w="108" w:type="dxa"/>
          </w:tblCellMar>
        </w:tblPrEx>
        <w:trPr>
          <w:trHeight w:val="560" w:hRule="atLeast"/>
          <w:jc w:val="center"/>
        </w:trPr>
        <w:tc>
          <w:tcPr>
            <w:tcW w:w="1059" w:type="pct"/>
            <w:tcBorders>
              <w:top w:val="single" w:color="000000" w:sz="4" w:space="0"/>
              <w:left w:val="single" w:color="000000" w:sz="4" w:space="0"/>
              <w:bottom w:val="single" w:color="000000" w:sz="4" w:space="0"/>
              <w:right w:val="single" w:color="000000" w:sz="4" w:space="0"/>
            </w:tcBorders>
            <w:vAlign w:val="center"/>
          </w:tcPr>
          <w:p w14:paraId="1A5328FC">
            <w:pPr>
              <w:widowControl/>
              <w:jc w:val="center"/>
              <w:textAlignment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10</w:t>
            </w:r>
          </w:p>
        </w:tc>
        <w:tc>
          <w:tcPr>
            <w:tcW w:w="1653" w:type="pct"/>
            <w:tcBorders>
              <w:top w:val="single" w:color="000000" w:sz="4" w:space="0"/>
              <w:left w:val="single" w:color="000000" w:sz="4" w:space="0"/>
              <w:bottom w:val="single" w:color="000000" w:sz="4" w:space="0"/>
              <w:right w:val="single" w:color="000000" w:sz="4" w:space="0"/>
            </w:tcBorders>
            <w:vAlign w:val="center"/>
          </w:tcPr>
          <w:p w14:paraId="2EE4EA98">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供电系统模块</w:t>
            </w:r>
          </w:p>
        </w:tc>
        <w:tc>
          <w:tcPr>
            <w:tcW w:w="1086" w:type="pct"/>
            <w:tcBorders>
              <w:top w:val="single" w:color="000000" w:sz="4" w:space="0"/>
              <w:left w:val="single" w:color="000000" w:sz="4" w:space="0"/>
              <w:bottom w:val="single" w:color="000000" w:sz="4" w:space="0"/>
              <w:right w:val="single" w:color="000000" w:sz="4" w:space="0"/>
            </w:tcBorders>
            <w:vAlign w:val="center"/>
          </w:tcPr>
          <w:p w14:paraId="1F1251F2">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15</w:t>
            </w:r>
          </w:p>
        </w:tc>
        <w:tc>
          <w:tcPr>
            <w:tcW w:w="1200" w:type="pct"/>
            <w:tcBorders>
              <w:top w:val="single" w:color="000000" w:sz="4" w:space="0"/>
              <w:left w:val="single" w:color="000000" w:sz="4" w:space="0"/>
              <w:bottom w:val="single" w:color="000000" w:sz="4" w:space="0"/>
              <w:right w:val="single" w:color="000000" w:sz="4" w:space="0"/>
            </w:tcBorders>
            <w:vAlign w:val="center"/>
          </w:tcPr>
          <w:p w14:paraId="3C6F4FA2">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组</w:t>
            </w:r>
          </w:p>
        </w:tc>
      </w:tr>
      <w:tr w14:paraId="517C4C41">
        <w:tblPrEx>
          <w:tblCellMar>
            <w:top w:w="0" w:type="dxa"/>
            <w:left w:w="108" w:type="dxa"/>
            <w:bottom w:w="0" w:type="dxa"/>
            <w:right w:w="108" w:type="dxa"/>
          </w:tblCellMar>
        </w:tblPrEx>
        <w:trPr>
          <w:trHeight w:val="560" w:hRule="atLeast"/>
          <w:jc w:val="center"/>
        </w:trPr>
        <w:tc>
          <w:tcPr>
            <w:tcW w:w="1059" w:type="pct"/>
            <w:tcBorders>
              <w:top w:val="single" w:color="000000" w:sz="4" w:space="0"/>
              <w:left w:val="single" w:color="000000" w:sz="4" w:space="0"/>
              <w:bottom w:val="single" w:color="000000" w:sz="4" w:space="0"/>
              <w:right w:val="single" w:color="000000" w:sz="4" w:space="0"/>
            </w:tcBorders>
            <w:vAlign w:val="center"/>
          </w:tcPr>
          <w:p w14:paraId="0BB404CC">
            <w:pPr>
              <w:widowControl/>
              <w:jc w:val="center"/>
              <w:textAlignment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11</w:t>
            </w:r>
          </w:p>
        </w:tc>
        <w:tc>
          <w:tcPr>
            <w:tcW w:w="1653" w:type="pct"/>
            <w:tcBorders>
              <w:top w:val="single" w:color="000000" w:sz="4" w:space="0"/>
              <w:left w:val="single" w:color="000000" w:sz="4" w:space="0"/>
              <w:bottom w:val="single" w:color="000000" w:sz="4" w:space="0"/>
              <w:right w:val="single" w:color="000000" w:sz="4" w:space="0"/>
            </w:tcBorders>
            <w:vAlign w:val="center"/>
          </w:tcPr>
          <w:p w14:paraId="73F09D1D">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给排水系统模块</w:t>
            </w:r>
          </w:p>
        </w:tc>
        <w:tc>
          <w:tcPr>
            <w:tcW w:w="1086" w:type="pct"/>
            <w:tcBorders>
              <w:top w:val="single" w:color="000000" w:sz="4" w:space="0"/>
              <w:left w:val="single" w:color="000000" w:sz="4" w:space="0"/>
              <w:bottom w:val="single" w:color="000000" w:sz="4" w:space="0"/>
              <w:right w:val="single" w:color="000000" w:sz="4" w:space="0"/>
            </w:tcBorders>
            <w:vAlign w:val="center"/>
          </w:tcPr>
          <w:p w14:paraId="72E9260B">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15</w:t>
            </w:r>
          </w:p>
        </w:tc>
        <w:tc>
          <w:tcPr>
            <w:tcW w:w="1200" w:type="pct"/>
            <w:tcBorders>
              <w:top w:val="single" w:color="000000" w:sz="4" w:space="0"/>
              <w:left w:val="single" w:color="000000" w:sz="4" w:space="0"/>
              <w:bottom w:val="single" w:color="000000" w:sz="4" w:space="0"/>
              <w:right w:val="single" w:color="000000" w:sz="4" w:space="0"/>
            </w:tcBorders>
            <w:vAlign w:val="center"/>
          </w:tcPr>
          <w:p w14:paraId="43853D76">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组</w:t>
            </w:r>
          </w:p>
        </w:tc>
      </w:tr>
      <w:tr w14:paraId="3412E1A1">
        <w:tblPrEx>
          <w:tblCellMar>
            <w:top w:w="0" w:type="dxa"/>
            <w:left w:w="108" w:type="dxa"/>
            <w:bottom w:w="0" w:type="dxa"/>
            <w:right w:w="108" w:type="dxa"/>
          </w:tblCellMar>
        </w:tblPrEx>
        <w:trPr>
          <w:trHeight w:val="560" w:hRule="atLeast"/>
          <w:jc w:val="center"/>
        </w:trPr>
        <w:tc>
          <w:tcPr>
            <w:tcW w:w="1059" w:type="pct"/>
            <w:tcBorders>
              <w:top w:val="single" w:color="000000" w:sz="4" w:space="0"/>
              <w:left w:val="single" w:color="000000" w:sz="4" w:space="0"/>
              <w:bottom w:val="single" w:color="000000" w:sz="4" w:space="0"/>
              <w:right w:val="single" w:color="000000" w:sz="4" w:space="0"/>
            </w:tcBorders>
            <w:vAlign w:val="center"/>
          </w:tcPr>
          <w:p w14:paraId="3FFC82A6">
            <w:pPr>
              <w:widowControl/>
              <w:jc w:val="center"/>
              <w:textAlignment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12</w:t>
            </w:r>
          </w:p>
        </w:tc>
        <w:tc>
          <w:tcPr>
            <w:tcW w:w="1653" w:type="pct"/>
            <w:tcBorders>
              <w:top w:val="single" w:color="000000" w:sz="4" w:space="0"/>
              <w:left w:val="single" w:color="000000" w:sz="4" w:space="0"/>
              <w:bottom w:val="single" w:color="000000" w:sz="4" w:space="0"/>
              <w:right w:val="single" w:color="000000" w:sz="4" w:space="0"/>
            </w:tcBorders>
            <w:vAlign w:val="center"/>
          </w:tcPr>
          <w:p w14:paraId="3DCF7113">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吊装通风系统模块</w:t>
            </w:r>
          </w:p>
        </w:tc>
        <w:tc>
          <w:tcPr>
            <w:tcW w:w="1086" w:type="pct"/>
            <w:tcBorders>
              <w:top w:val="single" w:color="000000" w:sz="4" w:space="0"/>
              <w:left w:val="single" w:color="000000" w:sz="4" w:space="0"/>
              <w:bottom w:val="single" w:color="000000" w:sz="4" w:space="0"/>
              <w:right w:val="single" w:color="000000" w:sz="4" w:space="0"/>
            </w:tcBorders>
            <w:vAlign w:val="center"/>
          </w:tcPr>
          <w:p w14:paraId="479A5421">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15</w:t>
            </w:r>
          </w:p>
        </w:tc>
        <w:tc>
          <w:tcPr>
            <w:tcW w:w="1200" w:type="pct"/>
            <w:tcBorders>
              <w:top w:val="single" w:color="000000" w:sz="4" w:space="0"/>
              <w:left w:val="single" w:color="000000" w:sz="4" w:space="0"/>
              <w:bottom w:val="single" w:color="000000" w:sz="4" w:space="0"/>
              <w:right w:val="single" w:color="000000" w:sz="4" w:space="0"/>
            </w:tcBorders>
            <w:vAlign w:val="center"/>
          </w:tcPr>
          <w:p w14:paraId="284BB799">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组</w:t>
            </w:r>
          </w:p>
        </w:tc>
      </w:tr>
      <w:tr w14:paraId="71A4D2EC">
        <w:tblPrEx>
          <w:tblCellMar>
            <w:top w:w="0" w:type="dxa"/>
            <w:left w:w="108" w:type="dxa"/>
            <w:bottom w:w="0" w:type="dxa"/>
            <w:right w:w="108" w:type="dxa"/>
          </w:tblCellMar>
        </w:tblPrEx>
        <w:trPr>
          <w:trHeight w:val="560" w:hRule="atLeast"/>
          <w:jc w:val="center"/>
        </w:trPr>
        <w:tc>
          <w:tcPr>
            <w:tcW w:w="1059" w:type="pct"/>
            <w:tcBorders>
              <w:top w:val="single" w:color="000000" w:sz="4" w:space="0"/>
              <w:left w:val="single" w:color="000000" w:sz="4" w:space="0"/>
              <w:bottom w:val="single" w:color="000000" w:sz="4" w:space="0"/>
              <w:right w:val="single" w:color="000000" w:sz="4" w:space="0"/>
            </w:tcBorders>
            <w:vAlign w:val="center"/>
          </w:tcPr>
          <w:p w14:paraId="7C520631">
            <w:pPr>
              <w:widowControl/>
              <w:jc w:val="center"/>
              <w:textAlignment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13</w:t>
            </w:r>
          </w:p>
        </w:tc>
        <w:tc>
          <w:tcPr>
            <w:tcW w:w="1653" w:type="pct"/>
            <w:tcBorders>
              <w:top w:val="single" w:color="000000" w:sz="4" w:space="0"/>
              <w:left w:val="single" w:color="000000" w:sz="4" w:space="0"/>
              <w:bottom w:val="single" w:color="000000" w:sz="4" w:space="0"/>
              <w:right w:val="single" w:color="000000" w:sz="4" w:space="0"/>
            </w:tcBorders>
            <w:vAlign w:val="center"/>
          </w:tcPr>
          <w:p w14:paraId="4B120439">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状态监测系统模块</w:t>
            </w:r>
          </w:p>
        </w:tc>
        <w:tc>
          <w:tcPr>
            <w:tcW w:w="1086" w:type="pct"/>
            <w:tcBorders>
              <w:top w:val="single" w:color="000000" w:sz="4" w:space="0"/>
              <w:left w:val="single" w:color="000000" w:sz="4" w:space="0"/>
              <w:bottom w:val="single" w:color="000000" w:sz="4" w:space="0"/>
              <w:right w:val="single" w:color="000000" w:sz="4" w:space="0"/>
            </w:tcBorders>
            <w:vAlign w:val="center"/>
          </w:tcPr>
          <w:p w14:paraId="5D0ABF38">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15</w:t>
            </w:r>
          </w:p>
        </w:tc>
        <w:tc>
          <w:tcPr>
            <w:tcW w:w="1200" w:type="pct"/>
            <w:tcBorders>
              <w:top w:val="single" w:color="000000" w:sz="4" w:space="0"/>
              <w:left w:val="single" w:color="000000" w:sz="4" w:space="0"/>
              <w:bottom w:val="single" w:color="000000" w:sz="4" w:space="0"/>
              <w:right w:val="single" w:color="000000" w:sz="4" w:space="0"/>
            </w:tcBorders>
            <w:vAlign w:val="center"/>
          </w:tcPr>
          <w:p w14:paraId="36EF735C">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组</w:t>
            </w:r>
          </w:p>
        </w:tc>
      </w:tr>
      <w:tr w14:paraId="701BC758">
        <w:tblPrEx>
          <w:tblCellMar>
            <w:top w:w="0" w:type="dxa"/>
            <w:left w:w="108" w:type="dxa"/>
            <w:bottom w:w="0" w:type="dxa"/>
            <w:right w:w="108" w:type="dxa"/>
          </w:tblCellMar>
        </w:tblPrEx>
        <w:trPr>
          <w:trHeight w:val="560" w:hRule="atLeast"/>
          <w:jc w:val="center"/>
        </w:trPr>
        <w:tc>
          <w:tcPr>
            <w:tcW w:w="5000" w:type="pct"/>
            <w:gridSpan w:val="4"/>
            <w:tcBorders>
              <w:top w:val="single" w:color="000000" w:sz="4" w:space="0"/>
              <w:left w:val="single" w:color="000000" w:sz="4" w:space="0"/>
              <w:bottom w:val="single" w:color="000000" w:sz="4" w:space="0"/>
              <w:right w:val="single" w:color="000000" w:sz="4" w:space="0"/>
            </w:tcBorders>
            <w:vAlign w:val="center"/>
          </w:tcPr>
          <w:p w14:paraId="17FE9C3F">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给排水设备</w:t>
            </w:r>
          </w:p>
        </w:tc>
      </w:tr>
      <w:tr w14:paraId="621DCD83">
        <w:tblPrEx>
          <w:tblCellMar>
            <w:top w:w="0" w:type="dxa"/>
            <w:left w:w="108" w:type="dxa"/>
            <w:bottom w:w="0" w:type="dxa"/>
            <w:right w:w="108" w:type="dxa"/>
          </w:tblCellMar>
        </w:tblPrEx>
        <w:trPr>
          <w:trHeight w:val="560" w:hRule="atLeast"/>
          <w:jc w:val="center"/>
        </w:trPr>
        <w:tc>
          <w:tcPr>
            <w:tcW w:w="1059" w:type="pct"/>
            <w:tcBorders>
              <w:top w:val="single" w:color="000000" w:sz="4" w:space="0"/>
              <w:left w:val="single" w:color="000000" w:sz="4" w:space="0"/>
              <w:bottom w:val="single" w:color="000000" w:sz="4" w:space="0"/>
              <w:right w:val="single" w:color="000000" w:sz="4" w:space="0"/>
            </w:tcBorders>
            <w:vAlign w:val="center"/>
          </w:tcPr>
          <w:p w14:paraId="72BD911F">
            <w:pPr>
              <w:widowControl/>
              <w:jc w:val="center"/>
              <w:textAlignment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14</w:t>
            </w:r>
          </w:p>
        </w:tc>
        <w:tc>
          <w:tcPr>
            <w:tcW w:w="1653" w:type="pct"/>
            <w:tcBorders>
              <w:top w:val="single" w:color="000000" w:sz="4" w:space="0"/>
              <w:left w:val="single" w:color="000000" w:sz="4" w:space="0"/>
              <w:bottom w:val="single" w:color="000000" w:sz="4" w:space="0"/>
              <w:right w:val="single" w:color="000000" w:sz="4" w:space="0"/>
            </w:tcBorders>
            <w:vAlign w:val="center"/>
          </w:tcPr>
          <w:p w14:paraId="66F80699">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双口洗眼器</w:t>
            </w:r>
          </w:p>
        </w:tc>
        <w:tc>
          <w:tcPr>
            <w:tcW w:w="1086" w:type="pct"/>
            <w:tcBorders>
              <w:top w:val="single" w:color="000000" w:sz="4" w:space="0"/>
              <w:left w:val="single" w:color="000000" w:sz="4" w:space="0"/>
              <w:bottom w:val="single" w:color="000000" w:sz="4" w:space="0"/>
              <w:right w:val="single" w:color="000000" w:sz="4" w:space="0"/>
            </w:tcBorders>
            <w:vAlign w:val="center"/>
          </w:tcPr>
          <w:p w14:paraId="47035594">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w:t>
            </w:r>
          </w:p>
        </w:tc>
        <w:tc>
          <w:tcPr>
            <w:tcW w:w="1200" w:type="pct"/>
            <w:tcBorders>
              <w:top w:val="single" w:color="000000" w:sz="4" w:space="0"/>
              <w:left w:val="single" w:color="000000" w:sz="4" w:space="0"/>
              <w:bottom w:val="single" w:color="000000" w:sz="4" w:space="0"/>
              <w:right w:val="single" w:color="000000" w:sz="4" w:space="0"/>
            </w:tcBorders>
            <w:vAlign w:val="center"/>
          </w:tcPr>
          <w:p w14:paraId="4538BE2C">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个</w:t>
            </w:r>
          </w:p>
        </w:tc>
      </w:tr>
      <w:tr w14:paraId="675295B6">
        <w:tblPrEx>
          <w:tblCellMar>
            <w:top w:w="0" w:type="dxa"/>
            <w:left w:w="108" w:type="dxa"/>
            <w:bottom w:w="0" w:type="dxa"/>
            <w:right w:w="108" w:type="dxa"/>
          </w:tblCellMar>
        </w:tblPrEx>
        <w:trPr>
          <w:trHeight w:val="560" w:hRule="atLeast"/>
          <w:jc w:val="center"/>
        </w:trPr>
        <w:tc>
          <w:tcPr>
            <w:tcW w:w="1059" w:type="pct"/>
            <w:tcBorders>
              <w:top w:val="single" w:color="000000" w:sz="4" w:space="0"/>
              <w:left w:val="single" w:color="000000" w:sz="4" w:space="0"/>
              <w:bottom w:val="single" w:color="000000" w:sz="4" w:space="0"/>
              <w:right w:val="single" w:color="000000" w:sz="4" w:space="0"/>
            </w:tcBorders>
            <w:vAlign w:val="center"/>
          </w:tcPr>
          <w:p w14:paraId="7B4CA727">
            <w:pPr>
              <w:widowControl/>
              <w:jc w:val="center"/>
              <w:textAlignment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15</w:t>
            </w:r>
          </w:p>
        </w:tc>
        <w:tc>
          <w:tcPr>
            <w:tcW w:w="1653" w:type="pct"/>
            <w:tcBorders>
              <w:top w:val="single" w:color="000000" w:sz="4" w:space="0"/>
              <w:left w:val="single" w:color="000000" w:sz="4" w:space="0"/>
              <w:bottom w:val="single" w:color="000000" w:sz="4" w:space="0"/>
              <w:right w:val="single" w:color="000000" w:sz="4" w:space="0"/>
            </w:tcBorders>
            <w:vAlign w:val="center"/>
          </w:tcPr>
          <w:p w14:paraId="4BABB386">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多功能水槽台</w:t>
            </w:r>
          </w:p>
        </w:tc>
        <w:tc>
          <w:tcPr>
            <w:tcW w:w="1086" w:type="pct"/>
            <w:tcBorders>
              <w:top w:val="single" w:color="000000" w:sz="4" w:space="0"/>
              <w:left w:val="single" w:color="000000" w:sz="4" w:space="0"/>
              <w:bottom w:val="single" w:color="000000" w:sz="4" w:space="0"/>
              <w:right w:val="single" w:color="000000" w:sz="4" w:space="0"/>
            </w:tcBorders>
            <w:vAlign w:val="center"/>
          </w:tcPr>
          <w:p w14:paraId="38CA2AE8">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15</w:t>
            </w:r>
          </w:p>
        </w:tc>
        <w:tc>
          <w:tcPr>
            <w:tcW w:w="1200" w:type="pct"/>
            <w:tcBorders>
              <w:top w:val="single" w:color="000000" w:sz="4" w:space="0"/>
              <w:left w:val="single" w:color="000000" w:sz="4" w:space="0"/>
              <w:bottom w:val="single" w:color="000000" w:sz="4" w:space="0"/>
              <w:right w:val="single" w:color="000000" w:sz="4" w:space="0"/>
            </w:tcBorders>
            <w:vAlign w:val="center"/>
          </w:tcPr>
          <w:p w14:paraId="5184BAB2">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个</w:t>
            </w:r>
          </w:p>
        </w:tc>
      </w:tr>
      <w:tr w14:paraId="5D4CCAF4">
        <w:tblPrEx>
          <w:tblCellMar>
            <w:top w:w="0" w:type="dxa"/>
            <w:left w:w="108" w:type="dxa"/>
            <w:bottom w:w="0" w:type="dxa"/>
            <w:right w:w="108" w:type="dxa"/>
          </w:tblCellMar>
        </w:tblPrEx>
        <w:trPr>
          <w:trHeight w:val="560" w:hRule="atLeast"/>
          <w:jc w:val="center"/>
        </w:trPr>
        <w:tc>
          <w:tcPr>
            <w:tcW w:w="5000" w:type="pct"/>
            <w:gridSpan w:val="4"/>
            <w:tcBorders>
              <w:top w:val="single" w:color="000000" w:sz="4" w:space="0"/>
              <w:left w:val="single" w:color="000000" w:sz="4" w:space="0"/>
              <w:bottom w:val="single" w:color="000000" w:sz="4" w:space="0"/>
              <w:right w:val="single" w:color="000000" w:sz="4" w:space="0"/>
            </w:tcBorders>
            <w:vAlign w:val="center"/>
          </w:tcPr>
          <w:p w14:paraId="0EA1D9EF">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通风设备</w:t>
            </w:r>
          </w:p>
        </w:tc>
      </w:tr>
      <w:tr w14:paraId="1F763763">
        <w:tblPrEx>
          <w:tblCellMar>
            <w:top w:w="0" w:type="dxa"/>
            <w:left w:w="108" w:type="dxa"/>
            <w:bottom w:w="0" w:type="dxa"/>
            <w:right w:w="108" w:type="dxa"/>
          </w:tblCellMar>
        </w:tblPrEx>
        <w:trPr>
          <w:trHeight w:val="682" w:hRule="atLeast"/>
          <w:jc w:val="center"/>
        </w:trPr>
        <w:tc>
          <w:tcPr>
            <w:tcW w:w="1059" w:type="pct"/>
            <w:tcBorders>
              <w:top w:val="single" w:color="000000" w:sz="4" w:space="0"/>
              <w:left w:val="single" w:color="000000" w:sz="4" w:space="0"/>
              <w:bottom w:val="single" w:color="000000" w:sz="4" w:space="0"/>
              <w:right w:val="single" w:color="000000" w:sz="4" w:space="0"/>
            </w:tcBorders>
            <w:vAlign w:val="center"/>
          </w:tcPr>
          <w:p w14:paraId="03455971">
            <w:pPr>
              <w:widowControl/>
              <w:jc w:val="center"/>
              <w:textAlignment w:val="center"/>
              <w:rPr>
                <w:rFonts w:hint="default" w:ascii="宋体" w:hAnsi="宋体" w:eastAsia="宋体" w:cs="宋体"/>
                <w:b w:val="0"/>
                <w:bCs w:val="0"/>
                <w:color w:val="auto"/>
                <w:sz w:val="21"/>
                <w:szCs w:val="21"/>
                <w:lang w:val="en-US" w:eastAsia="zh-CN"/>
              </w:rPr>
            </w:pPr>
            <w:r>
              <w:rPr>
                <w:rFonts w:hint="eastAsia" w:ascii="宋体" w:hAnsi="宋体" w:eastAsia="宋体" w:cs="宋体"/>
                <w:b w:val="0"/>
                <w:bCs w:val="0"/>
                <w:color w:val="auto"/>
                <w:kern w:val="0"/>
                <w:sz w:val="21"/>
                <w:szCs w:val="21"/>
                <w:lang w:val="en-US" w:eastAsia="zh-CN" w:bidi="ar"/>
              </w:rPr>
              <w:t>1</w:t>
            </w:r>
            <w:r>
              <w:rPr>
                <w:rFonts w:hint="eastAsia" w:ascii="宋体" w:hAnsi="宋体" w:cs="宋体"/>
                <w:b w:val="0"/>
                <w:bCs w:val="0"/>
                <w:color w:val="auto"/>
                <w:kern w:val="0"/>
                <w:sz w:val="21"/>
                <w:szCs w:val="21"/>
                <w:lang w:val="en-US" w:eastAsia="zh-CN" w:bidi="ar"/>
              </w:rPr>
              <w:t>6</w:t>
            </w:r>
          </w:p>
        </w:tc>
        <w:tc>
          <w:tcPr>
            <w:tcW w:w="1653" w:type="pct"/>
            <w:tcBorders>
              <w:top w:val="single" w:color="000000" w:sz="4" w:space="0"/>
              <w:left w:val="single" w:color="000000" w:sz="4" w:space="0"/>
              <w:bottom w:val="single" w:color="000000" w:sz="4" w:space="0"/>
              <w:right w:val="single" w:color="000000" w:sz="4" w:space="0"/>
            </w:tcBorders>
            <w:vAlign w:val="center"/>
          </w:tcPr>
          <w:p w14:paraId="1384B0FE">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离心风机</w:t>
            </w:r>
          </w:p>
        </w:tc>
        <w:tc>
          <w:tcPr>
            <w:tcW w:w="1086" w:type="pct"/>
            <w:tcBorders>
              <w:top w:val="single" w:color="000000" w:sz="4" w:space="0"/>
              <w:left w:val="single" w:color="000000" w:sz="4" w:space="0"/>
              <w:bottom w:val="single" w:color="000000" w:sz="4" w:space="0"/>
              <w:right w:val="single" w:color="000000" w:sz="4" w:space="0"/>
            </w:tcBorders>
            <w:vAlign w:val="center"/>
          </w:tcPr>
          <w:p w14:paraId="7F007193">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w:t>
            </w:r>
          </w:p>
        </w:tc>
        <w:tc>
          <w:tcPr>
            <w:tcW w:w="1200" w:type="pct"/>
            <w:tcBorders>
              <w:top w:val="single" w:color="000000" w:sz="4" w:space="0"/>
              <w:left w:val="single" w:color="000000" w:sz="4" w:space="0"/>
              <w:bottom w:val="single" w:color="000000" w:sz="4" w:space="0"/>
              <w:right w:val="single" w:color="000000" w:sz="4" w:space="0"/>
            </w:tcBorders>
            <w:vAlign w:val="center"/>
          </w:tcPr>
          <w:p w14:paraId="05787FB4">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套</w:t>
            </w:r>
          </w:p>
        </w:tc>
      </w:tr>
      <w:tr w14:paraId="225F9498">
        <w:tblPrEx>
          <w:tblCellMar>
            <w:top w:w="0" w:type="dxa"/>
            <w:left w:w="108" w:type="dxa"/>
            <w:bottom w:w="0" w:type="dxa"/>
            <w:right w:w="108" w:type="dxa"/>
          </w:tblCellMar>
        </w:tblPrEx>
        <w:trPr>
          <w:trHeight w:val="560" w:hRule="atLeast"/>
          <w:jc w:val="center"/>
        </w:trPr>
        <w:tc>
          <w:tcPr>
            <w:tcW w:w="1059" w:type="pct"/>
            <w:tcBorders>
              <w:top w:val="single" w:color="000000" w:sz="4" w:space="0"/>
              <w:left w:val="single" w:color="000000" w:sz="4" w:space="0"/>
              <w:bottom w:val="single" w:color="000000" w:sz="4" w:space="0"/>
              <w:right w:val="single" w:color="000000" w:sz="4" w:space="0"/>
            </w:tcBorders>
            <w:vAlign w:val="center"/>
          </w:tcPr>
          <w:p w14:paraId="7099E11D">
            <w:pPr>
              <w:widowControl/>
              <w:jc w:val="center"/>
              <w:textAlignment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17</w:t>
            </w:r>
          </w:p>
        </w:tc>
        <w:tc>
          <w:tcPr>
            <w:tcW w:w="1653" w:type="pct"/>
            <w:tcBorders>
              <w:top w:val="single" w:color="000000" w:sz="4" w:space="0"/>
              <w:left w:val="single" w:color="000000" w:sz="4" w:space="0"/>
              <w:bottom w:val="single" w:color="000000" w:sz="4" w:space="0"/>
              <w:right w:val="single" w:color="000000" w:sz="4" w:space="0"/>
            </w:tcBorders>
            <w:vAlign w:val="center"/>
          </w:tcPr>
          <w:p w14:paraId="7FBBFBB9">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风机变频控制器</w:t>
            </w:r>
          </w:p>
        </w:tc>
        <w:tc>
          <w:tcPr>
            <w:tcW w:w="1086" w:type="pct"/>
            <w:tcBorders>
              <w:top w:val="single" w:color="000000" w:sz="4" w:space="0"/>
              <w:left w:val="single" w:color="000000" w:sz="4" w:space="0"/>
              <w:bottom w:val="single" w:color="000000" w:sz="4" w:space="0"/>
              <w:right w:val="single" w:color="000000" w:sz="4" w:space="0"/>
            </w:tcBorders>
            <w:noWrap/>
            <w:vAlign w:val="center"/>
          </w:tcPr>
          <w:p w14:paraId="6B62F618">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w:t>
            </w:r>
          </w:p>
        </w:tc>
        <w:tc>
          <w:tcPr>
            <w:tcW w:w="1200" w:type="pct"/>
            <w:tcBorders>
              <w:top w:val="single" w:color="000000" w:sz="4" w:space="0"/>
              <w:left w:val="single" w:color="000000" w:sz="4" w:space="0"/>
              <w:bottom w:val="single" w:color="000000" w:sz="4" w:space="0"/>
              <w:right w:val="single" w:color="000000" w:sz="4" w:space="0"/>
            </w:tcBorders>
            <w:vAlign w:val="center"/>
          </w:tcPr>
          <w:p w14:paraId="12F29DC8">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套</w:t>
            </w:r>
          </w:p>
        </w:tc>
      </w:tr>
      <w:tr w14:paraId="45FBDA31">
        <w:tblPrEx>
          <w:tblCellMar>
            <w:top w:w="0" w:type="dxa"/>
            <w:left w:w="108" w:type="dxa"/>
            <w:bottom w:w="0" w:type="dxa"/>
            <w:right w:w="108" w:type="dxa"/>
          </w:tblCellMar>
        </w:tblPrEx>
        <w:trPr>
          <w:trHeight w:val="560" w:hRule="atLeast"/>
          <w:jc w:val="center"/>
        </w:trPr>
        <w:tc>
          <w:tcPr>
            <w:tcW w:w="1059" w:type="pct"/>
            <w:tcBorders>
              <w:top w:val="single" w:color="000000" w:sz="4" w:space="0"/>
              <w:left w:val="single" w:color="000000" w:sz="4" w:space="0"/>
              <w:bottom w:val="single" w:color="000000" w:sz="4" w:space="0"/>
              <w:right w:val="single" w:color="000000" w:sz="4" w:space="0"/>
            </w:tcBorders>
            <w:vAlign w:val="center"/>
          </w:tcPr>
          <w:p w14:paraId="676A7DCB">
            <w:pPr>
              <w:widowControl/>
              <w:jc w:val="center"/>
              <w:textAlignment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18</w:t>
            </w:r>
          </w:p>
        </w:tc>
        <w:tc>
          <w:tcPr>
            <w:tcW w:w="1653" w:type="pct"/>
            <w:tcBorders>
              <w:top w:val="single" w:color="000000" w:sz="4" w:space="0"/>
              <w:left w:val="single" w:color="000000" w:sz="4" w:space="0"/>
              <w:bottom w:val="single" w:color="000000" w:sz="4" w:space="0"/>
              <w:right w:val="single" w:color="000000" w:sz="4" w:space="0"/>
            </w:tcBorders>
            <w:vAlign w:val="center"/>
          </w:tcPr>
          <w:p w14:paraId="3106ECD9">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室内风管及配件</w:t>
            </w:r>
          </w:p>
        </w:tc>
        <w:tc>
          <w:tcPr>
            <w:tcW w:w="1086" w:type="pct"/>
            <w:tcBorders>
              <w:top w:val="single" w:color="000000" w:sz="4" w:space="0"/>
              <w:left w:val="single" w:color="000000" w:sz="4" w:space="0"/>
              <w:bottom w:val="single" w:color="000000" w:sz="4" w:space="0"/>
              <w:right w:val="single" w:color="000000" w:sz="4" w:space="0"/>
            </w:tcBorders>
            <w:vAlign w:val="center"/>
          </w:tcPr>
          <w:p w14:paraId="17DDDFBA">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w:t>
            </w:r>
          </w:p>
        </w:tc>
        <w:tc>
          <w:tcPr>
            <w:tcW w:w="1200" w:type="pct"/>
            <w:tcBorders>
              <w:top w:val="single" w:color="000000" w:sz="4" w:space="0"/>
              <w:left w:val="single" w:color="000000" w:sz="4" w:space="0"/>
              <w:bottom w:val="single" w:color="000000" w:sz="4" w:space="0"/>
              <w:right w:val="single" w:color="000000" w:sz="4" w:space="0"/>
            </w:tcBorders>
            <w:vAlign w:val="center"/>
          </w:tcPr>
          <w:p w14:paraId="1F7FA894">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套</w:t>
            </w:r>
          </w:p>
        </w:tc>
      </w:tr>
      <w:tr w14:paraId="63E5BB05">
        <w:tblPrEx>
          <w:tblCellMar>
            <w:top w:w="0" w:type="dxa"/>
            <w:left w:w="108" w:type="dxa"/>
            <w:bottom w:w="0" w:type="dxa"/>
            <w:right w:w="108" w:type="dxa"/>
          </w:tblCellMar>
        </w:tblPrEx>
        <w:trPr>
          <w:trHeight w:val="560" w:hRule="atLeast"/>
          <w:jc w:val="center"/>
        </w:trPr>
        <w:tc>
          <w:tcPr>
            <w:tcW w:w="1059" w:type="pct"/>
            <w:tcBorders>
              <w:top w:val="single" w:color="000000" w:sz="4" w:space="0"/>
              <w:left w:val="single" w:color="000000" w:sz="4" w:space="0"/>
              <w:bottom w:val="single" w:color="000000" w:sz="4" w:space="0"/>
              <w:right w:val="single" w:color="000000" w:sz="4" w:space="0"/>
            </w:tcBorders>
            <w:vAlign w:val="center"/>
          </w:tcPr>
          <w:p w14:paraId="3ACC1155">
            <w:pPr>
              <w:widowControl/>
              <w:jc w:val="center"/>
              <w:textAlignment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kern w:val="0"/>
                <w:sz w:val="21"/>
                <w:szCs w:val="21"/>
                <w:lang w:val="en-US" w:eastAsia="zh-CN" w:bidi="ar"/>
              </w:rPr>
              <w:t>19</w:t>
            </w:r>
          </w:p>
        </w:tc>
        <w:tc>
          <w:tcPr>
            <w:tcW w:w="1653" w:type="pct"/>
            <w:tcBorders>
              <w:top w:val="single" w:color="000000" w:sz="4" w:space="0"/>
              <w:left w:val="single" w:color="000000" w:sz="4" w:space="0"/>
              <w:bottom w:val="single" w:color="000000" w:sz="4" w:space="0"/>
              <w:right w:val="single" w:color="000000" w:sz="4" w:space="0"/>
            </w:tcBorders>
            <w:vAlign w:val="center"/>
          </w:tcPr>
          <w:p w14:paraId="5BD9651F">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室外风管及配件</w:t>
            </w:r>
          </w:p>
        </w:tc>
        <w:tc>
          <w:tcPr>
            <w:tcW w:w="1086" w:type="pct"/>
            <w:tcBorders>
              <w:top w:val="single" w:color="000000" w:sz="4" w:space="0"/>
              <w:left w:val="single" w:color="000000" w:sz="4" w:space="0"/>
              <w:bottom w:val="single" w:color="000000" w:sz="4" w:space="0"/>
              <w:right w:val="single" w:color="000000" w:sz="4" w:space="0"/>
            </w:tcBorders>
            <w:vAlign w:val="center"/>
          </w:tcPr>
          <w:p w14:paraId="3101927F">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w:t>
            </w:r>
          </w:p>
        </w:tc>
        <w:tc>
          <w:tcPr>
            <w:tcW w:w="1200" w:type="pct"/>
            <w:tcBorders>
              <w:top w:val="single" w:color="000000" w:sz="4" w:space="0"/>
              <w:left w:val="single" w:color="000000" w:sz="4" w:space="0"/>
              <w:bottom w:val="single" w:color="000000" w:sz="4" w:space="0"/>
              <w:right w:val="single" w:color="000000" w:sz="4" w:space="0"/>
            </w:tcBorders>
            <w:vAlign w:val="center"/>
          </w:tcPr>
          <w:p w14:paraId="2C34A7EF">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套</w:t>
            </w:r>
          </w:p>
        </w:tc>
      </w:tr>
      <w:tr w14:paraId="1A3048B4">
        <w:tblPrEx>
          <w:tblCellMar>
            <w:top w:w="0" w:type="dxa"/>
            <w:left w:w="108" w:type="dxa"/>
            <w:bottom w:w="0" w:type="dxa"/>
            <w:right w:w="108" w:type="dxa"/>
          </w:tblCellMar>
        </w:tblPrEx>
        <w:trPr>
          <w:trHeight w:val="560" w:hRule="atLeast"/>
          <w:jc w:val="center"/>
        </w:trPr>
        <w:tc>
          <w:tcPr>
            <w:tcW w:w="5000" w:type="pct"/>
            <w:gridSpan w:val="4"/>
            <w:tcBorders>
              <w:top w:val="single" w:color="000000" w:sz="4" w:space="0"/>
              <w:left w:val="single" w:color="000000" w:sz="4" w:space="0"/>
              <w:bottom w:val="single" w:color="000000" w:sz="4" w:space="0"/>
              <w:right w:val="single" w:color="000000" w:sz="4" w:space="0"/>
            </w:tcBorders>
            <w:vAlign w:val="center"/>
          </w:tcPr>
          <w:p w14:paraId="65161D61">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安装附件部分</w:t>
            </w:r>
          </w:p>
        </w:tc>
      </w:tr>
      <w:tr w14:paraId="517D7DA2">
        <w:tblPrEx>
          <w:tblCellMar>
            <w:top w:w="0" w:type="dxa"/>
            <w:left w:w="108" w:type="dxa"/>
            <w:bottom w:w="0" w:type="dxa"/>
            <w:right w:w="108" w:type="dxa"/>
          </w:tblCellMar>
        </w:tblPrEx>
        <w:trPr>
          <w:trHeight w:val="560" w:hRule="atLeast"/>
          <w:jc w:val="center"/>
        </w:trPr>
        <w:tc>
          <w:tcPr>
            <w:tcW w:w="1059" w:type="pct"/>
            <w:tcBorders>
              <w:top w:val="single" w:color="000000" w:sz="4" w:space="0"/>
              <w:left w:val="single" w:color="000000" w:sz="4" w:space="0"/>
              <w:bottom w:val="single" w:color="000000" w:sz="4" w:space="0"/>
              <w:right w:val="single" w:color="000000" w:sz="4" w:space="0"/>
            </w:tcBorders>
            <w:vAlign w:val="center"/>
          </w:tcPr>
          <w:p w14:paraId="59BFB5ED">
            <w:pPr>
              <w:widowControl/>
              <w:jc w:val="center"/>
              <w:textAlignment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20</w:t>
            </w:r>
          </w:p>
        </w:tc>
        <w:tc>
          <w:tcPr>
            <w:tcW w:w="1653" w:type="pct"/>
            <w:tcBorders>
              <w:top w:val="single" w:color="000000" w:sz="4" w:space="0"/>
              <w:left w:val="single" w:color="000000" w:sz="4" w:space="0"/>
              <w:bottom w:val="single" w:color="000000" w:sz="4" w:space="0"/>
              <w:right w:val="single" w:color="000000" w:sz="4" w:space="0"/>
            </w:tcBorders>
            <w:vAlign w:val="center"/>
          </w:tcPr>
          <w:p w14:paraId="6EBF5F0D">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电源布线耗材</w:t>
            </w:r>
          </w:p>
        </w:tc>
        <w:tc>
          <w:tcPr>
            <w:tcW w:w="1086" w:type="pct"/>
            <w:tcBorders>
              <w:top w:val="single" w:color="000000" w:sz="4" w:space="0"/>
              <w:left w:val="single" w:color="000000" w:sz="4" w:space="0"/>
              <w:bottom w:val="single" w:color="000000" w:sz="4" w:space="0"/>
              <w:right w:val="single" w:color="000000" w:sz="4" w:space="0"/>
            </w:tcBorders>
            <w:vAlign w:val="center"/>
          </w:tcPr>
          <w:p w14:paraId="70042126">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w:t>
            </w:r>
          </w:p>
        </w:tc>
        <w:tc>
          <w:tcPr>
            <w:tcW w:w="1200" w:type="pct"/>
            <w:tcBorders>
              <w:top w:val="single" w:color="000000" w:sz="4" w:space="0"/>
              <w:left w:val="single" w:color="000000" w:sz="4" w:space="0"/>
              <w:bottom w:val="single" w:color="000000" w:sz="4" w:space="0"/>
              <w:right w:val="single" w:color="000000" w:sz="4" w:space="0"/>
            </w:tcBorders>
            <w:vAlign w:val="center"/>
          </w:tcPr>
          <w:p w14:paraId="14AA442E">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室</w:t>
            </w:r>
          </w:p>
        </w:tc>
      </w:tr>
      <w:tr w14:paraId="4AC6AB85">
        <w:tblPrEx>
          <w:tblCellMar>
            <w:top w:w="0" w:type="dxa"/>
            <w:left w:w="108" w:type="dxa"/>
            <w:bottom w:w="0" w:type="dxa"/>
            <w:right w:w="108" w:type="dxa"/>
          </w:tblCellMar>
        </w:tblPrEx>
        <w:trPr>
          <w:trHeight w:val="560" w:hRule="atLeast"/>
          <w:jc w:val="center"/>
        </w:trPr>
        <w:tc>
          <w:tcPr>
            <w:tcW w:w="1059" w:type="pct"/>
            <w:tcBorders>
              <w:top w:val="single" w:color="000000" w:sz="4" w:space="0"/>
              <w:left w:val="single" w:color="000000" w:sz="4" w:space="0"/>
              <w:bottom w:val="single" w:color="000000" w:sz="4" w:space="0"/>
              <w:right w:val="single" w:color="000000" w:sz="4" w:space="0"/>
            </w:tcBorders>
            <w:vAlign w:val="center"/>
          </w:tcPr>
          <w:p w14:paraId="66D3B2CC">
            <w:pPr>
              <w:widowControl/>
              <w:jc w:val="center"/>
              <w:textAlignment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kern w:val="0"/>
                <w:sz w:val="21"/>
                <w:szCs w:val="21"/>
                <w:lang w:bidi="ar"/>
              </w:rPr>
              <w:t>2</w:t>
            </w:r>
            <w:r>
              <w:rPr>
                <w:rFonts w:hint="eastAsia" w:ascii="宋体" w:hAnsi="宋体" w:cs="宋体"/>
                <w:b w:val="0"/>
                <w:bCs w:val="0"/>
                <w:color w:val="auto"/>
                <w:kern w:val="0"/>
                <w:sz w:val="21"/>
                <w:szCs w:val="21"/>
                <w:lang w:val="en-US" w:eastAsia="zh-CN" w:bidi="ar"/>
              </w:rPr>
              <w:t>1</w:t>
            </w:r>
          </w:p>
        </w:tc>
        <w:tc>
          <w:tcPr>
            <w:tcW w:w="1653" w:type="pct"/>
            <w:tcBorders>
              <w:top w:val="single" w:color="000000" w:sz="4" w:space="0"/>
              <w:left w:val="single" w:color="000000" w:sz="4" w:space="0"/>
              <w:bottom w:val="single" w:color="000000" w:sz="4" w:space="0"/>
              <w:right w:val="single" w:color="000000" w:sz="4" w:space="0"/>
            </w:tcBorders>
            <w:vAlign w:val="center"/>
          </w:tcPr>
          <w:p w14:paraId="26AEB36D">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风机布线耗材</w:t>
            </w:r>
          </w:p>
        </w:tc>
        <w:tc>
          <w:tcPr>
            <w:tcW w:w="1086" w:type="pct"/>
            <w:tcBorders>
              <w:top w:val="single" w:color="000000" w:sz="4" w:space="0"/>
              <w:left w:val="single" w:color="000000" w:sz="4" w:space="0"/>
              <w:bottom w:val="single" w:color="000000" w:sz="4" w:space="0"/>
              <w:right w:val="single" w:color="000000" w:sz="4" w:space="0"/>
            </w:tcBorders>
            <w:vAlign w:val="center"/>
          </w:tcPr>
          <w:p w14:paraId="41B925D2">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w:t>
            </w:r>
          </w:p>
        </w:tc>
        <w:tc>
          <w:tcPr>
            <w:tcW w:w="1200" w:type="pct"/>
            <w:tcBorders>
              <w:top w:val="single" w:color="000000" w:sz="4" w:space="0"/>
              <w:left w:val="single" w:color="000000" w:sz="4" w:space="0"/>
              <w:bottom w:val="single" w:color="000000" w:sz="4" w:space="0"/>
              <w:right w:val="single" w:color="000000" w:sz="4" w:space="0"/>
            </w:tcBorders>
            <w:vAlign w:val="center"/>
          </w:tcPr>
          <w:p w14:paraId="33FBFF51">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室</w:t>
            </w:r>
          </w:p>
        </w:tc>
      </w:tr>
      <w:tr w14:paraId="0728E499">
        <w:tblPrEx>
          <w:tblCellMar>
            <w:top w:w="0" w:type="dxa"/>
            <w:left w:w="108" w:type="dxa"/>
            <w:bottom w:w="0" w:type="dxa"/>
            <w:right w:w="108" w:type="dxa"/>
          </w:tblCellMar>
        </w:tblPrEx>
        <w:trPr>
          <w:trHeight w:val="560" w:hRule="atLeast"/>
          <w:jc w:val="center"/>
        </w:trPr>
        <w:tc>
          <w:tcPr>
            <w:tcW w:w="1059" w:type="pct"/>
            <w:tcBorders>
              <w:top w:val="single" w:color="000000" w:sz="4" w:space="0"/>
              <w:left w:val="single" w:color="000000" w:sz="4" w:space="0"/>
              <w:bottom w:val="single" w:color="000000" w:sz="4" w:space="0"/>
              <w:right w:val="single" w:color="000000" w:sz="4" w:space="0"/>
            </w:tcBorders>
            <w:vAlign w:val="center"/>
          </w:tcPr>
          <w:p w14:paraId="51AED2BE">
            <w:pPr>
              <w:widowControl/>
              <w:jc w:val="center"/>
              <w:textAlignment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22</w:t>
            </w:r>
          </w:p>
        </w:tc>
        <w:tc>
          <w:tcPr>
            <w:tcW w:w="1653" w:type="pct"/>
            <w:tcBorders>
              <w:top w:val="single" w:color="000000" w:sz="4" w:space="0"/>
              <w:left w:val="single" w:color="000000" w:sz="4" w:space="0"/>
              <w:bottom w:val="single" w:color="000000" w:sz="4" w:space="0"/>
              <w:right w:val="single" w:color="000000" w:sz="4" w:space="0"/>
            </w:tcBorders>
            <w:vAlign w:val="center"/>
          </w:tcPr>
          <w:p w14:paraId="5E0CF81D">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给/排水全套装置</w:t>
            </w:r>
          </w:p>
        </w:tc>
        <w:tc>
          <w:tcPr>
            <w:tcW w:w="1086" w:type="pct"/>
            <w:tcBorders>
              <w:top w:val="single" w:color="000000" w:sz="4" w:space="0"/>
              <w:left w:val="single" w:color="000000" w:sz="4" w:space="0"/>
              <w:bottom w:val="single" w:color="000000" w:sz="4" w:space="0"/>
              <w:right w:val="single" w:color="000000" w:sz="4" w:space="0"/>
            </w:tcBorders>
            <w:vAlign w:val="center"/>
          </w:tcPr>
          <w:p w14:paraId="55FF3B37">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w:t>
            </w:r>
          </w:p>
        </w:tc>
        <w:tc>
          <w:tcPr>
            <w:tcW w:w="1200" w:type="pct"/>
            <w:tcBorders>
              <w:top w:val="single" w:color="000000" w:sz="4" w:space="0"/>
              <w:left w:val="single" w:color="000000" w:sz="4" w:space="0"/>
              <w:bottom w:val="single" w:color="000000" w:sz="4" w:space="0"/>
              <w:right w:val="single" w:color="000000" w:sz="4" w:space="0"/>
            </w:tcBorders>
            <w:vAlign w:val="center"/>
          </w:tcPr>
          <w:p w14:paraId="0961A517">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套</w:t>
            </w:r>
          </w:p>
        </w:tc>
      </w:tr>
      <w:tr w14:paraId="1A17F243">
        <w:tblPrEx>
          <w:tblCellMar>
            <w:top w:w="0" w:type="dxa"/>
            <w:left w:w="108" w:type="dxa"/>
            <w:bottom w:w="0" w:type="dxa"/>
            <w:right w:w="108" w:type="dxa"/>
          </w:tblCellMar>
        </w:tblPrEx>
        <w:trPr>
          <w:trHeight w:val="560" w:hRule="atLeast"/>
          <w:jc w:val="center"/>
        </w:trPr>
        <w:tc>
          <w:tcPr>
            <w:tcW w:w="1059" w:type="pct"/>
            <w:tcBorders>
              <w:top w:val="single" w:color="000000" w:sz="4" w:space="0"/>
              <w:left w:val="single" w:color="000000" w:sz="4" w:space="0"/>
              <w:bottom w:val="single" w:color="000000" w:sz="4" w:space="0"/>
              <w:right w:val="single" w:color="000000" w:sz="4" w:space="0"/>
            </w:tcBorders>
            <w:vAlign w:val="center"/>
          </w:tcPr>
          <w:p w14:paraId="2ACE4215">
            <w:pPr>
              <w:widowControl/>
              <w:jc w:val="center"/>
              <w:textAlignment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23</w:t>
            </w:r>
          </w:p>
        </w:tc>
        <w:tc>
          <w:tcPr>
            <w:tcW w:w="1653" w:type="pct"/>
            <w:tcBorders>
              <w:top w:val="single" w:color="000000" w:sz="4" w:space="0"/>
              <w:left w:val="single" w:color="000000" w:sz="4" w:space="0"/>
              <w:bottom w:val="single" w:color="000000" w:sz="4" w:space="0"/>
              <w:right w:val="single" w:color="000000" w:sz="4" w:space="0"/>
            </w:tcBorders>
            <w:vAlign w:val="center"/>
          </w:tcPr>
          <w:p w14:paraId="207723D7">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系统安装辅件</w:t>
            </w:r>
          </w:p>
        </w:tc>
        <w:tc>
          <w:tcPr>
            <w:tcW w:w="1086" w:type="pct"/>
            <w:tcBorders>
              <w:top w:val="single" w:color="000000" w:sz="4" w:space="0"/>
              <w:left w:val="single" w:color="000000" w:sz="4" w:space="0"/>
              <w:bottom w:val="single" w:color="000000" w:sz="4" w:space="0"/>
              <w:right w:val="single" w:color="000000" w:sz="4" w:space="0"/>
            </w:tcBorders>
            <w:noWrap/>
            <w:vAlign w:val="center"/>
          </w:tcPr>
          <w:p w14:paraId="0E8748CB">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w:t>
            </w:r>
          </w:p>
        </w:tc>
        <w:tc>
          <w:tcPr>
            <w:tcW w:w="1200" w:type="pct"/>
            <w:tcBorders>
              <w:top w:val="single" w:color="000000" w:sz="4" w:space="0"/>
              <w:left w:val="single" w:color="000000" w:sz="4" w:space="0"/>
              <w:bottom w:val="single" w:color="000000" w:sz="4" w:space="0"/>
              <w:right w:val="single" w:color="000000" w:sz="4" w:space="0"/>
            </w:tcBorders>
            <w:vAlign w:val="center"/>
          </w:tcPr>
          <w:p w14:paraId="297A99EA">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套</w:t>
            </w:r>
          </w:p>
        </w:tc>
      </w:tr>
      <w:tr w14:paraId="050EFE6A">
        <w:tblPrEx>
          <w:tblCellMar>
            <w:top w:w="0" w:type="dxa"/>
            <w:left w:w="108" w:type="dxa"/>
            <w:bottom w:w="0" w:type="dxa"/>
            <w:right w:w="108" w:type="dxa"/>
          </w:tblCellMar>
        </w:tblPrEx>
        <w:trPr>
          <w:trHeight w:val="560" w:hRule="atLeast"/>
          <w:jc w:val="center"/>
        </w:trPr>
        <w:tc>
          <w:tcPr>
            <w:tcW w:w="5000" w:type="pct"/>
            <w:gridSpan w:val="4"/>
            <w:tcBorders>
              <w:top w:val="single" w:color="000000" w:sz="4" w:space="0"/>
              <w:left w:val="single" w:color="000000" w:sz="4" w:space="0"/>
              <w:bottom w:val="single" w:color="000000" w:sz="4" w:space="0"/>
              <w:right w:val="single" w:color="000000" w:sz="4" w:space="0"/>
            </w:tcBorders>
            <w:vAlign w:val="center"/>
          </w:tcPr>
          <w:p w14:paraId="7652857B">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其他</w:t>
            </w:r>
          </w:p>
        </w:tc>
      </w:tr>
      <w:tr w14:paraId="2FA6CAA6">
        <w:tblPrEx>
          <w:tblCellMar>
            <w:top w:w="0" w:type="dxa"/>
            <w:left w:w="108" w:type="dxa"/>
            <w:bottom w:w="0" w:type="dxa"/>
            <w:right w:w="108" w:type="dxa"/>
          </w:tblCellMar>
        </w:tblPrEx>
        <w:trPr>
          <w:trHeight w:val="560" w:hRule="atLeast"/>
          <w:jc w:val="center"/>
        </w:trPr>
        <w:tc>
          <w:tcPr>
            <w:tcW w:w="1059" w:type="pct"/>
            <w:tcBorders>
              <w:top w:val="single" w:color="000000" w:sz="4" w:space="0"/>
              <w:left w:val="single" w:color="000000" w:sz="4" w:space="0"/>
              <w:bottom w:val="single" w:color="000000" w:sz="4" w:space="0"/>
              <w:right w:val="single" w:color="000000" w:sz="4" w:space="0"/>
            </w:tcBorders>
            <w:noWrap/>
            <w:vAlign w:val="center"/>
          </w:tcPr>
          <w:p w14:paraId="6D33E087">
            <w:pPr>
              <w:widowControl/>
              <w:jc w:val="center"/>
              <w:textAlignment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24</w:t>
            </w:r>
          </w:p>
        </w:tc>
        <w:tc>
          <w:tcPr>
            <w:tcW w:w="1653" w:type="pct"/>
            <w:tcBorders>
              <w:top w:val="single" w:color="000000" w:sz="4" w:space="0"/>
              <w:left w:val="single" w:color="000000" w:sz="4" w:space="0"/>
              <w:bottom w:val="single" w:color="000000" w:sz="4" w:space="0"/>
              <w:right w:val="single" w:color="000000" w:sz="4" w:space="0"/>
            </w:tcBorders>
            <w:vAlign w:val="center"/>
          </w:tcPr>
          <w:p w14:paraId="72C282FB">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86寸一体机</w:t>
            </w:r>
          </w:p>
        </w:tc>
        <w:tc>
          <w:tcPr>
            <w:tcW w:w="1086" w:type="pct"/>
            <w:tcBorders>
              <w:top w:val="single" w:color="000000" w:sz="4" w:space="0"/>
              <w:left w:val="single" w:color="000000" w:sz="4" w:space="0"/>
              <w:bottom w:val="single" w:color="000000" w:sz="4" w:space="0"/>
              <w:right w:val="single" w:color="000000" w:sz="4" w:space="0"/>
            </w:tcBorders>
            <w:noWrap/>
            <w:vAlign w:val="center"/>
          </w:tcPr>
          <w:p w14:paraId="03A17D50">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w:t>
            </w:r>
          </w:p>
        </w:tc>
        <w:tc>
          <w:tcPr>
            <w:tcW w:w="1200" w:type="pct"/>
            <w:tcBorders>
              <w:top w:val="single" w:color="000000" w:sz="4" w:space="0"/>
              <w:left w:val="single" w:color="000000" w:sz="4" w:space="0"/>
              <w:bottom w:val="single" w:color="000000" w:sz="4" w:space="0"/>
              <w:right w:val="single" w:color="000000" w:sz="4" w:space="0"/>
            </w:tcBorders>
            <w:noWrap/>
            <w:vAlign w:val="center"/>
          </w:tcPr>
          <w:p w14:paraId="0F6F924A">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套</w:t>
            </w:r>
          </w:p>
        </w:tc>
      </w:tr>
      <w:tr w14:paraId="2C73A725">
        <w:tblPrEx>
          <w:tblCellMar>
            <w:top w:w="0" w:type="dxa"/>
            <w:left w:w="108" w:type="dxa"/>
            <w:bottom w:w="0" w:type="dxa"/>
            <w:right w:w="108" w:type="dxa"/>
          </w:tblCellMar>
        </w:tblPrEx>
        <w:trPr>
          <w:trHeight w:val="560" w:hRule="atLeast"/>
          <w:jc w:val="center"/>
        </w:trPr>
        <w:tc>
          <w:tcPr>
            <w:tcW w:w="1059" w:type="pct"/>
            <w:tcBorders>
              <w:top w:val="single" w:color="000000" w:sz="4" w:space="0"/>
              <w:left w:val="single" w:color="000000" w:sz="4" w:space="0"/>
              <w:bottom w:val="single" w:color="000000" w:sz="4" w:space="0"/>
              <w:right w:val="single" w:color="000000" w:sz="4" w:space="0"/>
            </w:tcBorders>
            <w:noWrap/>
            <w:vAlign w:val="center"/>
          </w:tcPr>
          <w:p w14:paraId="26F37A15">
            <w:pPr>
              <w:widowControl/>
              <w:jc w:val="center"/>
              <w:textAlignment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kern w:val="0"/>
                <w:sz w:val="21"/>
                <w:szCs w:val="21"/>
                <w:lang w:bidi="ar"/>
              </w:rPr>
              <w:t>2</w:t>
            </w:r>
            <w:r>
              <w:rPr>
                <w:rFonts w:hint="eastAsia" w:ascii="宋体" w:hAnsi="宋体" w:cs="宋体"/>
                <w:b w:val="0"/>
                <w:bCs w:val="0"/>
                <w:color w:val="auto"/>
                <w:kern w:val="0"/>
                <w:sz w:val="21"/>
                <w:szCs w:val="21"/>
                <w:lang w:val="en-US" w:eastAsia="zh-CN" w:bidi="ar"/>
              </w:rPr>
              <w:t>5</w:t>
            </w:r>
          </w:p>
        </w:tc>
        <w:tc>
          <w:tcPr>
            <w:tcW w:w="1653" w:type="pct"/>
            <w:tcBorders>
              <w:top w:val="single" w:color="000000" w:sz="4" w:space="0"/>
              <w:left w:val="single" w:color="000000" w:sz="4" w:space="0"/>
              <w:bottom w:val="single" w:color="000000" w:sz="4" w:space="0"/>
              <w:right w:val="single" w:color="000000" w:sz="4" w:space="0"/>
            </w:tcBorders>
            <w:vAlign w:val="center"/>
          </w:tcPr>
          <w:p w14:paraId="7D8A0296">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教育灯盘</w:t>
            </w:r>
          </w:p>
        </w:tc>
        <w:tc>
          <w:tcPr>
            <w:tcW w:w="1086" w:type="pct"/>
            <w:tcBorders>
              <w:top w:val="single" w:color="000000" w:sz="4" w:space="0"/>
              <w:left w:val="single" w:color="000000" w:sz="4" w:space="0"/>
              <w:bottom w:val="single" w:color="000000" w:sz="4" w:space="0"/>
              <w:right w:val="single" w:color="000000" w:sz="4" w:space="0"/>
            </w:tcBorders>
            <w:noWrap/>
            <w:vAlign w:val="center"/>
          </w:tcPr>
          <w:p w14:paraId="7F2CEE4A">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15</w:t>
            </w:r>
          </w:p>
        </w:tc>
        <w:tc>
          <w:tcPr>
            <w:tcW w:w="1200" w:type="pct"/>
            <w:tcBorders>
              <w:top w:val="single" w:color="000000" w:sz="4" w:space="0"/>
              <w:left w:val="single" w:color="000000" w:sz="4" w:space="0"/>
              <w:bottom w:val="single" w:color="000000" w:sz="4" w:space="0"/>
              <w:right w:val="single" w:color="000000" w:sz="4" w:space="0"/>
            </w:tcBorders>
            <w:noWrap/>
            <w:vAlign w:val="center"/>
          </w:tcPr>
          <w:p w14:paraId="1D5BA13A">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个</w:t>
            </w:r>
          </w:p>
        </w:tc>
      </w:tr>
      <w:tr w14:paraId="24BFAC07">
        <w:tblPrEx>
          <w:tblCellMar>
            <w:top w:w="0" w:type="dxa"/>
            <w:left w:w="108" w:type="dxa"/>
            <w:bottom w:w="0" w:type="dxa"/>
            <w:right w:w="108" w:type="dxa"/>
          </w:tblCellMar>
        </w:tblPrEx>
        <w:trPr>
          <w:trHeight w:val="560" w:hRule="atLeast"/>
          <w:jc w:val="center"/>
        </w:trPr>
        <w:tc>
          <w:tcPr>
            <w:tcW w:w="1059" w:type="pct"/>
            <w:tcBorders>
              <w:top w:val="single" w:color="000000" w:sz="4" w:space="0"/>
              <w:left w:val="single" w:color="000000" w:sz="4" w:space="0"/>
              <w:bottom w:val="single" w:color="000000" w:sz="4" w:space="0"/>
              <w:right w:val="single" w:color="000000" w:sz="4" w:space="0"/>
            </w:tcBorders>
            <w:noWrap/>
            <w:vAlign w:val="center"/>
          </w:tcPr>
          <w:p w14:paraId="431F00D5">
            <w:pPr>
              <w:widowControl/>
              <w:jc w:val="center"/>
              <w:textAlignment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26</w:t>
            </w:r>
          </w:p>
        </w:tc>
        <w:tc>
          <w:tcPr>
            <w:tcW w:w="1653" w:type="pct"/>
            <w:tcBorders>
              <w:top w:val="single" w:color="000000" w:sz="4" w:space="0"/>
              <w:left w:val="single" w:color="000000" w:sz="4" w:space="0"/>
              <w:bottom w:val="single" w:color="000000" w:sz="4" w:space="0"/>
              <w:right w:val="single" w:color="000000" w:sz="4" w:space="0"/>
            </w:tcBorders>
            <w:vAlign w:val="center"/>
          </w:tcPr>
          <w:p w14:paraId="74A742CD">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学科窗帘</w:t>
            </w:r>
          </w:p>
        </w:tc>
        <w:tc>
          <w:tcPr>
            <w:tcW w:w="1086" w:type="pct"/>
            <w:tcBorders>
              <w:top w:val="single" w:color="000000" w:sz="4" w:space="0"/>
              <w:left w:val="single" w:color="000000" w:sz="4" w:space="0"/>
              <w:bottom w:val="single" w:color="000000" w:sz="4" w:space="0"/>
              <w:right w:val="single" w:color="000000" w:sz="4" w:space="0"/>
            </w:tcBorders>
            <w:noWrap/>
            <w:vAlign w:val="center"/>
          </w:tcPr>
          <w:p w14:paraId="2509D8E2">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w:t>
            </w:r>
          </w:p>
        </w:tc>
        <w:tc>
          <w:tcPr>
            <w:tcW w:w="1200" w:type="pct"/>
            <w:tcBorders>
              <w:top w:val="single" w:color="000000" w:sz="4" w:space="0"/>
              <w:left w:val="single" w:color="000000" w:sz="4" w:space="0"/>
              <w:bottom w:val="single" w:color="000000" w:sz="4" w:space="0"/>
              <w:right w:val="single" w:color="000000" w:sz="4" w:space="0"/>
            </w:tcBorders>
            <w:noWrap/>
            <w:vAlign w:val="center"/>
          </w:tcPr>
          <w:p w14:paraId="3811B4F0">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套</w:t>
            </w:r>
          </w:p>
        </w:tc>
      </w:tr>
    </w:tbl>
    <w:p w14:paraId="0BEF0DEE">
      <w:pPr>
        <w:numPr>
          <w:ilvl w:val="0"/>
          <w:numId w:val="0"/>
        </w:numPr>
        <w:spacing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b w:val="0"/>
          <w:bCs w:val="0"/>
          <w:color w:val="auto"/>
          <w:sz w:val="28"/>
          <w:szCs w:val="28"/>
          <w:lang w:val="en-US" w:eastAsia="zh-CN"/>
        </w:rPr>
        <w:t>生物智能吊装实验室</w:t>
      </w:r>
    </w:p>
    <w:tbl>
      <w:tblPr>
        <w:tblStyle w:val="21"/>
        <w:tblW w:w="9071" w:type="dxa"/>
        <w:jc w:val="center"/>
        <w:tblLayout w:type="fixed"/>
        <w:tblCellMar>
          <w:top w:w="0" w:type="dxa"/>
          <w:left w:w="108" w:type="dxa"/>
          <w:bottom w:w="0" w:type="dxa"/>
          <w:right w:w="108" w:type="dxa"/>
        </w:tblCellMar>
      </w:tblPr>
      <w:tblGrid>
        <w:gridCol w:w="1789"/>
        <w:gridCol w:w="3209"/>
        <w:gridCol w:w="1989"/>
        <w:gridCol w:w="2084"/>
      </w:tblGrid>
      <w:tr w14:paraId="2852B394">
        <w:tblPrEx>
          <w:tblCellMar>
            <w:top w:w="0" w:type="dxa"/>
            <w:left w:w="108" w:type="dxa"/>
            <w:bottom w:w="0" w:type="dxa"/>
            <w:right w:w="108" w:type="dxa"/>
          </w:tblCellMar>
        </w:tblPrEx>
        <w:trPr>
          <w:trHeight w:val="561" w:hRule="atLeast"/>
          <w:jc w:val="center"/>
        </w:trPr>
        <w:tc>
          <w:tcPr>
            <w:tcW w:w="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2DE84">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序号</w:t>
            </w:r>
          </w:p>
        </w:tc>
        <w:tc>
          <w:tcPr>
            <w:tcW w:w="1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F4EF8">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货物名称</w:t>
            </w:r>
          </w:p>
        </w:tc>
        <w:tc>
          <w:tcPr>
            <w:tcW w:w="10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00FBB">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数量</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4848F">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单位</w:t>
            </w:r>
          </w:p>
        </w:tc>
      </w:tr>
      <w:tr w14:paraId="45452772">
        <w:tblPrEx>
          <w:tblCellMar>
            <w:top w:w="0" w:type="dxa"/>
            <w:left w:w="108" w:type="dxa"/>
            <w:bottom w:w="0" w:type="dxa"/>
            <w:right w:w="108" w:type="dxa"/>
          </w:tblCellMar>
        </w:tblPrEx>
        <w:trPr>
          <w:trHeight w:val="561" w:hRule="atLeast"/>
          <w:jc w:val="center"/>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FDCC944">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教师控制演示区</w:t>
            </w:r>
          </w:p>
        </w:tc>
      </w:tr>
      <w:tr w14:paraId="3712B9AE">
        <w:tblPrEx>
          <w:tblCellMar>
            <w:top w:w="0" w:type="dxa"/>
            <w:left w:w="108" w:type="dxa"/>
            <w:bottom w:w="0" w:type="dxa"/>
            <w:right w:w="108" w:type="dxa"/>
          </w:tblCellMar>
        </w:tblPrEx>
        <w:trPr>
          <w:trHeight w:val="561" w:hRule="atLeast"/>
          <w:jc w:val="center"/>
        </w:trPr>
        <w:tc>
          <w:tcPr>
            <w:tcW w:w="986" w:type="pct"/>
            <w:tcBorders>
              <w:top w:val="single" w:color="000000" w:sz="4" w:space="0"/>
              <w:left w:val="single" w:color="000000" w:sz="4" w:space="0"/>
              <w:bottom w:val="single" w:color="000000" w:sz="4" w:space="0"/>
              <w:right w:val="single" w:color="000000" w:sz="4" w:space="0"/>
            </w:tcBorders>
            <w:noWrap/>
            <w:vAlign w:val="center"/>
          </w:tcPr>
          <w:p w14:paraId="27FA22CA">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w:t>
            </w:r>
          </w:p>
        </w:tc>
        <w:tc>
          <w:tcPr>
            <w:tcW w:w="1768" w:type="pct"/>
            <w:tcBorders>
              <w:top w:val="single" w:color="000000" w:sz="4" w:space="0"/>
              <w:left w:val="single" w:color="000000" w:sz="4" w:space="0"/>
              <w:bottom w:val="single" w:color="000000" w:sz="4" w:space="0"/>
              <w:right w:val="single" w:color="000000" w:sz="4" w:space="0"/>
            </w:tcBorders>
            <w:vAlign w:val="center"/>
          </w:tcPr>
          <w:p w14:paraId="3DD15F20">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实验桌（装配式教师演示台）</w:t>
            </w:r>
          </w:p>
        </w:tc>
        <w:tc>
          <w:tcPr>
            <w:tcW w:w="1096" w:type="pct"/>
            <w:tcBorders>
              <w:top w:val="single" w:color="000000" w:sz="4" w:space="0"/>
              <w:left w:val="single" w:color="000000" w:sz="4" w:space="0"/>
              <w:bottom w:val="single" w:color="000000" w:sz="4" w:space="0"/>
              <w:right w:val="single" w:color="000000" w:sz="4" w:space="0"/>
            </w:tcBorders>
            <w:vAlign w:val="center"/>
          </w:tcPr>
          <w:p w14:paraId="33B10BD7">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w:t>
            </w:r>
          </w:p>
        </w:tc>
        <w:tc>
          <w:tcPr>
            <w:tcW w:w="1148" w:type="pct"/>
            <w:tcBorders>
              <w:top w:val="single" w:color="000000" w:sz="4" w:space="0"/>
              <w:left w:val="single" w:color="000000" w:sz="4" w:space="0"/>
              <w:bottom w:val="single" w:color="000000" w:sz="4" w:space="0"/>
              <w:right w:val="single" w:color="000000" w:sz="4" w:space="0"/>
            </w:tcBorders>
            <w:vAlign w:val="center"/>
          </w:tcPr>
          <w:p w14:paraId="4590E1D1">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张</w:t>
            </w:r>
          </w:p>
        </w:tc>
      </w:tr>
      <w:tr w14:paraId="48D5A5C7">
        <w:tblPrEx>
          <w:tblCellMar>
            <w:top w:w="0" w:type="dxa"/>
            <w:left w:w="108" w:type="dxa"/>
            <w:bottom w:w="0" w:type="dxa"/>
            <w:right w:w="108" w:type="dxa"/>
          </w:tblCellMar>
        </w:tblPrEx>
        <w:trPr>
          <w:trHeight w:val="561" w:hRule="atLeast"/>
          <w:jc w:val="center"/>
        </w:trPr>
        <w:tc>
          <w:tcPr>
            <w:tcW w:w="986" w:type="pct"/>
            <w:tcBorders>
              <w:top w:val="single" w:color="000000" w:sz="4" w:space="0"/>
              <w:left w:val="single" w:color="000000" w:sz="4" w:space="0"/>
              <w:bottom w:val="single" w:color="000000" w:sz="4" w:space="0"/>
              <w:right w:val="single" w:color="000000" w:sz="4" w:space="0"/>
            </w:tcBorders>
            <w:noWrap/>
            <w:vAlign w:val="center"/>
          </w:tcPr>
          <w:p w14:paraId="5F2D52BF">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2</w:t>
            </w:r>
          </w:p>
        </w:tc>
        <w:tc>
          <w:tcPr>
            <w:tcW w:w="1768" w:type="pct"/>
            <w:tcBorders>
              <w:top w:val="single" w:color="000000" w:sz="4" w:space="0"/>
              <w:left w:val="single" w:color="000000" w:sz="4" w:space="0"/>
              <w:bottom w:val="single" w:color="000000" w:sz="4" w:space="0"/>
              <w:right w:val="single" w:color="000000" w:sz="4" w:space="0"/>
            </w:tcBorders>
            <w:vAlign w:val="center"/>
          </w:tcPr>
          <w:p w14:paraId="372F87AC">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教师椅</w:t>
            </w:r>
          </w:p>
        </w:tc>
        <w:tc>
          <w:tcPr>
            <w:tcW w:w="1096" w:type="pct"/>
            <w:tcBorders>
              <w:top w:val="single" w:color="000000" w:sz="4" w:space="0"/>
              <w:left w:val="single" w:color="000000" w:sz="4" w:space="0"/>
              <w:bottom w:val="single" w:color="000000" w:sz="4" w:space="0"/>
              <w:right w:val="single" w:color="000000" w:sz="4" w:space="0"/>
            </w:tcBorders>
            <w:vAlign w:val="center"/>
          </w:tcPr>
          <w:p w14:paraId="6BF41197">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w:t>
            </w:r>
          </w:p>
        </w:tc>
        <w:tc>
          <w:tcPr>
            <w:tcW w:w="1148" w:type="pct"/>
            <w:tcBorders>
              <w:top w:val="single" w:color="000000" w:sz="4" w:space="0"/>
              <w:left w:val="single" w:color="000000" w:sz="4" w:space="0"/>
              <w:bottom w:val="single" w:color="000000" w:sz="4" w:space="0"/>
              <w:right w:val="single" w:color="000000" w:sz="4" w:space="0"/>
            </w:tcBorders>
            <w:vAlign w:val="center"/>
          </w:tcPr>
          <w:p w14:paraId="0EEE090F">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张</w:t>
            </w:r>
          </w:p>
        </w:tc>
      </w:tr>
      <w:tr w14:paraId="21E7605E">
        <w:tblPrEx>
          <w:tblCellMar>
            <w:top w:w="0" w:type="dxa"/>
            <w:left w:w="108" w:type="dxa"/>
            <w:bottom w:w="0" w:type="dxa"/>
            <w:right w:w="108" w:type="dxa"/>
          </w:tblCellMar>
        </w:tblPrEx>
        <w:trPr>
          <w:trHeight w:val="561" w:hRule="atLeast"/>
          <w:jc w:val="center"/>
        </w:trPr>
        <w:tc>
          <w:tcPr>
            <w:tcW w:w="986" w:type="pct"/>
            <w:tcBorders>
              <w:top w:val="single" w:color="000000" w:sz="4" w:space="0"/>
              <w:left w:val="single" w:color="000000" w:sz="4" w:space="0"/>
              <w:bottom w:val="single" w:color="000000" w:sz="4" w:space="0"/>
              <w:right w:val="single" w:color="000000" w:sz="4" w:space="0"/>
            </w:tcBorders>
            <w:noWrap/>
            <w:vAlign w:val="center"/>
          </w:tcPr>
          <w:p w14:paraId="197EBB95">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3</w:t>
            </w:r>
          </w:p>
        </w:tc>
        <w:tc>
          <w:tcPr>
            <w:tcW w:w="1768" w:type="pct"/>
            <w:tcBorders>
              <w:top w:val="single" w:color="000000" w:sz="4" w:space="0"/>
              <w:left w:val="single" w:color="000000" w:sz="4" w:space="0"/>
              <w:bottom w:val="single" w:color="000000" w:sz="4" w:space="0"/>
              <w:right w:val="single" w:color="000000" w:sz="4" w:space="0"/>
            </w:tcBorders>
            <w:vAlign w:val="center"/>
          </w:tcPr>
          <w:p w14:paraId="23D9D594">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吊装系统交互控制终端</w:t>
            </w:r>
          </w:p>
        </w:tc>
        <w:tc>
          <w:tcPr>
            <w:tcW w:w="1096" w:type="pct"/>
            <w:tcBorders>
              <w:top w:val="single" w:color="000000" w:sz="4" w:space="0"/>
              <w:left w:val="single" w:color="000000" w:sz="4" w:space="0"/>
              <w:bottom w:val="single" w:color="000000" w:sz="4" w:space="0"/>
              <w:right w:val="single" w:color="000000" w:sz="4" w:space="0"/>
            </w:tcBorders>
            <w:vAlign w:val="center"/>
          </w:tcPr>
          <w:p w14:paraId="6B5DF712">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w:t>
            </w:r>
          </w:p>
        </w:tc>
        <w:tc>
          <w:tcPr>
            <w:tcW w:w="1148" w:type="pct"/>
            <w:tcBorders>
              <w:top w:val="single" w:color="000000" w:sz="4" w:space="0"/>
              <w:left w:val="single" w:color="000000" w:sz="4" w:space="0"/>
              <w:bottom w:val="single" w:color="000000" w:sz="4" w:space="0"/>
              <w:right w:val="single" w:color="000000" w:sz="4" w:space="0"/>
            </w:tcBorders>
            <w:vAlign w:val="center"/>
          </w:tcPr>
          <w:p w14:paraId="02D8A773">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套</w:t>
            </w:r>
          </w:p>
        </w:tc>
      </w:tr>
      <w:tr w14:paraId="4D1AA0C6">
        <w:tblPrEx>
          <w:tblCellMar>
            <w:top w:w="0" w:type="dxa"/>
            <w:left w:w="108" w:type="dxa"/>
            <w:bottom w:w="0" w:type="dxa"/>
            <w:right w:w="108" w:type="dxa"/>
          </w:tblCellMar>
        </w:tblPrEx>
        <w:trPr>
          <w:trHeight w:val="561" w:hRule="atLeast"/>
          <w:jc w:val="center"/>
        </w:trPr>
        <w:tc>
          <w:tcPr>
            <w:tcW w:w="986" w:type="pct"/>
            <w:tcBorders>
              <w:top w:val="single" w:color="000000" w:sz="4" w:space="0"/>
              <w:left w:val="single" w:color="000000" w:sz="4" w:space="0"/>
              <w:bottom w:val="single" w:color="000000" w:sz="4" w:space="0"/>
              <w:right w:val="single" w:color="000000" w:sz="4" w:space="0"/>
            </w:tcBorders>
            <w:noWrap/>
            <w:vAlign w:val="center"/>
          </w:tcPr>
          <w:p w14:paraId="2671742B">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4</w:t>
            </w:r>
          </w:p>
        </w:tc>
        <w:tc>
          <w:tcPr>
            <w:tcW w:w="1768" w:type="pct"/>
            <w:tcBorders>
              <w:top w:val="single" w:color="000000" w:sz="4" w:space="0"/>
              <w:left w:val="single" w:color="000000" w:sz="4" w:space="0"/>
              <w:bottom w:val="single" w:color="000000" w:sz="4" w:space="0"/>
              <w:right w:val="single" w:color="000000" w:sz="4" w:space="0"/>
            </w:tcBorders>
            <w:vAlign w:val="center"/>
          </w:tcPr>
          <w:p w14:paraId="3E40CB7B">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智能吊装综合控制系统</w:t>
            </w:r>
          </w:p>
        </w:tc>
        <w:tc>
          <w:tcPr>
            <w:tcW w:w="1096" w:type="pct"/>
            <w:tcBorders>
              <w:top w:val="single" w:color="000000" w:sz="4" w:space="0"/>
              <w:left w:val="single" w:color="000000" w:sz="4" w:space="0"/>
              <w:bottom w:val="single" w:color="000000" w:sz="4" w:space="0"/>
              <w:right w:val="single" w:color="000000" w:sz="4" w:space="0"/>
            </w:tcBorders>
            <w:vAlign w:val="center"/>
          </w:tcPr>
          <w:p w14:paraId="00E25864">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w:t>
            </w:r>
          </w:p>
        </w:tc>
        <w:tc>
          <w:tcPr>
            <w:tcW w:w="1148" w:type="pct"/>
            <w:tcBorders>
              <w:top w:val="single" w:color="000000" w:sz="4" w:space="0"/>
              <w:left w:val="single" w:color="000000" w:sz="4" w:space="0"/>
              <w:bottom w:val="single" w:color="000000" w:sz="4" w:space="0"/>
              <w:right w:val="single" w:color="000000" w:sz="4" w:space="0"/>
            </w:tcBorders>
            <w:vAlign w:val="center"/>
          </w:tcPr>
          <w:p w14:paraId="6FA64B36">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套</w:t>
            </w:r>
          </w:p>
        </w:tc>
      </w:tr>
      <w:tr w14:paraId="2FEABC60">
        <w:tblPrEx>
          <w:tblCellMar>
            <w:top w:w="0" w:type="dxa"/>
            <w:left w:w="108" w:type="dxa"/>
            <w:bottom w:w="0" w:type="dxa"/>
            <w:right w:w="108" w:type="dxa"/>
          </w:tblCellMar>
        </w:tblPrEx>
        <w:trPr>
          <w:trHeight w:val="561" w:hRule="atLeast"/>
          <w:jc w:val="center"/>
        </w:trPr>
        <w:tc>
          <w:tcPr>
            <w:tcW w:w="986" w:type="pct"/>
            <w:tcBorders>
              <w:top w:val="single" w:color="000000" w:sz="4" w:space="0"/>
              <w:left w:val="single" w:color="000000" w:sz="4" w:space="0"/>
              <w:bottom w:val="single" w:color="000000" w:sz="4" w:space="0"/>
              <w:right w:val="single" w:color="000000" w:sz="4" w:space="0"/>
            </w:tcBorders>
            <w:noWrap/>
            <w:vAlign w:val="center"/>
          </w:tcPr>
          <w:p w14:paraId="65B85313">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5</w:t>
            </w:r>
          </w:p>
        </w:tc>
        <w:tc>
          <w:tcPr>
            <w:tcW w:w="1768" w:type="pct"/>
            <w:tcBorders>
              <w:top w:val="single" w:color="000000" w:sz="4" w:space="0"/>
              <w:left w:val="single" w:color="000000" w:sz="4" w:space="0"/>
              <w:bottom w:val="single" w:color="000000" w:sz="4" w:space="0"/>
              <w:right w:val="single" w:color="000000" w:sz="4" w:space="0"/>
            </w:tcBorders>
            <w:vAlign w:val="center"/>
          </w:tcPr>
          <w:p w14:paraId="6CDC7942">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智能吊装综合监测系统</w:t>
            </w:r>
          </w:p>
        </w:tc>
        <w:tc>
          <w:tcPr>
            <w:tcW w:w="1096" w:type="pct"/>
            <w:tcBorders>
              <w:top w:val="single" w:color="000000" w:sz="4" w:space="0"/>
              <w:left w:val="single" w:color="000000" w:sz="4" w:space="0"/>
              <w:bottom w:val="single" w:color="000000" w:sz="4" w:space="0"/>
              <w:right w:val="single" w:color="000000" w:sz="4" w:space="0"/>
            </w:tcBorders>
            <w:vAlign w:val="center"/>
          </w:tcPr>
          <w:p w14:paraId="345F0250">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w:t>
            </w:r>
          </w:p>
        </w:tc>
        <w:tc>
          <w:tcPr>
            <w:tcW w:w="1148" w:type="pct"/>
            <w:tcBorders>
              <w:top w:val="single" w:color="000000" w:sz="4" w:space="0"/>
              <w:left w:val="single" w:color="000000" w:sz="4" w:space="0"/>
              <w:bottom w:val="single" w:color="000000" w:sz="4" w:space="0"/>
              <w:right w:val="single" w:color="000000" w:sz="4" w:space="0"/>
            </w:tcBorders>
            <w:vAlign w:val="center"/>
          </w:tcPr>
          <w:p w14:paraId="100A186D">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套</w:t>
            </w:r>
          </w:p>
        </w:tc>
      </w:tr>
      <w:tr w14:paraId="3F8A4A35">
        <w:tblPrEx>
          <w:tblCellMar>
            <w:top w:w="0" w:type="dxa"/>
            <w:left w:w="108" w:type="dxa"/>
            <w:bottom w:w="0" w:type="dxa"/>
            <w:right w:w="108" w:type="dxa"/>
          </w:tblCellMar>
        </w:tblPrEx>
        <w:trPr>
          <w:trHeight w:val="561" w:hRule="atLeast"/>
          <w:jc w:val="center"/>
        </w:trPr>
        <w:tc>
          <w:tcPr>
            <w:tcW w:w="5000" w:type="pct"/>
            <w:gridSpan w:val="4"/>
            <w:tcBorders>
              <w:top w:val="single" w:color="000000" w:sz="4" w:space="0"/>
              <w:left w:val="single" w:color="000000" w:sz="4" w:space="0"/>
              <w:bottom w:val="single" w:color="000000" w:sz="4" w:space="0"/>
              <w:right w:val="single" w:color="000000" w:sz="4" w:space="0"/>
            </w:tcBorders>
            <w:noWrap/>
            <w:vAlign w:val="center"/>
          </w:tcPr>
          <w:p w14:paraId="3B82ADD6">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学生实验学习区</w:t>
            </w:r>
          </w:p>
        </w:tc>
      </w:tr>
      <w:tr w14:paraId="74DD9FE3">
        <w:tblPrEx>
          <w:tblCellMar>
            <w:top w:w="0" w:type="dxa"/>
            <w:left w:w="108" w:type="dxa"/>
            <w:bottom w:w="0" w:type="dxa"/>
            <w:right w:w="108" w:type="dxa"/>
          </w:tblCellMar>
        </w:tblPrEx>
        <w:trPr>
          <w:trHeight w:val="561" w:hRule="atLeast"/>
          <w:jc w:val="center"/>
        </w:trPr>
        <w:tc>
          <w:tcPr>
            <w:tcW w:w="986" w:type="pct"/>
            <w:tcBorders>
              <w:top w:val="single" w:color="000000" w:sz="4" w:space="0"/>
              <w:left w:val="single" w:color="000000" w:sz="4" w:space="0"/>
              <w:bottom w:val="single" w:color="000000" w:sz="4" w:space="0"/>
              <w:right w:val="single" w:color="000000" w:sz="4" w:space="0"/>
            </w:tcBorders>
            <w:vAlign w:val="center"/>
          </w:tcPr>
          <w:p w14:paraId="3B57D8FC">
            <w:pPr>
              <w:widowControl/>
              <w:jc w:val="center"/>
              <w:textAlignment w:val="center"/>
              <w:rPr>
                <w:rFonts w:hint="eastAsia" w:ascii="宋体" w:hAnsi="宋体" w:eastAsia="宋体" w:cs="宋体"/>
                <w:b w:val="0"/>
                <w:bCs w:val="0"/>
                <w:color w:val="auto"/>
                <w:sz w:val="21"/>
                <w:szCs w:val="21"/>
                <w:lang w:eastAsia="zh-CN"/>
              </w:rPr>
            </w:pPr>
            <w:r>
              <w:rPr>
                <w:rFonts w:hint="eastAsia" w:ascii="宋体" w:hAnsi="宋体" w:cs="宋体"/>
                <w:b w:val="0"/>
                <w:bCs w:val="0"/>
                <w:color w:val="auto"/>
                <w:kern w:val="0"/>
                <w:sz w:val="21"/>
                <w:szCs w:val="21"/>
                <w:lang w:val="en-US" w:eastAsia="zh-CN" w:bidi="ar"/>
              </w:rPr>
              <w:t>6</w:t>
            </w:r>
          </w:p>
        </w:tc>
        <w:tc>
          <w:tcPr>
            <w:tcW w:w="1768" w:type="pct"/>
            <w:tcBorders>
              <w:top w:val="single" w:color="000000" w:sz="4" w:space="0"/>
              <w:left w:val="single" w:color="000000" w:sz="4" w:space="0"/>
              <w:bottom w:val="single" w:color="000000" w:sz="4" w:space="0"/>
              <w:right w:val="single" w:color="000000" w:sz="4" w:space="0"/>
            </w:tcBorders>
            <w:vAlign w:val="center"/>
          </w:tcPr>
          <w:p w14:paraId="4B5A2EE7">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实验桌（学生）</w:t>
            </w:r>
          </w:p>
        </w:tc>
        <w:tc>
          <w:tcPr>
            <w:tcW w:w="1096" w:type="pct"/>
            <w:tcBorders>
              <w:top w:val="single" w:color="000000" w:sz="4" w:space="0"/>
              <w:left w:val="single" w:color="000000" w:sz="4" w:space="0"/>
              <w:bottom w:val="single" w:color="000000" w:sz="4" w:space="0"/>
              <w:right w:val="single" w:color="000000" w:sz="4" w:space="0"/>
            </w:tcBorders>
            <w:vAlign w:val="center"/>
          </w:tcPr>
          <w:p w14:paraId="1EA11565">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28</w:t>
            </w:r>
          </w:p>
        </w:tc>
        <w:tc>
          <w:tcPr>
            <w:tcW w:w="1148" w:type="pct"/>
            <w:tcBorders>
              <w:top w:val="single" w:color="000000" w:sz="4" w:space="0"/>
              <w:left w:val="single" w:color="000000" w:sz="4" w:space="0"/>
              <w:bottom w:val="single" w:color="000000" w:sz="4" w:space="0"/>
              <w:right w:val="single" w:color="000000" w:sz="4" w:space="0"/>
            </w:tcBorders>
            <w:vAlign w:val="center"/>
          </w:tcPr>
          <w:p w14:paraId="7BB06492">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张</w:t>
            </w:r>
          </w:p>
        </w:tc>
      </w:tr>
      <w:tr w14:paraId="52BA69CA">
        <w:tblPrEx>
          <w:tblCellMar>
            <w:top w:w="0" w:type="dxa"/>
            <w:left w:w="108" w:type="dxa"/>
            <w:bottom w:w="0" w:type="dxa"/>
            <w:right w:w="108" w:type="dxa"/>
          </w:tblCellMar>
        </w:tblPrEx>
        <w:trPr>
          <w:trHeight w:val="561" w:hRule="atLeast"/>
          <w:jc w:val="center"/>
        </w:trPr>
        <w:tc>
          <w:tcPr>
            <w:tcW w:w="986" w:type="pct"/>
            <w:tcBorders>
              <w:top w:val="single" w:color="000000" w:sz="4" w:space="0"/>
              <w:left w:val="single" w:color="000000" w:sz="4" w:space="0"/>
              <w:bottom w:val="single" w:color="000000" w:sz="4" w:space="0"/>
              <w:right w:val="single" w:color="000000" w:sz="4" w:space="0"/>
            </w:tcBorders>
            <w:vAlign w:val="center"/>
          </w:tcPr>
          <w:p w14:paraId="56AEE4EC">
            <w:pPr>
              <w:widowControl/>
              <w:jc w:val="center"/>
              <w:textAlignment w:val="center"/>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7</w:t>
            </w:r>
          </w:p>
        </w:tc>
        <w:tc>
          <w:tcPr>
            <w:tcW w:w="1768" w:type="pct"/>
            <w:tcBorders>
              <w:top w:val="single" w:color="000000" w:sz="4" w:space="0"/>
              <w:left w:val="single" w:color="000000" w:sz="4" w:space="0"/>
              <w:bottom w:val="single" w:color="000000" w:sz="4" w:space="0"/>
              <w:right w:val="single" w:color="000000" w:sz="4" w:space="0"/>
            </w:tcBorders>
            <w:vAlign w:val="center"/>
          </w:tcPr>
          <w:p w14:paraId="7525955A">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学生凳</w:t>
            </w:r>
          </w:p>
        </w:tc>
        <w:tc>
          <w:tcPr>
            <w:tcW w:w="1096" w:type="pct"/>
            <w:tcBorders>
              <w:top w:val="single" w:color="000000" w:sz="4" w:space="0"/>
              <w:left w:val="single" w:color="000000" w:sz="4" w:space="0"/>
              <w:bottom w:val="single" w:color="000000" w:sz="4" w:space="0"/>
              <w:right w:val="single" w:color="000000" w:sz="4" w:space="0"/>
            </w:tcBorders>
            <w:vAlign w:val="center"/>
          </w:tcPr>
          <w:p w14:paraId="01815329">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56</w:t>
            </w:r>
          </w:p>
        </w:tc>
        <w:tc>
          <w:tcPr>
            <w:tcW w:w="1148" w:type="pct"/>
            <w:tcBorders>
              <w:top w:val="single" w:color="000000" w:sz="4" w:space="0"/>
              <w:left w:val="single" w:color="000000" w:sz="4" w:space="0"/>
              <w:bottom w:val="single" w:color="000000" w:sz="4" w:space="0"/>
              <w:right w:val="single" w:color="000000" w:sz="4" w:space="0"/>
            </w:tcBorders>
            <w:vAlign w:val="center"/>
          </w:tcPr>
          <w:p w14:paraId="6743E7BE">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个</w:t>
            </w:r>
          </w:p>
        </w:tc>
      </w:tr>
      <w:tr w14:paraId="27A8D619">
        <w:tblPrEx>
          <w:tblCellMar>
            <w:top w:w="0" w:type="dxa"/>
            <w:left w:w="108" w:type="dxa"/>
            <w:bottom w:w="0" w:type="dxa"/>
            <w:right w:w="108" w:type="dxa"/>
          </w:tblCellMar>
        </w:tblPrEx>
        <w:trPr>
          <w:trHeight w:val="561" w:hRule="atLeast"/>
          <w:jc w:val="center"/>
        </w:trPr>
        <w:tc>
          <w:tcPr>
            <w:tcW w:w="5000" w:type="pct"/>
            <w:gridSpan w:val="4"/>
            <w:tcBorders>
              <w:top w:val="single" w:color="000000" w:sz="4" w:space="0"/>
              <w:left w:val="single" w:color="000000" w:sz="4" w:space="0"/>
              <w:bottom w:val="single" w:color="000000" w:sz="4" w:space="0"/>
              <w:right w:val="single" w:color="000000" w:sz="4" w:space="0"/>
            </w:tcBorders>
            <w:vAlign w:val="center"/>
          </w:tcPr>
          <w:p w14:paraId="1B8EFB06">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智能吊装集成系统</w:t>
            </w:r>
          </w:p>
        </w:tc>
      </w:tr>
      <w:tr w14:paraId="557097E0">
        <w:tblPrEx>
          <w:tblCellMar>
            <w:top w:w="0" w:type="dxa"/>
            <w:left w:w="108" w:type="dxa"/>
            <w:bottom w:w="0" w:type="dxa"/>
            <w:right w:w="108" w:type="dxa"/>
          </w:tblCellMar>
        </w:tblPrEx>
        <w:trPr>
          <w:trHeight w:val="561" w:hRule="atLeast"/>
          <w:jc w:val="center"/>
        </w:trPr>
        <w:tc>
          <w:tcPr>
            <w:tcW w:w="986" w:type="pct"/>
            <w:tcBorders>
              <w:top w:val="single" w:color="000000" w:sz="4" w:space="0"/>
              <w:left w:val="single" w:color="000000" w:sz="4" w:space="0"/>
              <w:bottom w:val="single" w:color="000000" w:sz="4" w:space="0"/>
              <w:right w:val="single" w:color="000000" w:sz="4" w:space="0"/>
            </w:tcBorders>
            <w:vAlign w:val="center"/>
          </w:tcPr>
          <w:p w14:paraId="1B0BE01B">
            <w:pPr>
              <w:widowControl/>
              <w:jc w:val="center"/>
              <w:textAlignment w:val="center"/>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8</w:t>
            </w:r>
          </w:p>
        </w:tc>
        <w:tc>
          <w:tcPr>
            <w:tcW w:w="1768" w:type="pct"/>
            <w:tcBorders>
              <w:top w:val="single" w:color="000000" w:sz="4" w:space="0"/>
              <w:left w:val="single" w:color="000000" w:sz="4" w:space="0"/>
              <w:bottom w:val="single" w:color="000000" w:sz="4" w:space="0"/>
              <w:right w:val="single" w:color="000000" w:sz="4" w:space="0"/>
            </w:tcBorders>
            <w:vAlign w:val="center"/>
          </w:tcPr>
          <w:p w14:paraId="13545837">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集成箱体模块</w:t>
            </w:r>
          </w:p>
        </w:tc>
        <w:tc>
          <w:tcPr>
            <w:tcW w:w="1096" w:type="pct"/>
            <w:tcBorders>
              <w:top w:val="single" w:color="000000" w:sz="4" w:space="0"/>
              <w:left w:val="single" w:color="000000" w:sz="4" w:space="0"/>
              <w:bottom w:val="single" w:color="000000" w:sz="4" w:space="0"/>
              <w:right w:val="single" w:color="000000" w:sz="4" w:space="0"/>
            </w:tcBorders>
            <w:vAlign w:val="center"/>
          </w:tcPr>
          <w:p w14:paraId="49022688">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15</w:t>
            </w:r>
          </w:p>
        </w:tc>
        <w:tc>
          <w:tcPr>
            <w:tcW w:w="1148" w:type="pct"/>
            <w:tcBorders>
              <w:top w:val="single" w:color="000000" w:sz="4" w:space="0"/>
              <w:left w:val="single" w:color="000000" w:sz="4" w:space="0"/>
              <w:bottom w:val="single" w:color="000000" w:sz="4" w:space="0"/>
              <w:right w:val="single" w:color="000000" w:sz="4" w:space="0"/>
            </w:tcBorders>
            <w:vAlign w:val="center"/>
          </w:tcPr>
          <w:p w14:paraId="3475FDF0">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组</w:t>
            </w:r>
          </w:p>
        </w:tc>
      </w:tr>
      <w:tr w14:paraId="000FD729">
        <w:tblPrEx>
          <w:tblCellMar>
            <w:top w:w="0" w:type="dxa"/>
            <w:left w:w="108" w:type="dxa"/>
            <w:bottom w:w="0" w:type="dxa"/>
            <w:right w:w="108" w:type="dxa"/>
          </w:tblCellMar>
        </w:tblPrEx>
        <w:trPr>
          <w:trHeight w:val="561" w:hRule="atLeast"/>
          <w:jc w:val="center"/>
        </w:trPr>
        <w:tc>
          <w:tcPr>
            <w:tcW w:w="986" w:type="pct"/>
            <w:tcBorders>
              <w:top w:val="single" w:color="000000" w:sz="4" w:space="0"/>
              <w:left w:val="single" w:color="000000" w:sz="4" w:space="0"/>
              <w:bottom w:val="single" w:color="000000" w:sz="4" w:space="0"/>
              <w:right w:val="single" w:color="000000" w:sz="4" w:space="0"/>
            </w:tcBorders>
            <w:vAlign w:val="center"/>
          </w:tcPr>
          <w:p w14:paraId="22823ABC">
            <w:pPr>
              <w:widowControl/>
              <w:jc w:val="center"/>
              <w:textAlignment w:val="center"/>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9</w:t>
            </w:r>
          </w:p>
        </w:tc>
        <w:tc>
          <w:tcPr>
            <w:tcW w:w="1768" w:type="pct"/>
            <w:tcBorders>
              <w:top w:val="single" w:color="000000" w:sz="4" w:space="0"/>
              <w:left w:val="single" w:color="000000" w:sz="4" w:space="0"/>
              <w:bottom w:val="single" w:color="000000" w:sz="4" w:space="0"/>
              <w:right w:val="single" w:color="000000" w:sz="4" w:space="0"/>
            </w:tcBorders>
            <w:noWrap/>
            <w:vAlign w:val="center"/>
          </w:tcPr>
          <w:p w14:paraId="077E979F">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照明系统模块</w:t>
            </w:r>
          </w:p>
        </w:tc>
        <w:tc>
          <w:tcPr>
            <w:tcW w:w="1096" w:type="pct"/>
            <w:tcBorders>
              <w:top w:val="single" w:color="000000" w:sz="4" w:space="0"/>
              <w:left w:val="single" w:color="000000" w:sz="4" w:space="0"/>
              <w:bottom w:val="single" w:color="000000" w:sz="4" w:space="0"/>
              <w:right w:val="single" w:color="000000" w:sz="4" w:space="0"/>
            </w:tcBorders>
            <w:vAlign w:val="center"/>
          </w:tcPr>
          <w:p w14:paraId="517ECC52">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15</w:t>
            </w:r>
          </w:p>
        </w:tc>
        <w:tc>
          <w:tcPr>
            <w:tcW w:w="1148" w:type="pct"/>
            <w:tcBorders>
              <w:top w:val="single" w:color="000000" w:sz="4" w:space="0"/>
              <w:left w:val="single" w:color="000000" w:sz="4" w:space="0"/>
              <w:bottom w:val="single" w:color="000000" w:sz="4" w:space="0"/>
              <w:right w:val="single" w:color="000000" w:sz="4" w:space="0"/>
            </w:tcBorders>
            <w:vAlign w:val="center"/>
          </w:tcPr>
          <w:p w14:paraId="67CF6962">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组</w:t>
            </w:r>
          </w:p>
        </w:tc>
      </w:tr>
      <w:tr w14:paraId="3B80AF34">
        <w:tblPrEx>
          <w:tblCellMar>
            <w:top w:w="0" w:type="dxa"/>
            <w:left w:w="108" w:type="dxa"/>
            <w:bottom w:w="0" w:type="dxa"/>
            <w:right w:w="108" w:type="dxa"/>
          </w:tblCellMar>
        </w:tblPrEx>
        <w:trPr>
          <w:trHeight w:val="561" w:hRule="atLeast"/>
          <w:jc w:val="center"/>
        </w:trPr>
        <w:tc>
          <w:tcPr>
            <w:tcW w:w="986" w:type="pct"/>
            <w:tcBorders>
              <w:top w:val="single" w:color="000000" w:sz="4" w:space="0"/>
              <w:left w:val="single" w:color="000000" w:sz="4" w:space="0"/>
              <w:bottom w:val="single" w:color="000000" w:sz="4" w:space="0"/>
              <w:right w:val="single" w:color="000000" w:sz="4" w:space="0"/>
            </w:tcBorders>
            <w:vAlign w:val="center"/>
          </w:tcPr>
          <w:p w14:paraId="162FA1DF">
            <w:pPr>
              <w:widowControl/>
              <w:jc w:val="center"/>
              <w:textAlignment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10</w:t>
            </w:r>
          </w:p>
        </w:tc>
        <w:tc>
          <w:tcPr>
            <w:tcW w:w="1768" w:type="pct"/>
            <w:tcBorders>
              <w:top w:val="single" w:color="000000" w:sz="4" w:space="0"/>
              <w:left w:val="single" w:color="000000" w:sz="4" w:space="0"/>
              <w:bottom w:val="single" w:color="000000" w:sz="4" w:space="0"/>
              <w:right w:val="single" w:color="000000" w:sz="4" w:space="0"/>
            </w:tcBorders>
            <w:vAlign w:val="center"/>
          </w:tcPr>
          <w:p w14:paraId="2A52DD9A">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供电系统模块</w:t>
            </w:r>
          </w:p>
        </w:tc>
        <w:tc>
          <w:tcPr>
            <w:tcW w:w="1096" w:type="pct"/>
            <w:tcBorders>
              <w:top w:val="single" w:color="000000" w:sz="4" w:space="0"/>
              <w:left w:val="single" w:color="000000" w:sz="4" w:space="0"/>
              <w:bottom w:val="single" w:color="000000" w:sz="4" w:space="0"/>
              <w:right w:val="single" w:color="000000" w:sz="4" w:space="0"/>
            </w:tcBorders>
            <w:vAlign w:val="center"/>
          </w:tcPr>
          <w:p w14:paraId="17DAE84C">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15</w:t>
            </w:r>
          </w:p>
        </w:tc>
        <w:tc>
          <w:tcPr>
            <w:tcW w:w="1148" w:type="pct"/>
            <w:tcBorders>
              <w:top w:val="single" w:color="000000" w:sz="4" w:space="0"/>
              <w:left w:val="single" w:color="000000" w:sz="4" w:space="0"/>
              <w:bottom w:val="single" w:color="000000" w:sz="4" w:space="0"/>
              <w:right w:val="single" w:color="000000" w:sz="4" w:space="0"/>
            </w:tcBorders>
            <w:vAlign w:val="center"/>
          </w:tcPr>
          <w:p w14:paraId="3684498A">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组</w:t>
            </w:r>
          </w:p>
        </w:tc>
      </w:tr>
      <w:tr w14:paraId="1B8F83B6">
        <w:tblPrEx>
          <w:tblCellMar>
            <w:top w:w="0" w:type="dxa"/>
            <w:left w:w="108" w:type="dxa"/>
            <w:bottom w:w="0" w:type="dxa"/>
            <w:right w:w="108" w:type="dxa"/>
          </w:tblCellMar>
        </w:tblPrEx>
        <w:trPr>
          <w:trHeight w:val="561" w:hRule="atLeast"/>
          <w:jc w:val="center"/>
        </w:trPr>
        <w:tc>
          <w:tcPr>
            <w:tcW w:w="986" w:type="pct"/>
            <w:tcBorders>
              <w:top w:val="single" w:color="000000" w:sz="4" w:space="0"/>
              <w:left w:val="single" w:color="000000" w:sz="4" w:space="0"/>
              <w:bottom w:val="single" w:color="000000" w:sz="4" w:space="0"/>
              <w:right w:val="single" w:color="000000" w:sz="4" w:space="0"/>
            </w:tcBorders>
            <w:vAlign w:val="center"/>
          </w:tcPr>
          <w:p w14:paraId="6115E751">
            <w:pPr>
              <w:widowControl/>
              <w:jc w:val="center"/>
              <w:textAlignment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11</w:t>
            </w:r>
          </w:p>
        </w:tc>
        <w:tc>
          <w:tcPr>
            <w:tcW w:w="1768" w:type="pct"/>
            <w:tcBorders>
              <w:top w:val="single" w:color="000000" w:sz="4" w:space="0"/>
              <w:left w:val="single" w:color="000000" w:sz="4" w:space="0"/>
              <w:bottom w:val="single" w:color="000000" w:sz="4" w:space="0"/>
              <w:right w:val="single" w:color="000000" w:sz="4" w:space="0"/>
            </w:tcBorders>
            <w:vAlign w:val="center"/>
          </w:tcPr>
          <w:p w14:paraId="2BE572E3">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给排水系统模块</w:t>
            </w:r>
          </w:p>
        </w:tc>
        <w:tc>
          <w:tcPr>
            <w:tcW w:w="1096" w:type="pct"/>
            <w:tcBorders>
              <w:top w:val="single" w:color="000000" w:sz="4" w:space="0"/>
              <w:left w:val="single" w:color="000000" w:sz="4" w:space="0"/>
              <w:bottom w:val="single" w:color="000000" w:sz="4" w:space="0"/>
              <w:right w:val="single" w:color="000000" w:sz="4" w:space="0"/>
            </w:tcBorders>
            <w:vAlign w:val="center"/>
          </w:tcPr>
          <w:p w14:paraId="5EF37106">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15</w:t>
            </w:r>
          </w:p>
        </w:tc>
        <w:tc>
          <w:tcPr>
            <w:tcW w:w="1148" w:type="pct"/>
            <w:tcBorders>
              <w:top w:val="single" w:color="000000" w:sz="4" w:space="0"/>
              <w:left w:val="single" w:color="000000" w:sz="4" w:space="0"/>
              <w:bottom w:val="single" w:color="000000" w:sz="4" w:space="0"/>
              <w:right w:val="single" w:color="000000" w:sz="4" w:space="0"/>
            </w:tcBorders>
            <w:vAlign w:val="center"/>
          </w:tcPr>
          <w:p w14:paraId="0BF9B728">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组</w:t>
            </w:r>
          </w:p>
        </w:tc>
      </w:tr>
      <w:tr w14:paraId="4EB22951">
        <w:tblPrEx>
          <w:tblCellMar>
            <w:top w:w="0" w:type="dxa"/>
            <w:left w:w="108" w:type="dxa"/>
            <w:bottom w:w="0" w:type="dxa"/>
            <w:right w:w="108" w:type="dxa"/>
          </w:tblCellMar>
        </w:tblPrEx>
        <w:trPr>
          <w:trHeight w:val="561" w:hRule="atLeast"/>
          <w:jc w:val="center"/>
        </w:trPr>
        <w:tc>
          <w:tcPr>
            <w:tcW w:w="986" w:type="pct"/>
            <w:tcBorders>
              <w:top w:val="single" w:color="000000" w:sz="4" w:space="0"/>
              <w:left w:val="single" w:color="000000" w:sz="4" w:space="0"/>
              <w:bottom w:val="single" w:color="000000" w:sz="4" w:space="0"/>
              <w:right w:val="single" w:color="000000" w:sz="4" w:space="0"/>
            </w:tcBorders>
            <w:vAlign w:val="center"/>
          </w:tcPr>
          <w:p w14:paraId="63A79B36">
            <w:pPr>
              <w:widowControl/>
              <w:jc w:val="center"/>
              <w:textAlignment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12</w:t>
            </w:r>
          </w:p>
        </w:tc>
        <w:tc>
          <w:tcPr>
            <w:tcW w:w="1768" w:type="pct"/>
            <w:tcBorders>
              <w:top w:val="single" w:color="000000" w:sz="4" w:space="0"/>
              <w:left w:val="single" w:color="000000" w:sz="4" w:space="0"/>
              <w:bottom w:val="single" w:color="000000" w:sz="4" w:space="0"/>
              <w:right w:val="single" w:color="000000" w:sz="4" w:space="0"/>
            </w:tcBorders>
            <w:vAlign w:val="center"/>
          </w:tcPr>
          <w:p w14:paraId="4BDC8293">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状态监测系统模块</w:t>
            </w:r>
          </w:p>
        </w:tc>
        <w:tc>
          <w:tcPr>
            <w:tcW w:w="1096" w:type="pct"/>
            <w:tcBorders>
              <w:top w:val="single" w:color="000000" w:sz="4" w:space="0"/>
              <w:left w:val="single" w:color="000000" w:sz="4" w:space="0"/>
              <w:bottom w:val="single" w:color="000000" w:sz="4" w:space="0"/>
              <w:right w:val="single" w:color="000000" w:sz="4" w:space="0"/>
            </w:tcBorders>
            <w:vAlign w:val="center"/>
          </w:tcPr>
          <w:p w14:paraId="412EC391">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15</w:t>
            </w:r>
          </w:p>
        </w:tc>
        <w:tc>
          <w:tcPr>
            <w:tcW w:w="1148" w:type="pct"/>
            <w:tcBorders>
              <w:top w:val="single" w:color="000000" w:sz="4" w:space="0"/>
              <w:left w:val="single" w:color="000000" w:sz="4" w:space="0"/>
              <w:bottom w:val="single" w:color="000000" w:sz="4" w:space="0"/>
              <w:right w:val="single" w:color="000000" w:sz="4" w:space="0"/>
            </w:tcBorders>
            <w:vAlign w:val="center"/>
          </w:tcPr>
          <w:p w14:paraId="27FDBB15">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组</w:t>
            </w:r>
          </w:p>
        </w:tc>
      </w:tr>
      <w:tr w14:paraId="63B4E9AB">
        <w:tblPrEx>
          <w:tblCellMar>
            <w:top w:w="0" w:type="dxa"/>
            <w:left w:w="108" w:type="dxa"/>
            <w:bottom w:w="0" w:type="dxa"/>
            <w:right w:w="108" w:type="dxa"/>
          </w:tblCellMar>
        </w:tblPrEx>
        <w:trPr>
          <w:trHeight w:val="561" w:hRule="atLeast"/>
          <w:jc w:val="center"/>
        </w:trPr>
        <w:tc>
          <w:tcPr>
            <w:tcW w:w="5000" w:type="pct"/>
            <w:gridSpan w:val="4"/>
            <w:tcBorders>
              <w:top w:val="single" w:color="000000" w:sz="4" w:space="0"/>
              <w:left w:val="single" w:color="000000" w:sz="4" w:space="0"/>
              <w:bottom w:val="single" w:color="000000" w:sz="4" w:space="0"/>
              <w:right w:val="single" w:color="000000" w:sz="4" w:space="0"/>
            </w:tcBorders>
            <w:vAlign w:val="center"/>
          </w:tcPr>
          <w:p w14:paraId="52F6E309">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给排水设备</w:t>
            </w:r>
          </w:p>
        </w:tc>
      </w:tr>
      <w:tr w14:paraId="6C2FFFA4">
        <w:tblPrEx>
          <w:tblCellMar>
            <w:top w:w="0" w:type="dxa"/>
            <w:left w:w="108" w:type="dxa"/>
            <w:bottom w:w="0" w:type="dxa"/>
            <w:right w:w="108" w:type="dxa"/>
          </w:tblCellMar>
        </w:tblPrEx>
        <w:trPr>
          <w:trHeight w:val="572" w:hRule="atLeast"/>
          <w:jc w:val="center"/>
        </w:trPr>
        <w:tc>
          <w:tcPr>
            <w:tcW w:w="986" w:type="pct"/>
            <w:tcBorders>
              <w:top w:val="single" w:color="000000" w:sz="4" w:space="0"/>
              <w:left w:val="single" w:color="000000" w:sz="4" w:space="0"/>
              <w:bottom w:val="single" w:color="000000" w:sz="4" w:space="0"/>
              <w:right w:val="single" w:color="000000" w:sz="4" w:space="0"/>
            </w:tcBorders>
            <w:vAlign w:val="center"/>
          </w:tcPr>
          <w:p w14:paraId="58A79D58">
            <w:pPr>
              <w:widowControl/>
              <w:jc w:val="center"/>
              <w:textAlignment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kern w:val="0"/>
                <w:sz w:val="21"/>
                <w:szCs w:val="21"/>
                <w:lang w:bidi="ar"/>
              </w:rPr>
              <w:t>1</w:t>
            </w:r>
            <w:r>
              <w:rPr>
                <w:rFonts w:hint="eastAsia" w:ascii="宋体" w:hAnsi="宋体" w:cs="宋体"/>
                <w:b w:val="0"/>
                <w:bCs w:val="0"/>
                <w:color w:val="auto"/>
                <w:kern w:val="0"/>
                <w:sz w:val="21"/>
                <w:szCs w:val="21"/>
                <w:lang w:val="en-US" w:eastAsia="zh-CN" w:bidi="ar"/>
              </w:rPr>
              <w:t>3</w:t>
            </w:r>
          </w:p>
        </w:tc>
        <w:tc>
          <w:tcPr>
            <w:tcW w:w="1768" w:type="pct"/>
            <w:tcBorders>
              <w:top w:val="single" w:color="000000" w:sz="4" w:space="0"/>
              <w:left w:val="single" w:color="000000" w:sz="4" w:space="0"/>
              <w:bottom w:val="single" w:color="000000" w:sz="4" w:space="0"/>
              <w:right w:val="single" w:color="000000" w:sz="4" w:space="0"/>
            </w:tcBorders>
            <w:vAlign w:val="center"/>
          </w:tcPr>
          <w:p w14:paraId="0C575993">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双口洗眼器</w:t>
            </w:r>
          </w:p>
        </w:tc>
        <w:tc>
          <w:tcPr>
            <w:tcW w:w="1096" w:type="pct"/>
            <w:tcBorders>
              <w:top w:val="single" w:color="000000" w:sz="4" w:space="0"/>
              <w:left w:val="single" w:color="000000" w:sz="4" w:space="0"/>
              <w:bottom w:val="single" w:color="000000" w:sz="4" w:space="0"/>
              <w:right w:val="single" w:color="000000" w:sz="4" w:space="0"/>
            </w:tcBorders>
            <w:vAlign w:val="center"/>
          </w:tcPr>
          <w:p w14:paraId="49B27663">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w:t>
            </w:r>
          </w:p>
        </w:tc>
        <w:tc>
          <w:tcPr>
            <w:tcW w:w="1148" w:type="pct"/>
            <w:tcBorders>
              <w:top w:val="single" w:color="000000" w:sz="4" w:space="0"/>
              <w:left w:val="single" w:color="000000" w:sz="4" w:space="0"/>
              <w:bottom w:val="single" w:color="000000" w:sz="4" w:space="0"/>
              <w:right w:val="single" w:color="000000" w:sz="4" w:space="0"/>
            </w:tcBorders>
            <w:vAlign w:val="center"/>
          </w:tcPr>
          <w:p w14:paraId="08BD4C29">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个</w:t>
            </w:r>
          </w:p>
        </w:tc>
      </w:tr>
      <w:tr w14:paraId="66776467">
        <w:tblPrEx>
          <w:tblCellMar>
            <w:top w:w="0" w:type="dxa"/>
            <w:left w:w="108" w:type="dxa"/>
            <w:bottom w:w="0" w:type="dxa"/>
            <w:right w:w="108" w:type="dxa"/>
          </w:tblCellMar>
        </w:tblPrEx>
        <w:trPr>
          <w:trHeight w:val="561" w:hRule="atLeast"/>
          <w:jc w:val="center"/>
        </w:trPr>
        <w:tc>
          <w:tcPr>
            <w:tcW w:w="986" w:type="pct"/>
            <w:tcBorders>
              <w:top w:val="single" w:color="000000" w:sz="4" w:space="0"/>
              <w:left w:val="single" w:color="000000" w:sz="4" w:space="0"/>
              <w:bottom w:val="single" w:color="000000" w:sz="4" w:space="0"/>
              <w:right w:val="single" w:color="000000" w:sz="4" w:space="0"/>
            </w:tcBorders>
            <w:vAlign w:val="center"/>
          </w:tcPr>
          <w:p w14:paraId="5C32586F">
            <w:pPr>
              <w:widowControl/>
              <w:jc w:val="center"/>
              <w:textAlignment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14</w:t>
            </w:r>
          </w:p>
        </w:tc>
        <w:tc>
          <w:tcPr>
            <w:tcW w:w="1768" w:type="pct"/>
            <w:tcBorders>
              <w:top w:val="single" w:color="000000" w:sz="4" w:space="0"/>
              <w:left w:val="single" w:color="000000" w:sz="4" w:space="0"/>
              <w:bottom w:val="single" w:color="000000" w:sz="4" w:space="0"/>
              <w:right w:val="single" w:color="000000" w:sz="4" w:space="0"/>
            </w:tcBorders>
            <w:vAlign w:val="center"/>
          </w:tcPr>
          <w:p w14:paraId="273ACB28">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多功能水槽台</w:t>
            </w:r>
          </w:p>
        </w:tc>
        <w:tc>
          <w:tcPr>
            <w:tcW w:w="1096" w:type="pct"/>
            <w:tcBorders>
              <w:top w:val="single" w:color="000000" w:sz="4" w:space="0"/>
              <w:left w:val="single" w:color="000000" w:sz="4" w:space="0"/>
              <w:bottom w:val="single" w:color="000000" w:sz="4" w:space="0"/>
              <w:right w:val="single" w:color="000000" w:sz="4" w:space="0"/>
            </w:tcBorders>
            <w:vAlign w:val="center"/>
          </w:tcPr>
          <w:p w14:paraId="4003026A">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15</w:t>
            </w:r>
          </w:p>
        </w:tc>
        <w:tc>
          <w:tcPr>
            <w:tcW w:w="1148" w:type="pct"/>
            <w:tcBorders>
              <w:top w:val="single" w:color="000000" w:sz="4" w:space="0"/>
              <w:left w:val="single" w:color="000000" w:sz="4" w:space="0"/>
              <w:bottom w:val="single" w:color="000000" w:sz="4" w:space="0"/>
              <w:right w:val="single" w:color="000000" w:sz="4" w:space="0"/>
            </w:tcBorders>
            <w:vAlign w:val="center"/>
          </w:tcPr>
          <w:p w14:paraId="52FF7B7C">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个</w:t>
            </w:r>
          </w:p>
        </w:tc>
      </w:tr>
      <w:tr w14:paraId="2D770B9C">
        <w:tblPrEx>
          <w:tblCellMar>
            <w:top w:w="0" w:type="dxa"/>
            <w:left w:w="108" w:type="dxa"/>
            <w:bottom w:w="0" w:type="dxa"/>
            <w:right w:w="108" w:type="dxa"/>
          </w:tblCellMar>
        </w:tblPrEx>
        <w:trPr>
          <w:trHeight w:val="561" w:hRule="atLeast"/>
          <w:jc w:val="center"/>
        </w:trPr>
        <w:tc>
          <w:tcPr>
            <w:tcW w:w="5000" w:type="pct"/>
            <w:gridSpan w:val="4"/>
            <w:tcBorders>
              <w:top w:val="single" w:color="000000" w:sz="4" w:space="0"/>
              <w:left w:val="single" w:color="000000" w:sz="4" w:space="0"/>
              <w:bottom w:val="single" w:color="000000" w:sz="4" w:space="0"/>
              <w:right w:val="single" w:color="000000" w:sz="4" w:space="0"/>
            </w:tcBorders>
            <w:vAlign w:val="center"/>
          </w:tcPr>
          <w:p w14:paraId="0DA3D64D">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安装附件部分</w:t>
            </w:r>
          </w:p>
        </w:tc>
      </w:tr>
      <w:tr w14:paraId="56B085B9">
        <w:tblPrEx>
          <w:tblCellMar>
            <w:top w:w="0" w:type="dxa"/>
            <w:left w:w="108" w:type="dxa"/>
            <w:bottom w:w="0" w:type="dxa"/>
            <w:right w:w="108" w:type="dxa"/>
          </w:tblCellMar>
        </w:tblPrEx>
        <w:trPr>
          <w:trHeight w:val="561" w:hRule="atLeast"/>
          <w:jc w:val="center"/>
        </w:trPr>
        <w:tc>
          <w:tcPr>
            <w:tcW w:w="986" w:type="pct"/>
            <w:tcBorders>
              <w:top w:val="single" w:color="000000" w:sz="4" w:space="0"/>
              <w:left w:val="single" w:color="000000" w:sz="4" w:space="0"/>
              <w:bottom w:val="single" w:color="000000" w:sz="4" w:space="0"/>
              <w:right w:val="single" w:color="000000" w:sz="4" w:space="0"/>
            </w:tcBorders>
            <w:vAlign w:val="center"/>
          </w:tcPr>
          <w:p w14:paraId="43BC81D5">
            <w:pPr>
              <w:widowControl/>
              <w:jc w:val="center"/>
              <w:textAlignment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kern w:val="0"/>
                <w:sz w:val="21"/>
                <w:szCs w:val="21"/>
                <w:lang w:bidi="ar"/>
              </w:rPr>
              <w:t>1</w:t>
            </w:r>
            <w:r>
              <w:rPr>
                <w:rFonts w:hint="eastAsia" w:ascii="宋体" w:hAnsi="宋体" w:cs="宋体"/>
                <w:b w:val="0"/>
                <w:bCs w:val="0"/>
                <w:color w:val="auto"/>
                <w:kern w:val="0"/>
                <w:sz w:val="21"/>
                <w:szCs w:val="21"/>
                <w:lang w:val="en-US" w:eastAsia="zh-CN" w:bidi="ar"/>
              </w:rPr>
              <w:t>5</w:t>
            </w:r>
          </w:p>
        </w:tc>
        <w:tc>
          <w:tcPr>
            <w:tcW w:w="1768" w:type="pct"/>
            <w:tcBorders>
              <w:top w:val="single" w:color="000000" w:sz="4" w:space="0"/>
              <w:left w:val="single" w:color="000000" w:sz="4" w:space="0"/>
              <w:bottom w:val="single" w:color="000000" w:sz="4" w:space="0"/>
              <w:right w:val="single" w:color="000000" w:sz="4" w:space="0"/>
            </w:tcBorders>
            <w:vAlign w:val="center"/>
          </w:tcPr>
          <w:p w14:paraId="5B6FC5AB">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电源布线耗材</w:t>
            </w:r>
          </w:p>
        </w:tc>
        <w:tc>
          <w:tcPr>
            <w:tcW w:w="1096" w:type="pct"/>
            <w:tcBorders>
              <w:top w:val="single" w:color="000000" w:sz="4" w:space="0"/>
              <w:left w:val="single" w:color="000000" w:sz="4" w:space="0"/>
              <w:bottom w:val="single" w:color="000000" w:sz="4" w:space="0"/>
              <w:right w:val="single" w:color="000000" w:sz="4" w:space="0"/>
            </w:tcBorders>
            <w:vAlign w:val="center"/>
          </w:tcPr>
          <w:p w14:paraId="2B32F000">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w:t>
            </w:r>
          </w:p>
        </w:tc>
        <w:tc>
          <w:tcPr>
            <w:tcW w:w="1148" w:type="pct"/>
            <w:tcBorders>
              <w:top w:val="single" w:color="000000" w:sz="4" w:space="0"/>
              <w:left w:val="single" w:color="000000" w:sz="4" w:space="0"/>
              <w:bottom w:val="single" w:color="000000" w:sz="4" w:space="0"/>
              <w:right w:val="single" w:color="000000" w:sz="4" w:space="0"/>
            </w:tcBorders>
            <w:vAlign w:val="center"/>
          </w:tcPr>
          <w:p w14:paraId="5B015DBB">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室</w:t>
            </w:r>
          </w:p>
        </w:tc>
      </w:tr>
      <w:tr w14:paraId="47A45D38">
        <w:tblPrEx>
          <w:tblCellMar>
            <w:top w:w="0" w:type="dxa"/>
            <w:left w:w="108" w:type="dxa"/>
            <w:bottom w:w="0" w:type="dxa"/>
            <w:right w:w="108" w:type="dxa"/>
          </w:tblCellMar>
        </w:tblPrEx>
        <w:trPr>
          <w:trHeight w:val="561" w:hRule="atLeast"/>
          <w:jc w:val="center"/>
        </w:trPr>
        <w:tc>
          <w:tcPr>
            <w:tcW w:w="986" w:type="pct"/>
            <w:tcBorders>
              <w:top w:val="single" w:color="000000" w:sz="4" w:space="0"/>
              <w:left w:val="single" w:color="000000" w:sz="4" w:space="0"/>
              <w:bottom w:val="single" w:color="000000" w:sz="4" w:space="0"/>
              <w:right w:val="single" w:color="000000" w:sz="4" w:space="0"/>
            </w:tcBorders>
            <w:vAlign w:val="center"/>
          </w:tcPr>
          <w:p w14:paraId="6ECBF92D">
            <w:pPr>
              <w:widowControl/>
              <w:jc w:val="center"/>
              <w:textAlignment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16</w:t>
            </w:r>
          </w:p>
        </w:tc>
        <w:tc>
          <w:tcPr>
            <w:tcW w:w="1768" w:type="pct"/>
            <w:tcBorders>
              <w:top w:val="single" w:color="000000" w:sz="4" w:space="0"/>
              <w:left w:val="single" w:color="000000" w:sz="4" w:space="0"/>
              <w:bottom w:val="single" w:color="000000" w:sz="4" w:space="0"/>
              <w:right w:val="single" w:color="000000" w:sz="4" w:space="0"/>
            </w:tcBorders>
            <w:vAlign w:val="center"/>
          </w:tcPr>
          <w:p w14:paraId="024E14AC">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给/排水全套装置</w:t>
            </w:r>
          </w:p>
        </w:tc>
        <w:tc>
          <w:tcPr>
            <w:tcW w:w="1096" w:type="pct"/>
            <w:tcBorders>
              <w:top w:val="single" w:color="000000" w:sz="4" w:space="0"/>
              <w:left w:val="single" w:color="000000" w:sz="4" w:space="0"/>
              <w:bottom w:val="single" w:color="000000" w:sz="4" w:space="0"/>
              <w:right w:val="single" w:color="000000" w:sz="4" w:space="0"/>
            </w:tcBorders>
            <w:vAlign w:val="center"/>
          </w:tcPr>
          <w:p w14:paraId="7E11EC05">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w:t>
            </w:r>
          </w:p>
        </w:tc>
        <w:tc>
          <w:tcPr>
            <w:tcW w:w="1148" w:type="pct"/>
            <w:tcBorders>
              <w:top w:val="single" w:color="000000" w:sz="4" w:space="0"/>
              <w:left w:val="single" w:color="000000" w:sz="4" w:space="0"/>
              <w:bottom w:val="single" w:color="000000" w:sz="4" w:space="0"/>
              <w:right w:val="single" w:color="000000" w:sz="4" w:space="0"/>
            </w:tcBorders>
            <w:vAlign w:val="center"/>
          </w:tcPr>
          <w:p w14:paraId="782F55F1">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套</w:t>
            </w:r>
          </w:p>
        </w:tc>
      </w:tr>
      <w:tr w14:paraId="0114CBBD">
        <w:tblPrEx>
          <w:tblCellMar>
            <w:top w:w="0" w:type="dxa"/>
            <w:left w:w="108" w:type="dxa"/>
            <w:bottom w:w="0" w:type="dxa"/>
            <w:right w:w="108" w:type="dxa"/>
          </w:tblCellMar>
        </w:tblPrEx>
        <w:trPr>
          <w:trHeight w:val="561" w:hRule="atLeast"/>
          <w:jc w:val="center"/>
        </w:trPr>
        <w:tc>
          <w:tcPr>
            <w:tcW w:w="986" w:type="pct"/>
            <w:tcBorders>
              <w:top w:val="single" w:color="000000" w:sz="4" w:space="0"/>
              <w:left w:val="single" w:color="000000" w:sz="4" w:space="0"/>
              <w:bottom w:val="single" w:color="000000" w:sz="4" w:space="0"/>
              <w:right w:val="single" w:color="000000" w:sz="4" w:space="0"/>
            </w:tcBorders>
            <w:vAlign w:val="center"/>
          </w:tcPr>
          <w:p w14:paraId="36A897AE">
            <w:pPr>
              <w:widowControl/>
              <w:jc w:val="center"/>
              <w:textAlignment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17</w:t>
            </w:r>
          </w:p>
        </w:tc>
        <w:tc>
          <w:tcPr>
            <w:tcW w:w="1768" w:type="pct"/>
            <w:tcBorders>
              <w:top w:val="single" w:color="000000" w:sz="4" w:space="0"/>
              <w:left w:val="single" w:color="000000" w:sz="4" w:space="0"/>
              <w:bottom w:val="single" w:color="000000" w:sz="4" w:space="0"/>
              <w:right w:val="single" w:color="000000" w:sz="4" w:space="0"/>
            </w:tcBorders>
            <w:vAlign w:val="center"/>
          </w:tcPr>
          <w:p w14:paraId="616D0DEC">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系统安装辅件</w:t>
            </w:r>
          </w:p>
        </w:tc>
        <w:tc>
          <w:tcPr>
            <w:tcW w:w="1096" w:type="pct"/>
            <w:tcBorders>
              <w:top w:val="single" w:color="000000" w:sz="4" w:space="0"/>
              <w:left w:val="single" w:color="000000" w:sz="4" w:space="0"/>
              <w:bottom w:val="single" w:color="000000" w:sz="4" w:space="0"/>
              <w:right w:val="single" w:color="000000" w:sz="4" w:space="0"/>
            </w:tcBorders>
            <w:noWrap/>
            <w:vAlign w:val="center"/>
          </w:tcPr>
          <w:p w14:paraId="73EB41AB">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w:t>
            </w:r>
          </w:p>
        </w:tc>
        <w:tc>
          <w:tcPr>
            <w:tcW w:w="1148" w:type="pct"/>
            <w:tcBorders>
              <w:top w:val="single" w:color="000000" w:sz="4" w:space="0"/>
              <w:left w:val="single" w:color="000000" w:sz="4" w:space="0"/>
              <w:bottom w:val="single" w:color="000000" w:sz="4" w:space="0"/>
              <w:right w:val="single" w:color="000000" w:sz="4" w:space="0"/>
            </w:tcBorders>
            <w:vAlign w:val="center"/>
          </w:tcPr>
          <w:p w14:paraId="340D3C2F">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套</w:t>
            </w:r>
          </w:p>
        </w:tc>
      </w:tr>
      <w:tr w14:paraId="5C9173CF">
        <w:tblPrEx>
          <w:tblCellMar>
            <w:top w:w="0" w:type="dxa"/>
            <w:left w:w="108" w:type="dxa"/>
            <w:bottom w:w="0" w:type="dxa"/>
            <w:right w:w="108" w:type="dxa"/>
          </w:tblCellMar>
        </w:tblPrEx>
        <w:trPr>
          <w:trHeight w:val="561" w:hRule="atLeast"/>
          <w:jc w:val="center"/>
        </w:trPr>
        <w:tc>
          <w:tcPr>
            <w:tcW w:w="5000" w:type="pct"/>
            <w:gridSpan w:val="4"/>
            <w:tcBorders>
              <w:top w:val="single" w:color="000000" w:sz="4" w:space="0"/>
              <w:left w:val="single" w:color="000000" w:sz="4" w:space="0"/>
              <w:bottom w:val="single" w:color="000000" w:sz="4" w:space="0"/>
              <w:right w:val="single" w:color="000000" w:sz="4" w:space="0"/>
            </w:tcBorders>
            <w:vAlign w:val="center"/>
          </w:tcPr>
          <w:p w14:paraId="0E99061E">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其他</w:t>
            </w:r>
          </w:p>
        </w:tc>
      </w:tr>
      <w:tr w14:paraId="31C98AB7">
        <w:tblPrEx>
          <w:tblCellMar>
            <w:top w:w="0" w:type="dxa"/>
            <w:left w:w="108" w:type="dxa"/>
            <w:bottom w:w="0" w:type="dxa"/>
            <w:right w:w="108" w:type="dxa"/>
          </w:tblCellMar>
        </w:tblPrEx>
        <w:trPr>
          <w:trHeight w:val="561" w:hRule="atLeast"/>
          <w:jc w:val="center"/>
        </w:trPr>
        <w:tc>
          <w:tcPr>
            <w:tcW w:w="986" w:type="pct"/>
            <w:tcBorders>
              <w:top w:val="single" w:color="000000" w:sz="4" w:space="0"/>
              <w:left w:val="single" w:color="000000" w:sz="4" w:space="0"/>
              <w:bottom w:val="single" w:color="000000" w:sz="4" w:space="0"/>
              <w:right w:val="single" w:color="000000" w:sz="4" w:space="0"/>
            </w:tcBorders>
            <w:noWrap/>
            <w:vAlign w:val="center"/>
          </w:tcPr>
          <w:p w14:paraId="023A21DC">
            <w:pPr>
              <w:widowControl/>
              <w:jc w:val="center"/>
              <w:textAlignment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kern w:val="0"/>
                <w:sz w:val="21"/>
                <w:szCs w:val="21"/>
                <w:lang w:bidi="ar"/>
              </w:rPr>
              <w:t>1</w:t>
            </w:r>
            <w:r>
              <w:rPr>
                <w:rFonts w:hint="eastAsia" w:ascii="宋体" w:hAnsi="宋体" w:cs="宋体"/>
                <w:b w:val="0"/>
                <w:bCs w:val="0"/>
                <w:color w:val="auto"/>
                <w:kern w:val="0"/>
                <w:sz w:val="21"/>
                <w:szCs w:val="21"/>
                <w:lang w:val="en-US" w:eastAsia="zh-CN" w:bidi="ar"/>
              </w:rPr>
              <w:t>8</w:t>
            </w:r>
          </w:p>
        </w:tc>
        <w:tc>
          <w:tcPr>
            <w:tcW w:w="1768" w:type="pct"/>
            <w:tcBorders>
              <w:top w:val="single" w:color="000000" w:sz="4" w:space="0"/>
              <w:left w:val="single" w:color="000000" w:sz="4" w:space="0"/>
              <w:bottom w:val="single" w:color="000000" w:sz="4" w:space="0"/>
              <w:right w:val="single" w:color="000000" w:sz="4" w:space="0"/>
            </w:tcBorders>
            <w:vAlign w:val="center"/>
          </w:tcPr>
          <w:p w14:paraId="5EF2F059">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86寸一体机</w:t>
            </w:r>
          </w:p>
        </w:tc>
        <w:tc>
          <w:tcPr>
            <w:tcW w:w="1096" w:type="pct"/>
            <w:tcBorders>
              <w:top w:val="single" w:color="000000" w:sz="4" w:space="0"/>
              <w:left w:val="single" w:color="000000" w:sz="4" w:space="0"/>
              <w:bottom w:val="single" w:color="000000" w:sz="4" w:space="0"/>
              <w:right w:val="single" w:color="000000" w:sz="4" w:space="0"/>
            </w:tcBorders>
            <w:noWrap/>
            <w:vAlign w:val="center"/>
          </w:tcPr>
          <w:p w14:paraId="4FD47967">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w:t>
            </w:r>
          </w:p>
        </w:tc>
        <w:tc>
          <w:tcPr>
            <w:tcW w:w="1148" w:type="pct"/>
            <w:tcBorders>
              <w:top w:val="single" w:color="000000" w:sz="4" w:space="0"/>
              <w:left w:val="single" w:color="000000" w:sz="4" w:space="0"/>
              <w:bottom w:val="single" w:color="000000" w:sz="4" w:space="0"/>
              <w:right w:val="single" w:color="000000" w:sz="4" w:space="0"/>
            </w:tcBorders>
            <w:noWrap/>
            <w:vAlign w:val="center"/>
          </w:tcPr>
          <w:p w14:paraId="67F5DC75">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套</w:t>
            </w:r>
          </w:p>
        </w:tc>
      </w:tr>
      <w:tr w14:paraId="3EB5613E">
        <w:tblPrEx>
          <w:tblCellMar>
            <w:top w:w="0" w:type="dxa"/>
            <w:left w:w="108" w:type="dxa"/>
            <w:bottom w:w="0" w:type="dxa"/>
            <w:right w:w="108" w:type="dxa"/>
          </w:tblCellMar>
        </w:tblPrEx>
        <w:trPr>
          <w:trHeight w:val="561" w:hRule="atLeast"/>
          <w:jc w:val="center"/>
        </w:trPr>
        <w:tc>
          <w:tcPr>
            <w:tcW w:w="986" w:type="pct"/>
            <w:tcBorders>
              <w:top w:val="single" w:color="000000" w:sz="4" w:space="0"/>
              <w:left w:val="single" w:color="000000" w:sz="4" w:space="0"/>
              <w:bottom w:val="single" w:color="000000" w:sz="4" w:space="0"/>
              <w:right w:val="single" w:color="000000" w:sz="4" w:space="0"/>
            </w:tcBorders>
            <w:noWrap/>
            <w:vAlign w:val="center"/>
          </w:tcPr>
          <w:p w14:paraId="07547A4E">
            <w:pPr>
              <w:widowControl/>
              <w:jc w:val="center"/>
              <w:textAlignment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19</w:t>
            </w:r>
          </w:p>
        </w:tc>
        <w:tc>
          <w:tcPr>
            <w:tcW w:w="1768" w:type="pct"/>
            <w:tcBorders>
              <w:top w:val="single" w:color="000000" w:sz="4" w:space="0"/>
              <w:left w:val="single" w:color="000000" w:sz="4" w:space="0"/>
              <w:bottom w:val="single" w:color="000000" w:sz="4" w:space="0"/>
              <w:right w:val="single" w:color="000000" w:sz="4" w:space="0"/>
            </w:tcBorders>
            <w:vAlign w:val="center"/>
          </w:tcPr>
          <w:p w14:paraId="21607FB6">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教育灯盘</w:t>
            </w:r>
          </w:p>
        </w:tc>
        <w:tc>
          <w:tcPr>
            <w:tcW w:w="1096" w:type="pct"/>
            <w:tcBorders>
              <w:top w:val="single" w:color="000000" w:sz="4" w:space="0"/>
              <w:left w:val="single" w:color="000000" w:sz="4" w:space="0"/>
              <w:bottom w:val="single" w:color="000000" w:sz="4" w:space="0"/>
              <w:right w:val="single" w:color="000000" w:sz="4" w:space="0"/>
            </w:tcBorders>
            <w:noWrap/>
            <w:vAlign w:val="center"/>
          </w:tcPr>
          <w:p w14:paraId="77AD3C9E">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15</w:t>
            </w:r>
          </w:p>
        </w:tc>
        <w:tc>
          <w:tcPr>
            <w:tcW w:w="1148" w:type="pct"/>
            <w:tcBorders>
              <w:top w:val="single" w:color="000000" w:sz="4" w:space="0"/>
              <w:left w:val="single" w:color="000000" w:sz="4" w:space="0"/>
              <w:bottom w:val="single" w:color="000000" w:sz="4" w:space="0"/>
              <w:right w:val="single" w:color="000000" w:sz="4" w:space="0"/>
            </w:tcBorders>
            <w:noWrap/>
            <w:vAlign w:val="center"/>
          </w:tcPr>
          <w:p w14:paraId="14032AFB">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个</w:t>
            </w:r>
          </w:p>
        </w:tc>
      </w:tr>
      <w:tr w14:paraId="5AA735FE">
        <w:tblPrEx>
          <w:tblCellMar>
            <w:top w:w="0" w:type="dxa"/>
            <w:left w:w="108" w:type="dxa"/>
            <w:bottom w:w="0" w:type="dxa"/>
            <w:right w:w="108" w:type="dxa"/>
          </w:tblCellMar>
        </w:tblPrEx>
        <w:trPr>
          <w:trHeight w:val="561" w:hRule="atLeast"/>
          <w:jc w:val="center"/>
        </w:trPr>
        <w:tc>
          <w:tcPr>
            <w:tcW w:w="986" w:type="pct"/>
            <w:tcBorders>
              <w:top w:val="single" w:color="000000" w:sz="4" w:space="0"/>
              <w:left w:val="single" w:color="000000" w:sz="4" w:space="0"/>
              <w:bottom w:val="single" w:color="000000" w:sz="4" w:space="0"/>
              <w:right w:val="single" w:color="000000" w:sz="4" w:space="0"/>
            </w:tcBorders>
            <w:noWrap/>
            <w:vAlign w:val="center"/>
          </w:tcPr>
          <w:p w14:paraId="588C4FCC">
            <w:pPr>
              <w:widowControl/>
              <w:jc w:val="center"/>
              <w:textAlignment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20</w:t>
            </w:r>
          </w:p>
        </w:tc>
        <w:tc>
          <w:tcPr>
            <w:tcW w:w="1768" w:type="pct"/>
            <w:tcBorders>
              <w:top w:val="single" w:color="000000" w:sz="4" w:space="0"/>
              <w:left w:val="single" w:color="000000" w:sz="4" w:space="0"/>
              <w:bottom w:val="single" w:color="000000" w:sz="4" w:space="0"/>
              <w:right w:val="single" w:color="000000" w:sz="4" w:space="0"/>
            </w:tcBorders>
            <w:vAlign w:val="center"/>
          </w:tcPr>
          <w:p w14:paraId="3D9101FD">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学科窗帘</w:t>
            </w:r>
          </w:p>
        </w:tc>
        <w:tc>
          <w:tcPr>
            <w:tcW w:w="1096" w:type="pct"/>
            <w:tcBorders>
              <w:top w:val="single" w:color="000000" w:sz="4" w:space="0"/>
              <w:left w:val="single" w:color="000000" w:sz="4" w:space="0"/>
              <w:bottom w:val="single" w:color="000000" w:sz="4" w:space="0"/>
              <w:right w:val="single" w:color="000000" w:sz="4" w:space="0"/>
            </w:tcBorders>
            <w:noWrap/>
            <w:vAlign w:val="center"/>
          </w:tcPr>
          <w:p w14:paraId="0E2BB64B">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1</w:t>
            </w:r>
          </w:p>
        </w:tc>
        <w:tc>
          <w:tcPr>
            <w:tcW w:w="1148" w:type="pct"/>
            <w:tcBorders>
              <w:top w:val="single" w:color="000000" w:sz="4" w:space="0"/>
              <w:left w:val="single" w:color="000000" w:sz="4" w:space="0"/>
              <w:bottom w:val="single" w:color="000000" w:sz="4" w:space="0"/>
              <w:right w:val="single" w:color="000000" w:sz="4" w:space="0"/>
            </w:tcBorders>
            <w:noWrap/>
            <w:vAlign w:val="center"/>
          </w:tcPr>
          <w:p w14:paraId="1F4CBCFA">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套</w:t>
            </w:r>
          </w:p>
        </w:tc>
      </w:tr>
    </w:tbl>
    <w:p w14:paraId="5C1F63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4、配套改造服务</w:t>
      </w:r>
    </w:p>
    <w:tbl>
      <w:tblPr>
        <w:tblStyle w:val="21"/>
        <w:tblW w:w="9071" w:type="dxa"/>
        <w:jc w:val="center"/>
        <w:tblLayout w:type="fixed"/>
        <w:tblCellMar>
          <w:top w:w="0" w:type="dxa"/>
          <w:left w:w="108" w:type="dxa"/>
          <w:bottom w:w="0" w:type="dxa"/>
          <w:right w:w="108" w:type="dxa"/>
        </w:tblCellMar>
      </w:tblPr>
      <w:tblGrid>
        <w:gridCol w:w="1719"/>
        <w:gridCol w:w="3582"/>
        <w:gridCol w:w="1803"/>
        <w:gridCol w:w="1967"/>
      </w:tblGrid>
      <w:tr w14:paraId="4C2002E5">
        <w:tblPrEx>
          <w:tblCellMar>
            <w:top w:w="0" w:type="dxa"/>
            <w:left w:w="108" w:type="dxa"/>
            <w:bottom w:w="0" w:type="dxa"/>
            <w:right w:w="108" w:type="dxa"/>
          </w:tblCellMar>
        </w:tblPrEx>
        <w:trPr>
          <w:trHeight w:val="561" w:hRule="atLeast"/>
          <w:jc w:val="center"/>
        </w:trPr>
        <w:tc>
          <w:tcPr>
            <w:tcW w:w="9071" w:type="dxa"/>
            <w:gridSpan w:val="4"/>
            <w:tcBorders>
              <w:top w:val="single" w:color="000000" w:sz="4" w:space="0"/>
              <w:left w:val="single" w:color="000000" w:sz="4" w:space="0"/>
              <w:bottom w:val="single" w:color="000000" w:sz="4" w:space="0"/>
              <w:right w:val="single" w:color="000000" w:sz="4" w:space="0"/>
            </w:tcBorders>
            <w:noWrap w:val="0"/>
            <w:vAlign w:val="center"/>
          </w:tcPr>
          <w:p w14:paraId="59D1957B">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配套改造服务</w:t>
            </w:r>
          </w:p>
        </w:tc>
      </w:tr>
      <w:tr w14:paraId="4E7BB6BC">
        <w:tblPrEx>
          <w:tblCellMar>
            <w:top w:w="0" w:type="dxa"/>
            <w:left w:w="108" w:type="dxa"/>
            <w:bottom w:w="0" w:type="dxa"/>
            <w:right w:w="108" w:type="dxa"/>
          </w:tblCellMar>
        </w:tblPrEx>
        <w:trPr>
          <w:trHeight w:val="561" w:hRule="atLeast"/>
          <w:jc w:val="center"/>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26E10FC7">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序号</w:t>
            </w:r>
          </w:p>
        </w:tc>
        <w:tc>
          <w:tcPr>
            <w:tcW w:w="3582" w:type="dxa"/>
            <w:tcBorders>
              <w:top w:val="single" w:color="000000" w:sz="4" w:space="0"/>
              <w:left w:val="single" w:color="000000" w:sz="4" w:space="0"/>
              <w:bottom w:val="single" w:color="000000" w:sz="4" w:space="0"/>
              <w:right w:val="single" w:color="000000" w:sz="4" w:space="0"/>
            </w:tcBorders>
            <w:noWrap w:val="0"/>
            <w:vAlign w:val="center"/>
          </w:tcPr>
          <w:p w14:paraId="16847364">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货物名称</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32DB2CFB">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数量</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44860677">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单位</w:t>
            </w:r>
          </w:p>
        </w:tc>
      </w:tr>
      <w:tr w14:paraId="55BF190F">
        <w:tblPrEx>
          <w:tblCellMar>
            <w:top w:w="0" w:type="dxa"/>
            <w:left w:w="108" w:type="dxa"/>
            <w:bottom w:w="0" w:type="dxa"/>
            <w:right w:w="108" w:type="dxa"/>
          </w:tblCellMar>
        </w:tblPrEx>
        <w:trPr>
          <w:trHeight w:val="561" w:hRule="atLeast"/>
          <w:jc w:val="center"/>
        </w:trPr>
        <w:tc>
          <w:tcPr>
            <w:tcW w:w="1719" w:type="dxa"/>
            <w:tcBorders>
              <w:top w:val="single" w:color="000000" w:sz="4" w:space="0"/>
              <w:left w:val="single" w:color="000000" w:sz="4" w:space="0"/>
              <w:bottom w:val="single" w:color="000000" w:sz="4" w:space="0"/>
              <w:right w:val="single" w:color="000000" w:sz="4" w:space="0"/>
            </w:tcBorders>
            <w:noWrap/>
            <w:vAlign w:val="center"/>
          </w:tcPr>
          <w:p w14:paraId="0DACD37B">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1</w:t>
            </w:r>
          </w:p>
        </w:tc>
        <w:tc>
          <w:tcPr>
            <w:tcW w:w="3582" w:type="dxa"/>
            <w:tcBorders>
              <w:top w:val="single" w:color="000000" w:sz="4" w:space="0"/>
              <w:left w:val="single" w:color="000000" w:sz="4" w:space="0"/>
              <w:bottom w:val="single" w:color="000000" w:sz="4" w:space="0"/>
              <w:right w:val="single" w:color="000000" w:sz="4" w:space="0"/>
            </w:tcBorders>
            <w:noWrap w:val="0"/>
            <w:vAlign w:val="center"/>
          </w:tcPr>
          <w:p w14:paraId="63EFEADD">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600*600铝矿棉复合板吊顶</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53B2196B">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270</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2C50F270">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平方</w:t>
            </w:r>
          </w:p>
        </w:tc>
      </w:tr>
      <w:tr w14:paraId="4BA71E58">
        <w:tblPrEx>
          <w:tblCellMar>
            <w:top w:w="0" w:type="dxa"/>
            <w:left w:w="108" w:type="dxa"/>
            <w:bottom w:w="0" w:type="dxa"/>
            <w:right w:w="108" w:type="dxa"/>
          </w:tblCellMar>
        </w:tblPrEx>
        <w:trPr>
          <w:trHeight w:val="561" w:hRule="atLeast"/>
          <w:jc w:val="center"/>
        </w:trPr>
        <w:tc>
          <w:tcPr>
            <w:tcW w:w="1719" w:type="dxa"/>
            <w:tcBorders>
              <w:top w:val="single" w:color="000000" w:sz="4" w:space="0"/>
              <w:left w:val="single" w:color="000000" w:sz="4" w:space="0"/>
              <w:bottom w:val="single" w:color="000000" w:sz="4" w:space="0"/>
              <w:right w:val="single" w:color="000000" w:sz="4" w:space="0"/>
            </w:tcBorders>
            <w:noWrap/>
            <w:vAlign w:val="center"/>
          </w:tcPr>
          <w:p w14:paraId="22C49299">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w:t>
            </w:r>
          </w:p>
        </w:tc>
        <w:tc>
          <w:tcPr>
            <w:tcW w:w="3582" w:type="dxa"/>
            <w:tcBorders>
              <w:top w:val="single" w:color="000000" w:sz="4" w:space="0"/>
              <w:left w:val="single" w:color="000000" w:sz="4" w:space="0"/>
              <w:bottom w:val="single" w:color="000000" w:sz="4" w:space="0"/>
              <w:right w:val="single" w:color="000000" w:sz="4" w:space="0"/>
            </w:tcBorders>
            <w:noWrap w:val="0"/>
            <w:vAlign w:val="center"/>
          </w:tcPr>
          <w:p w14:paraId="0CEE99B1">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PVC地板</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3A0D6D73">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270</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79DDBBB2">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平方</w:t>
            </w:r>
          </w:p>
        </w:tc>
      </w:tr>
      <w:tr w14:paraId="4D935771">
        <w:tblPrEx>
          <w:tblCellMar>
            <w:top w:w="0" w:type="dxa"/>
            <w:left w:w="108" w:type="dxa"/>
            <w:bottom w:w="0" w:type="dxa"/>
            <w:right w:w="108" w:type="dxa"/>
          </w:tblCellMar>
        </w:tblPrEx>
        <w:trPr>
          <w:trHeight w:val="561" w:hRule="atLeast"/>
          <w:jc w:val="center"/>
        </w:trPr>
        <w:tc>
          <w:tcPr>
            <w:tcW w:w="1719" w:type="dxa"/>
            <w:tcBorders>
              <w:top w:val="single" w:color="000000" w:sz="4" w:space="0"/>
              <w:left w:val="single" w:color="000000" w:sz="4" w:space="0"/>
              <w:bottom w:val="single" w:color="000000" w:sz="4" w:space="0"/>
              <w:right w:val="single" w:color="000000" w:sz="4" w:space="0"/>
            </w:tcBorders>
            <w:noWrap/>
            <w:vAlign w:val="center"/>
          </w:tcPr>
          <w:p w14:paraId="3A453C03">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3</w:t>
            </w:r>
          </w:p>
        </w:tc>
        <w:tc>
          <w:tcPr>
            <w:tcW w:w="3582" w:type="dxa"/>
            <w:tcBorders>
              <w:top w:val="single" w:color="000000" w:sz="4" w:space="0"/>
              <w:left w:val="single" w:color="000000" w:sz="4" w:space="0"/>
              <w:bottom w:val="single" w:color="000000" w:sz="4" w:space="0"/>
              <w:right w:val="single" w:color="000000" w:sz="4" w:space="0"/>
            </w:tcBorders>
            <w:noWrap w:val="0"/>
            <w:vAlign w:val="center"/>
          </w:tcPr>
          <w:p w14:paraId="1A1DE982">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8mm碳晶防撞墙板</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57242E8F">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360</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0B489868">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平方</w:t>
            </w:r>
          </w:p>
        </w:tc>
      </w:tr>
      <w:tr w14:paraId="0B7E7671">
        <w:tblPrEx>
          <w:tblCellMar>
            <w:top w:w="0" w:type="dxa"/>
            <w:left w:w="108" w:type="dxa"/>
            <w:bottom w:w="0" w:type="dxa"/>
            <w:right w:w="108" w:type="dxa"/>
          </w:tblCellMar>
        </w:tblPrEx>
        <w:trPr>
          <w:trHeight w:val="561" w:hRule="atLeast"/>
          <w:jc w:val="center"/>
        </w:trPr>
        <w:tc>
          <w:tcPr>
            <w:tcW w:w="1719" w:type="dxa"/>
            <w:tcBorders>
              <w:top w:val="single" w:color="000000" w:sz="4" w:space="0"/>
              <w:left w:val="single" w:color="000000" w:sz="4" w:space="0"/>
              <w:bottom w:val="single" w:color="000000" w:sz="4" w:space="0"/>
              <w:right w:val="single" w:color="000000" w:sz="4" w:space="0"/>
            </w:tcBorders>
            <w:noWrap/>
            <w:vAlign w:val="center"/>
          </w:tcPr>
          <w:p w14:paraId="32B3A0EC">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4</w:t>
            </w:r>
          </w:p>
        </w:tc>
        <w:tc>
          <w:tcPr>
            <w:tcW w:w="3582" w:type="dxa"/>
            <w:tcBorders>
              <w:top w:val="single" w:color="000000" w:sz="4" w:space="0"/>
              <w:left w:val="single" w:color="000000" w:sz="4" w:space="0"/>
              <w:bottom w:val="single" w:color="000000" w:sz="4" w:space="0"/>
              <w:right w:val="single" w:color="000000" w:sz="4" w:space="0"/>
            </w:tcBorders>
            <w:noWrap w:val="0"/>
            <w:vAlign w:val="center"/>
          </w:tcPr>
          <w:p w14:paraId="4834B641">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80mm高铝合金踢脚线</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3C4247F4">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120</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2DE8B471">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米</w:t>
            </w:r>
          </w:p>
        </w:tc>
      </w:tr>
    </w:tbl>
    <w:p w14:paraId="50852EF1">
      <w:pPr>
        <w:numPr>
          <w:ilvl w:val="0"/>
          <w:numId w:val="5"/>
        </w:numPr>
        <w:spacing w:line="560" w:lineRule="exact"/>
        <w:ind w:left="0" w:leftChars="0" w:firstLine="562" w:firstLineChars="200"/>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color w:val="auto"/>
          <w:sz w:val="28"/>
          <w:szCs w:val="28"/>
          <w:highlight w:val="none"/>
          <w:lang w:val="en-US" w:eastAsia="zh-CN"/>
        </w:rPr>
        <w:t>采购内容及技术要求</w:t>
      </w:r>
    </w:p>
    <w:p w14:paraId="26C21FAC">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物理吊装实验室</w:t>
      </w:r>
    </w:p>
    <w:tbl>
      <w:tblPr>
        <w:tblStyle w:val="21"/>
        <w:tblW w:w="9192" w:type="dxa"/>
        <w:jc w:val="center"/>
        <w:tblLayout w:type="fixed"/>
        <w:tblCellMar>
          <w:top w:w="0" w:type="dxa"/>
          <w:left w:w="108" w:type="dxa"/>
          <w:bottom w:w="0" w:type="dxa"/>
          <w:right w:w="108" w:type="dxa"/>
        </w:tblCellMar>
      </w:tblPr>
      <w:tblGrid>
        <w:gridCol w:w="728"/>
        <w:gridCol w:w="1244"/>
        <w:gridCol w:w="5797"/>
        <w:gridCol w:w="626"/>
        <w:gridCol w:w="797"/>
      </w:tblGrid>
      <w:tr w14:paraId="0452921B">
        <w:tblPrEx>
          <w:tblCellMar>
            <w:top w:w="0" w:type="dxa"/>
            <w:left w:w="108" w:type="dxa"/>
            <w:bottom w:w="0" w:type="dxa"/>
            <w:right w:w="108" w:type="dxa"/>
          </w:tblCellMar>
        </w:tblPrEx>
        <w:trPr>
          <w:trHeight w:val="561"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454F5">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序号</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78D59">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货物名称</w:t>
            </w:r>
          </w:p>
        </w:tc>
        <w:tc>
          <w:tcPr>
            <w:tcW w:w="5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C189A">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技术参数</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D91CA">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数量</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C40F8">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单位</w:t>
            </w:r>
          </w:p>
        </w:tc>
      </w:tr>
      <w:tr w14:paraId="1B640722">
        <w:tblPrEx>
          <w:tblCellMar>
            <w:top w:w="0" w:type="dxa"/>
            <w:left w:w="108" w:type="dxa"/>
            <w:bottom w:w="0" w:type="dxa"/>
            <w:right w:w="108" w:type="dxa"/>
          </w:tblCellMar>
        </w:tblPrEx>
        <w:trPr>
          <w:trHeight w:val="561" w:hRule="atLeast"/>
          <w:jc w:val="center"/>
        </w:trPr>
        <w:tc>
          <w:tcPr>
            <w:tcW w:w="9192" w:type="dxa"/>
            <w:gridSpan w:val="5"/>
            <w:tcBorders>
              <w:top w:val="single" w:color="000000" w:sz="4" w:space="0"/>
              <w:left w:val="single" w:color="000000" w:sz="4" w:space="0"/>
              <w:bottom w:val="single" w:color="000000" w:sz="4" w:space="0"/>
              <w:right w:val="single" w:color="000000" w:sz="4" w:space="0"/>
            </w:tcBorders>
            <w:noWrap/>
            <w:vAlign w:val="center"/>
          </w:tcPr>
          <w:p w14:paraId="2187D256">
            <w:pPr>
              <w:widowControl/>
              <w:jc w:val="both"/>
              <w:textAlignment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一、教师控制演示区</w:t>
            </w:r>
          </w:p>
        </w:tc>
      </w:tr>
      <w:tr w14:paraId="28F4F0F1">
        <w:tblPrEx>
          <w:tblCellMar>
            <w:top w:w="0" w:type="dxa"/>
            <w:left w:w="108" w:type="dxa"/>
            <w:bottom w:w="0" w:type="dxa"/>
            <w:right w:w="108" w:type="dxa"/>
          </w:tblCellMar>
        </w:tblPrEx>
        <w:trPr>
          <w:trHeight w:val="561" w:hRule="atLeast"/>
          <w:jc w:val="center"/>
        </w:trPr>
        <w:tc>
          <w:tcPr>
            <w:tcW w:w="728" w:type="dxa"/>
            <w:tcBorders>
              <w:top w:val="single" w:color="000000" w:sz="4" w:space="0"/>
              <w:left w:val="single" w:color="000000" w:sz="4" w:space="0"/>
              <w:bottom w:val="single" w:color="000000" w:sz="4" w:space="0"/>
              <w:right w:val="single" w:color="000000" w:sz="4" w:space="0"/>
            </w:tcBorders>
            <w:noWrap/>
            <w:vAlign w:val="center"/>
          </w:tcPr>
          <w:p w14:paraId="26C53E67">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w:t>
            </w:r>
          </w:p>
        </w:tc>
        <w:tc>
          <w:tcPr>
            <w:tcW w:w="1244" w:type="dxa"/>
            <w:tcBorders>
              <w:top w:val="single" w:color="000000" w:sz="4" w:space="0"/>
              <w:left w:val="single" w:color="000000" w:sz="4" w:space="0"/>
              <w:bottom w:val="single" w:color="000000" w:sz="4" w:space="0"/>
              <w:right w:val="single" w:color="000000" w:sz="4" w:space="0"/>
            </w:tcBorders>
            <w:vAlign w:val="center"/>
          </w:tcPr>
          <w:p w14:paraId="7B289E8E">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实验桌</w:t>
            </w:r>
          </w:p>
          <w:p w14:paraId="0D03FC1E">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（装配式教师演示台）</w:t>
            </w:r>
          </w:p>
        </w:tc>
        <w:tc>
          <w:tcPr>
            <w:tcW w:w="5797" w:type="dxa"/>
            <w:tcBorders>
              <w:top w:val="single" w:color="000000" w:sz="4" w:space="0"/>
              <w:left w:val="single" w:color="000000" w:sz="4" w:space="0"/>
              <w:bottom w:val="single" w:color="000000" w:sz="4" w:space="0"/>
              <w:right w:val="single" w:color="000000" w:sz="4" w:space="0"/>
            </w:tcBorders>
            <w:vAlign w:val="center"/>
          </w:tcPr>
          <w:p w14:paraId="3364B556">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整体规格：≥2500mm（</w:t>
            </w:r>
            <w:r>
              <w:rPr>
                <w:rFonts w:hint="eastAsia" w:ascii="宋体" w:hAnsi="宋体" w:eastAsia="宋体" w:cs="宋体"/>
                <w:color w:val="auto"/>
                <w:kern w:val="0"/>
                <w:sz w:val="21"/>
                <w:szCs w:val="21"/>
                <w:lang w:eastAsia="zh-CN" w:bidi="ar"/>
              </w:rPr>
              <w:t>长</w:t>
            </w:r>
            <w:r>
              <w:rPr>
                <w:rFonts w:hint="eastAsia" w:ascii="宋体" w:hAnsi="宋体" w:eastAsia="宋体" w:cs="宋体"/>
                <w:color w:val="auto"/>
                <w:kern w:val="0"/>
                <w:sz w:val="21"/>
                <w:szCs w:val="21"/>
                <w:lang w:bidi="ar"/>
              </w:rPr>
              <w:t>）×700mm（</w:t>
            </w:r>
            <w:r>
              <w:rPr>
                <w:rFonts w:hint="eastAsia" w:ascii="宋体" w:hAnsi="宋体" w:eastAsia="宋体" w:cs="宋体"/>
                <w:color w:val="auto"/>
                <w:kern w:val="0"/>
                <w:sz w:val="21"/>
                <w:szCs w:val="21"/>
                <w:lang w:eastAsia="zh-CN" w:bidi="ar"/>
              </w:rPr>
              <w:t>宽</w:t>
            </w:r>
            <w:r>
              <w:rPr>
                <w:rFonts w:hint="eastAsia" w:ascii="宋体" w:hAnsi="宋体" w:eastAsia="宋体" w:cs="宋体"/>
                <w:color w:val="auto"/>
                <w:kern w:val="0"/>
                <w:sz w:val="21"/>
                <w:szCs w:val="21"/>
                <w:lang w:bidi="ar"/>
              </w:rPr>
              <w:t>）×945mm（</w:t>
            </w:r>
            <w:r>
              <w:rPr>
                <w:rFonts w:hint="eastAsia" w:ascii="宋体" w:hAnsi="宋体" w:eastAsia="宋体" w:cs="宋体"/>
                <w:color w:val="auto"/>
                <w:kern w:val="0"/>
                <w:sz w:val="21"/>
                <w:szCs w:val="21"/>
                <w:lang w:eastAsia="zh-CN" w:bidi="ar"/>
              </w:rPr>
              <w:t>高</w:t>
            </w:r>
            <w:r>
              <w:rPr>
                <w:rFonts w:hint="eastAsia" w:ascii="宋体" w:hAnsi="宋体" w:eastAsia="宋体" w:cs="宋体"/>
                <w:color w:val="auto"/>
                <w:kern w:val="0"/>
                <w:sz w:val="21"/>
                <w:szCs w:val="21"/>
                <w:lang w:bidi="ar"/>
              </w:rPr>
              <w:t>）；</w:t>
            </w:r>
          </w:p>
          <w:p w14:paraId="43F0B74F">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整体由桌体、装配式采集终端组成。</w:t>
            </w:r>
          </w:p>
          <w:p w14:paraId="6F412965">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一、桌体：</w:t>
            </w:r>
          </w:p>
          <w:p w14:paraId="2B7C3581">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规格：≥2500mm（</w:t>
            </w:r>
            <w:r>
              <w:rPr>
                <w:rFonts w:hint="eastAsia" w:ascii="宋体" w:hAnsi="宋体" w:eastAsia="宋体" w:cs="宋体"/>
                <w:color w:val="auto"/>
                <w:kern w:val="0"/>
                <w:sz w:val="21"/>
                <w:szCs w:val="21"/>
                <w:lang w:eastAsia="zh-CN" w:bidi="ar"/>
              </w:rPr>
              <w:t>长</w:t>
            </w:r>
            <w:r>
              <w:rPr>
                <w:rFonts w:hint="eastAsia" w:ascii="宋体" w:hAnsi="宋体" w:eastAsia="宋体" w:cs="宋体"/>
                <w:color w:val="auto"/>
                <w:kern w:val="0"/>
                <w:sz w:val="21"/>
                <w:szCs w:val="21"/>
                <w:lang w:bidi="ar"/>
              </w:rPr>
              <w:t>）×700mm（</w:t>
            </w:r>
            <w:r>
              <w:rPr>
                <w:rFonts w:hint="eastAsia" w:ascii="宋体" w:hAnsi="宋体" w:eastAsia="宋体" w:cs="宋体"/>
                <w:color w:val="auto"/>
                <w:kern w:val="0"/>
                <w:sz w:val="21"/>
                <w:szCs w:val="21"/>
                <w:lang w:eastAsia="zh-CN" w:bidi="ar"/>
              </w:rPr>
              <w:t>宽</w:t>
            </w:r>
            <w:r>
              <w:rPr>
                <w:rFonts w:hint="eastAsia" w:ascii="宋体" w:hAnsi="宋体" w:eastAsia="宋体" w:cs="宋体"/>
                <w:color w:val="auto"/>
                <w:kern w:val="0"/>
                <w:sz w:val="21"/>
                <w:szCs w:val="21"/>
                <w:lang w:bidi="ar"/>
              </w:rPr>
              <w:t>）×945mm（</w:t>
            </w:r>
            <w:r>
              <w:rPr>
                <w:rFonts w:hint="eastAsia" w:ascii="宋体" w:hAnsi="宋体" w:eastAsia="宋体" w:cs="宋体"/>
                <w:color w:val="auto"/>
                <w:kern w:val="0"/>
                <w:sz w:val="21"/>
                <w:szCs w:val="21"/>
                <w:lang w:eastAsia="zh-CN" w:bidi="ar"/>
              </w:rPr>
              <w:t>高</w:t>
            </w:r>
            <w:r>
              <w:rPr>
                <w:rFonts w:hint="eastAsia" w:ascii="宋体" w:hAnsi="宋体" w:eastAsia="宋体" w:cs="宋体"/>
                <w:color w:val="auto"/>
                <w:kern w:val="0"/>
                <w:sz w:val="21"/>
                <w:szCs w:val="21"/>
                <w:lang w:bidi="ar"/>
              </w:rPr>
              <w:t>）；由台面、储物柜、键盘抽屉架、布线柜、可调脚组成；</w:t>
            </w:r>
          </w:p>
          <w:p w14:paraId="12178305">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1、台面：规格：≥2395mm</w:t>
            </w:r>
            <w:r>
              <w:rPr>
                <w:rFonts w:hint="eastAsia" w:ascii="宋体" w:hAnsi="宋体" w:cs="宋体"/>
                <w:color w:val="auto"/>
                <w:kern w:val="0"/>
                <w:sz w:val="21"/>
                <w:szCs w:val="21"/>
                <w:lang w:eastAsia="zh-CN" w:bidi="ar"/>
              </w:rPr>
              <w:t>（长）</w:t>
            </w:r>
            <w:r>
              <w:rPr>
                <w:rFonts w:hint="eastAsia" w:ascii="宋体" w:hAnsi="宋体" w:eastAsia="宋体" w:cs="宋体"/>
                <w:color w:val="auto"/>
                <w:kern w:val="0"/>
                <w:sz w:val="21"/>
                <w:szCs w:val="21"/>
                <w:lang w:bidi="ar"/>
              </w:rPr>
              <w:t>×645mm</w:t>
            </w:r>
            <w:r>
              <w:rPr>
                <w:rFonts w:hint="eastAsia" w:ascii="宋体" w:hAnsi="宋体" w:cs="宋体"/>
                <w:color w:val="auto"/>
                <w:kern w:val="0"/>
                <w:sz w:val="21"/>
                <w:szCs w:val="21"/>
                <w:lang w:eastAsia="zh-CN" w:bidi="ar"/>
              </w:rPr>
              <w:t>（宽）</w:t>
            </w:r>
            <w:r>
              <w:rPr>
                <w:rFonts w:hint="eastAsia" w:ascii="宋体" w:hAnsi="宋体" w:eastAsia="宋体" w:cs="宋体"/>
                <w:color w:val="auto"/>
                <w:kern w:val="0"/>
                <w:sz w:val="21"/>
                <w:szCs w:val="21"/>
                <w:lang w:bidi="ar"/>
              </w:rPr>
              <w:t>×12.7mm</w:t>
            </w:r>
            <w:r>
              <w:rPr>
                <w:rFonts w:hint="eastAsia" w:ascii="宋体" w:hAnsi="宋体" w:cs="宋体"/>
                <w:color w:val="auto"/>
                <w:kern w:val="0"/>
                <w:sz w:val="21"/>
                <w:szCs w:val="21"/>
                <w:lang w:eastAsia="zh-CN" w:bidi="ar"/>
              </w:rPr>
              <w:t>（厚）</w:t>
            </w:r>
            <w:r>
              <w:rPr>
                <w:rFonts w:hint="eastAsia" w:ascii="宋体" w:hAnsi="宋体" w:eastAsia="宋体" w:cs="宋体"/>
                <w:color w:val="auto"/>
                <w:kern w:val="0"/>
                <w:sz w:val="21"/>
                <w:szCs w:val="21"/>
                <w:lang w:bidi="ar"/>
              </w:rPr>
              <w:t>；采用实芯理化板；台面表层采用六边形蜂窝状压纹设计，单个六边形边长≥2.5mm，压纹深度0.2mm-0.3mm，整体压纹均匀一致，一体热压成型。采用三侧嵌入式结构；</w:t>
            </w:r>
          </w:p>
          <w:p w14:paraId="13FE1337">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为确保使用者的健康安全，双面膜实芯理化板台面满足或优于以下7项性能检测要求：</w:t>
            </w:r>
          </w:p>
          <w:p w14:paraId="5DD71E37">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★1）化学性能检测：参照GB/T 17657-2022标准，台面板不少于140项化学试剂及有机溶液检测，且包含：硫酸（98%）、氢氟酸（48%）、硝酸（65%）、乙酰丙酮、三氯乙酸等。</w:t>
            </w:r>
          </w:p>
          <w:p w14:paraId="4214478B">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★2）环保性能检测：参照GB/T 39600-2021标准，甲醛释放量检测结果值≤0.005mg/m³。</w:t>
            </w:r>
          </w:p>
          <w:p w14:paraId="1585BD69">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★3）物理性能检测：参照GB/T 17657-2022标准及其他检测方法检测，满足静曲强度≥145Mpa；弹性模量≥10450Mpa；密度≥1.43g/cm³；耐臭氧（72h）：外观无明显变化；尺寸稳定性：纵向、横向≤0.03%；漆膜附着力：六级：切割边缘完全平滑，网格内无脱落；表面耐划痕性能：4.5N作用下，试件表面无大于90%的连续划痕；耐沸水性能：质量增加百分率≤0.01%、厚度增加百分率≤0.06%，表面质量等级：5级：无变化，边缘质量等级：5级：无明显变化；表面耐磨性能≥1140r，未出现磨损；弯曲强度≥140Mpa；表面耐冷热循环：表面无裂纹及鼓泡等不少于22项物理性能检测。</w:t>
            </w:r>
          </w:p>
          <w:p w14:paraId="0893CD9A">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★4）TVOC释放量检测：参照HJ571-2010标准，总挥发性有机化合物TVOC释放量为未检出。</w:t>
            </w:r>
          </w:p>
          <w:p w14:paraId="377B35B7">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★5）抗霉菌性能检测：参照JC/T 2039-2010标准，黑曲霉、土曲霉、宛氏拟青霉、绳状青霉、出芽短梗霉、球毛壳霉、长枝木霉等不少于7种霉菌检测等级为0级；</w:t>
            </w:r>
          </w:p>
          <w:p w14:paraId="7DDBF385">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★6）抗细菌性能检测：参照JC/T 2039-2010标准，大肠埃希氏菌、金黄色葡萄球菌、白色念珠菌、铜绿假单胞菌、肺炎克雷伯氏菌、鼠伤寒沙门氏菌、枯草芽孢杆菌、耐甲氧西林金黄色葡萄球菌、肠沙门氏菌肠亚种、粪肠球菌、宋氏志贺氏菌、白色葡萄球菌、变异库克菌、表皮葡萄球菌等不少于14种菌种检测抗菌率≥99.99%。</w:t>
            </w:r>
          </w:p>
          <w:p w14:paraId="43B96862">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★7）氙灯老化测试：参照GB/T 16422.2-2022标准，进行400小时以上老化试验测试结果为样品无变色、发粘、裂纹等异常，等级为5级。</w:t>
            </w:r>
          </w:p>
          <w:p w14:paraId="3C1A2EB5">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带★条款</w:t>
            </w:r>
            <w:r>
              <w:rPr>
                <w:rFonts w:hint="eastAsia" w:ascii="宋体" w:hAnsi="宋体" w:eastAsia="宋体" w:cs="宋体"/>
                <w:color w:val="auto"/>
                <w:kern w:val="0"/>
                <w:sz w:val="21"/>
                <w:szCs w:val="21"/>
                <w:lang w:val="en-US" w:eastAsia="zh-CN" w:bidi="ar"/>
              </w:rPr>
              <w:t>供应商</w:t>
            </w:r>
            <w:r>
              <w:rPr>
                <w:rFonts w:hint="eastAsia" w:ascii="宋体" w:hAnsi="宋体" w:eastAsia="宋体" w:cs="宋体"/>
                <w:color w:val="auto"/>
                <w:kern w:val="0"/>
                <w:sz w:val="21"/>
                <w:szCs w:val="21"/>
                <w:lang w:bidi="ar"/>
              </w:rPr>
              <w:t>须提供经国家质量监督管理部门认可的第三方检测机构出具的检测报告复印件加盖</w:t>
            </w:r>
            <w:r>
              <w:rPr>
                <w:rFonts w:hint="eastAsia" w:ascii="宋体" w:hAnsi="宋体" w:eastAsia="宋体" w:cs="宋体"/>
                <w:color w:val="auto"/>
                <w:kern w:val="0"/>
                <w:sz w:val="21"/>
                <w:szCs w:val="21"/>
                <w:lang w:val="en-US" w:eastAsia="zh-CN" w:bidi="ar"/>
              </w:rPr>
              <w:t>供应商</w:t>
            </w:r>
            <w:r>
              <w:rPr>
                <w:rFonts w:hint="eastAsia" w:ascii="宋体" w:hAnsi="宋体" w:eastAsia="宋体" w:cs="宋体"/>
                <w:color w:val="auto"/>
                <w:kern w:val="0"/>
                <w:sz w:val="21"/>
                <w:szCs w:val="21"/>
                <w:lang w:bidi="ar"/>
              </w:rPr>
              <w:t>公章。</w:t>
            </w:r>
          </w:p>
          <w:p w14:paraId="5C091692">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2、储物柜：配有2个储物柜；</w:t>
            </w:r>
          </w:p>
          <w:p w14:paraId="2842D0F9">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2.1、储物柜1：≥550mm×700mm×900mm，由柜体、柜门、活动层板、抽屉组成；</w:t>
            </w:r>
          </w:p>
          <w:p w14:paraId="75606409">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2.1.1、柜体：全钢结构，采用≥1.0mm厚冷轧钢板；边缘做倒角设计，可防止磕碰；</w:t>
            </w:r>
          </w:p>
          <w:p w14:paraId="4F93499A">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2.1.2、柜门：主体采用双层冷轧钢板装配成型，内附蜂窝状瓦楞纸防噪填充，门板面板内嵌ABS塑料拉手；</w:t>
            </w:r>
          </w:p>
          <w:p w14:paraId="583774FF">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2.1.3、活动层板：柜体内设有活动层板，规格</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 xml:space="preserve">≥545mm×435mm×20mm，采用≥1.0mm厚冷轧钢板制作，配合至少4个塑料支撑扣调整上下高度，调节孔距≥65mm，承重≥20KG； </w:t>
            </w:r>
          </w:p>
          <w:p w14:paraId="306FFF81">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2.1.4、抽屉：内置≥1个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内部规格：≥310mm×350mm×125mm抽屉，采用≥1.0mm厚冷轧钢板制作，抽头为双层结构，内附蜂窝状瓦楞纸防噪填充，采用三节静音导轨，配备阻尼滑道，抽头内嵌塑料拉手；</w:t>
            </w:r>
          </w:p>
          <w:p w14:paraId="5E97A7B4">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2.2、储物柜2：≥550mm×700mm×900mm，由柜体，柜门、活动层板组成；</w:t>
            </w:r>
          </w:p>
          <w:p w14:paraId="0E471E02">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2.2.1、柜体：全钢结构，采用≥1.0mm厚冷轧钢板；边缘做倒角设计，可防止磕碰；</w:t>
            </w:r>
          </w:p>
          <w:p w14:paraId="6A333A92">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2.2.2、柜门：主体采用双层冷轧钢板装配成型，内附蜂窝状瓦楞纸防噪填充，门板面板内嵌ABS塑料拉手；</w:t>
            </w:r>
          </w:p>
          <w:p w14:paraId="569BF2E5">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 xml:space="preserve">2.2.3、活动层板：柜体内设有活动层板，规格≥540mm×610mm×20mm，采用≥1.0mm厚冷轧钢板制作，配合至少4个塑料支撑扣调整上下高度，调节孔距≥65mm，承重≥20KG； </w:t>
            </w:r>
          </w:p>
          <w:p w14:paraId="4E6A9F74">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3、键盘抽屉架：≥1400mm×510mm×90mm，由≥1.0mm厚冷轧钢板与ABS塑料组成。内置抽拉式托盘：采用ABS材料一体化注塑成型；内部设计有鼠标与键盘的定点定位槽位；托盘配备高强度静音滑轨。</w:t>
            </w:r>
          </w:p>
          <w:p w14:paraId="474C2D8C">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4.1、柜体：全钢结构，采用≥1.0mm厚冷轧钢板，表面平整光滑，耐酸碱，防腐蚀。支持用于隐蔽式布线；</w:t>
            </w:r>
          </w:p>
          <w:p w14:paraId="383CD819">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4.2、柜门：采用≥1.0mm厚冷轧钢板折弯焊接成型，无铰链结构，采用卡扣方式固定，支持快速拆装，便于检修维护；</w:t>
            </w:r>
          </w:p>
          <w:p w14:paraId="180177FF">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4.3、层板：柜体内设有固定层板，规格≥695mm×135mm×20mm，采用≥1.0mm厚冷轧钢板制作，承重≥20KG；</w:t>
            </w:r>
          </w:p>
          <w:p w14:paraId="30E044F9">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5、可调脚：桌体底部配备≥50mm高钢制PP注塑调节地脚。</w:t>
            </w:r>
          </w:p>
          <w:p w14:paraId="6CB5D8FD">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二、装配式采集终端：由集成柜体模块、升降系统模块、视频采集模块、电源操作控制模块、交互终端模块组成。</w:t>
            </w:r>
          </w:p>
          <w:p w14:paraId="2F8C7731">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1、集成柜体模块</w:t>
            </w:r>
          </w:p>
          <w:p w14:paraId="5A187809">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1.1、柜体：≥1200mm×160mm×760mm，采用≥1.0mm冷轧钢板；柜体两侧设置提手，便于移动运输；</w:t>
            </w:r>
          </w:p>
          <w:p w14:paraId="6E8F1572">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1.2、功能面板：≥1195mm×165mm×65mm，采用斜面设计，ABS一体化注塑成型；内置独立急停开关。</w:t>
            </w:r>
          </w:p>
          <w:p w14:paraId="1651D708">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1.3、屏风：≥1120mm×495mm×5mm，采用PMMA材质；</w:t>
            </w:r>
          </w:p>
          <w:p w14:paraId="2B4969AF">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1.4、脚垫：PP+不锈钢材质，直径规格≥35mm；高度可在0mm-10mm范围内调节；</w:t>
            </w:r>
          </w:p>
          <w:p w14:paraId="131DECFD">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1.5、设备供电：220V,50Hz。</w:t>
            </w:r>
          </w:p>
          <w:p w14:paraId="66EF56D5">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2、升降系统模块：包括电机控制单元、屏风升降单元、交互终端升降单元、摄像头升降单元。</w:t>
            </w:r>
          </w:p>
          <w:p w14:paraId="28443F42">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2.1、电机控制单元：配置6路减速电机，10路光电开关，2路限位开关，到位自动停止；配备1路CAN通讯，24V供电接口，6口带P</w:t>
            </w:r>
            <w:r>
              <w:rPr>
                <w:rFonts w:hint="eastAsia" w:ascii="宋体" w:hAnsi="宋体" w:eastAsia="宋体" w:cs="宋体"/>
                <w:color w:val="auto"/>
                <w:kern w:val="0"/>
                <w:sz w:val="21"/>
                <w:szCs w:val="21"/>
                <w:lang w:val="en-US" w:eastAsia="zh-CN" w:bidi="ar"/>
              </w:rPr>
              <w:t>O</w:t>
            </w:r>
            <w:r>
              <w:rPr>
                <w:rFonts w:hint="eastAsia" w:ascii="宋体" w:hAnsi="宋体" w:eastAsia="宋体" w:cs="宋体"/>
                <w:color w:val="auto"/>
                <w:kern w:val="0"/>
                <w:sz w:val="21"/>
                <w:szCs w:val="21"/>
                <w:lang w:bidi="ar"/>
              </w:rPr>
              <w:t>E网络接口；</w:t>
            </w:r>
          </w:p>
          <w:p w14:paraId="628D7779">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2.2、屏风升降单元：独立电动升降结构，屏风升降高度范围：0-300mm；</w:t>
            </w:r>
          </w:p>
          <w:p w14:paraId="7F5D66C5">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2.3、交互终端升降单元：独立电动升降结构，支持教师端远程控制</w:t>
            </w:r>
            <w:r>
              <w:rPr>
                <w:rFonts w:hint="eastAsia" w:ascii="宋体" w:hAnsi="宋体" w:eastAsia="宋体" w:cs="宋体"/>
                <w:color w:val="auto"/>
                <w:kern w:val="0"/>
                <w:sz w:val="21"/>
                <w:szCs w:val="21"/>
                <w:lang w:eastAsia="zh-CN" w:bidi="ar"/>
              </w:rPr>
              <w:t>；</w:t>
            </w:r>
          </w:p>
          <w:p w14:paraId="7AB3BD11">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2.4、摄像头升降单元：四组独立升降机构，支持升降及旋转臂运动：</w:t>
            </w:r>
          </w:p>
          <w:p w14:paraId="02AE84EA">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2.4.1、顶视摄像头旋转臂展开角度范围：0-125°；顶视摄像头旋转臂展开高度：≥725mm（相对于桌面）；</w:t>
            </w:r>
          </w:p>
          <w:p w14:paraId="5D28E50E">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2.4.2、侧视摄像头旋转臂展开角度范围：0-90°；侧视摄像头旋转臂展开高度：≥480mm（相对于桌面）；</w:t>
            </w:r>
          </w:p>
          <w:p w14:paraId="0CE7C046">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2.4.3、旋转臂复位功能：旋转臂运行过程中遇阻能够自动复位，当累计复位次数达10次时，旋转臂将自动停止运动，进入保护模式。</w:t>
            </w:r>
          </w:p>
        </w:tc>
        <w:tc>
          <w:tcPr>
            <w:tcW w:w="626" w:type="dxa"/>
            <w:tcBorders>
              <w:top w:val="single" w:color="000000" w:sz="4" w:space="0"/>
              <w:left w:val="single" w:color="000000" w:sz="4" w:space="0"/>
              <w:bottom w:val="single" w:color="000000" w:sz="4" w:space="0"/>
              <w:right w:val="single" w:color="000000" w:sz="4" w:space="0"/>
            </w:tcBorders>
            <w:vAlign w:val="center"/>
          </w:tcPr>
          <w:p w14:paraId="1E86A603">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w:t>
            </w:r>
          </w:p>
        </w:tc>
        <w:tc>
          <w:tcPr>
            <w:tcW w:w="797" w:type="dxa"/>
            <w:tcBorders>
              <w:top w:val="single" w:color="000000" w:sz="4" w:space="0"/>
              <w:left w:val="single" w:color="000000" w:sz="4" w:space="0"/>
              <w:bottom w:val="single" w:color="000000" w:sz="4" w:space="0"/>
              <w:right w:val="single" w:color="000000" w:sz="4" w:space="0"/>
            </w:tcBorders>
            <w:vAlign w:val="center"/>
          </w:tcPr>
          <w:p w14:paraId="3654C874">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张</w:t>
            </w:r>
          </w:p>
        </w:tc>
      </w:tr>
      <w:tr w14:paraId="1FE23695">
        <w:tblPrEx>
          <w:tblCellMar>
            <w:top w:w="0" w:type="dxa"/>
            <w:left w:w="108" w:type="dxa"/>
            <w:bottom w:w="0" w:type="dxa"/>
            <w:right w:w="108" w:type="dxa"/>
          </w:tblCellMar>
        </w:tblPrEx>
        <w:trPr>
          <w:trHeight w:val="561" w:hRule="atLeast"/>
          <w:jc w:val="center"/>
        </w:trPr>
        <w:tc>
          <w:tcPr>
            <w:tcW w:w="728" w:type="dxa"/>
            <w:tcBorders>
              <w:top w:val="single" w:color="000000" w:sz="4" w:space="0"/>
              <w:left w:val="single" w:color="000000" w:sz="4" w:space="0"/>
              <w:bottom w:val="single" w:color="000000" w:sz="4" w:space="0"/>
              <w:right w:val="single" w:color="000000" w:sz="4" w:space="0"/>
            </w:tcBorders>
            <w:noWrap/>
            <w:vAlign w:val="center"/>
          </w:tcPr>
          <w:p w14:paraId="147A6493">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w:t>
            </w:r>
          </w:p>
        </w:tc>
        <w:tc>
          <w:tcPr>
            <w:tcW w:w="1244" w:type="dxa"/>
            <w:tcBorders>
              <w:top w:val="single" w:color="000000" w:sz="4" w:space="0"/>
              <w:left w:val="single" w:color="000000" w:sz="4" w:space="0"/>
              <w:bottom w:val="single" w:color="000000" w:sz="4" w:space="0"/>
              <w:right w:val="single" w:color="000000" w:sz="4" w:space="0"/>
            </w:tcBorders>
            <w:vAlign w:val="center"/>
          </w:tcPr>
          <w:p w14:paraId="44F87DD4">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教师椅</w:t>
            </w:r>
          </w:p>
        </w:tc>
        <w:tc>
          <w:tcPr>
            <w:tcW w:w="5797" w:type="dxa"/>
            <w:tcBorders>
              <w:top w:val="single" w:color="000000" w:sz="4" w:space="0"/>
              <w:left w:val="single" w:color="000000" w:sz="4" w:space="0"/>
              <w:bottom w:val="single" w:color="000000" w:sz="4" w:space="0"/>
              <w:right w:val="single" w:color="000000" w:sz="4" w:space="0"/>
            </w:tcBorders>
            <w:vAlign w:val="center"/>
          </w:tcPr>
          <w:p w14:paraId="741415DF">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1.规格：≥550×500×1070mm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2.采用PU皮面，海绵坐垫；</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3.黑色PP加玻纤内外塑框；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4.一体成型PP固定扶手；</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5.中靠背46-49cm，人体工程学设计；</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6.≥1.0mm厚气杆；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7.PP加纤五星塑脚；</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8.φ50mm（偏差±5%）黑边尼龙万向轮。</w:t>
            </w:r>
          </w:p>
        </w:tc>
        <w:tc>
          <w:tcPr>
            <w:tcW w:w="626" w:type="dxa"/>
            <w:tcBorders>
              <w:top w:val="single" w:color="000000" w:sz="4" w:space="0"/>
              <w:left w:val="single" w:color="000000" w:sz="4" w:space="0"/>
              <w:bottom w:val="single" w:color="000000" w:sz="4" w:space="0"/>
              <w:right w:val="single" w:color="000000" w:sz="4" w:space="0"/>
            </w:tcBorders>
            <w:vAlign w:val="center"/>
          </w:tcPr>
          <w:p w14:paraId="2DAE512C">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797" w:type="dxa"/>
            <w:tcBorders>
              <w:top w:val="single" w:color="000000" w:sz="4" w:space="0"/>
              <w:left w:val="single" w:color="000000" w:sz="4" w:space="0"/>
              <w:bottom w:val="single" w:color="000000" w:sz="4" w:space="0"/>
              <w:right w:val="single" w:color="000000" w:sz="4" w:space="0"/>
            </w:tcBorders>
            <w:vAlign w:val="center"/>
          </w:tcPr>
          <w:p w14:paraId="38C2EE7E">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张</w:t>
            </w:r>
          </w:p>
        </w:tc>
      </w:tr>
      <w:tr w14:paraId="1767E8CF">
        <w:tblPrEx>
          <w:tblCellMar>
            <w:top w:w="0" w:type="dxa"/>
            <w:left w:w="108" w:type="dxa"/>
            <w:bottom w:w="0" w:type="dxa"/>
            <w:right w:w="108" w:type="dxa"/>
          </w:tblCellMar>
        </w:tblPrEx>
        <w:trPr>
          <w:trHeight w:val="561" w:hRule="atLeast"/>
          <w:jc w:val="center"/>
        </w:trPr>
        <w:tc>
          <w:tcPr>
            <w:tcW w:w="728" w:type="dxa"/>
            <w:tcBorders>
              <w:top w:val="single" w:color="000000" w:sz="4" w:space="0"/>
              <w:left w:val="single" w:color="000000" w:sz="4" w:space="0"/>
              <w:bottom w:val="single" w:color="000000" w:sz="4" w:space="0"/>
              <w:right w:val="single" w:color="000000" w:sz="4" w:space="0"/>
            </w:tcBorders>
            <w:noWrap/>
            <w:vAlign w:val="center"/>
          </w:tcPr>
          <w:p w14:paraId="76156A7F">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w:t>
            </w:r>
          </w:p>
        </w:tc>
        <w:tc>
          <w:tcPr>
            <w:tcW w:w="1244" w:type="dxa"/>
            <w:tcBorders>
              <w:top w:val="single" w:color="000000" w:sz="4" w:space="0"/>
              <w:left w:val="single" w:color="000000" w:sz="4" w:space="0"/>
              <w:bottom w:val="single" w:color="000000" w:sz="4" w:space="0"/>
              <w:right w:val="single" w:color="000000" w:sz="4" w:space="0"/>
            </w:tcBorders>
            <w:vAlign w:val="center"/>
          </w:tcPr>
          <w:p w14:paraId="1D2C4BD3">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教师电源</w:t>
            </w:r>
          </w:p>
        </w:tc>
        <w:tc>
          <w:tcPr>
            <w:tcW w:w="5797" w:type="dxa"/>
            <w:tcBorders>
              <w:top w:val="single" w:color="000000" w:sz="4" w:space="0"/>
              <w:left w:val="single" w:color="000000" w:sz="4" w:space="0"/>
              <w:bottom w:val="single" w:color="000000" w:sz="4" w:space="0"/>
              <w:right w:val="single" w:color="000000" w:sz="4" w:space="0"/>
            </w:tcBorders>
            <w:vAlign w:val="center"/>
          </w:tcPr>
          <w:p w14:paraId="353DCB8A">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教师电源包含电源模块和电源箱模块；</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一、电源模块：</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规格：≥310mm×350mm；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采用内嵌式10.1英寸全触摸液晶显示（偏差±5%），智能一体化界面，线路采用高速贴片机焊接，可人性化设置开机验证方式和定时关机时间，教师与学生数据传输采用有线通信，教师电源配备漏电保护，电源参数如下：</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1、教师交流：支持通过触摸显示屏操作0-30V交流电压输出，电压分辨率为1V，额定电流≥4A，具备过载自动保护；</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2、教师直流：支持通过触摸显示屏操作0-30V交流电压输出，电压分辨率为0.1V，额定电流≥4A，具备过载自动保护；</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3、学生交流：教师电源支持分组控制学生交流电源，控制范围为0-30V，分辨率为1V；</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4、学生直流：教师电源支持分组控制学生直流电源，控制范围为0-30V，分辨率为0.1V；</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5、锁定功能：教师端支持远程锁定学生电源低压交、直流电压；</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6、直流高压：输出240V或300V的高压，输出电流为100mA,具备过载保护功能；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7、直流大电流：由微处理器精确控制20秒自动关断，可达到延时零误差；</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8、教师自用两路220V多功能插座输出，额定电流≥5A。</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二、电源箱模块：</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1、规格：≥285mm×240mm×120mm；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2、材质：外壳采用≥1.2mm厚镀锌钢板，表层经酸洗、磷化、环氧树脂粉末喷涂等工艺加工生产，具有耐酸碱，防腐蚀的特点；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3、内置额定容量不小于315VA变压器，12V散热风扇，采用电路控制板对电源输出高压、低压、大电流等子单元进行智能控制，能够通过接插件与教师电源抽屉连接，完成教师电源与学生电源间的信号传输。</w:t>
            </w:r>
          </w:p>
        </w:tc>
        <w:tc>
          <w:tcPr>
            <w:tcW w:w="626" w:type="dxa"/>
            <w:tcBorders>
              <w:top w:val="single" w:color="000000" w:sz="4" w:space="0"/>
              <w:left w:val="single" w:color="000000" w:sz="4" w:space="0"/>
              <w:bottom w:val="single" w:color="000000" w:sz="4" w:space="0"/>
              <w:right w:val="single" w:color="000000" w:sz="4" w:space="0"/>
            </w:tcBorders>
            <w:vAlign w:val="center"/>
          </w:tcPr>
          <w:p w14:paraId="59148F65">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797" w:type="dxa"/>
            <w:tcBorders>
              <w:top w:val="single" w:color="000000" w:sz="4" w:space="0"/>
              <w:left w:val="single" w:color="000000" w:sz="4" w:space="0"/>
              <w:bottom w:val="single" w:color="000000" w:sz="4" w:space="0"/>
              <w:right w:val="single" w:color="000000" w:sz="4" w:space="0"/>
            </w:tcBorders>
            <w:vAlign w:val="center"/>
          </w:tcPr>
          <w:p w14:paraId="614B8701">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r>
      <w:tr w14:paraId="72CDC790">
        <w:tblPrEx>
          <w:tblCellMar>
            <w:top w:w="0" w:type="dxa"/>
            <w:left w:w="108" w:type="dxa"/>
            <w:bottom w:w="0" w:type="dxa"/>
            <w:right w:w="108" w:type="dxa"/>
          </w:tblCellMar>
        </w:tblPrEx>
        <w:trPr>
          <w:trHeight w:val="561" w:hRule="atLeast"/>
          <w:jc w:val="center"/>
        </w:trPr>
        <w:tc>
          <w:tcPr>
            <w:tcW w:w="728" w:type="dxa"/>
            <w:tcBorders>
              <w:top w:val="single" w:color="000000" w:sz="4" w:space="0"/>
              <w:left w:val="single" w:color="000000" w:sz="4" w:space="0"/>
              <w:bottom w:val="single" w:color="000000" w:sz="4" w:space="0"/>
              <w:right w:val="single" w:color="000000" w:sz="4" w:space="0"/>
            </w:tcBorders>
            <w:noWrap/>
            <w:vAlign w:val="center"/>
          </w:tcPr>
          <w:p w14:paraId="220BDA69">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w:t>
            </w:r>
          </w:p>
        </w:tc>
        <w:tc>
          <w:tcPr>
            <w:tcW w:w="1244" w:type="dxa"/>
            <w:tcBorders>
              <w:top w:val="single" w:color="000000" w:sz="4" w:space="0"/>
              <w:left w:val="single" w:color="000000" w:sz="4" w:space="0"/>
              <w:bottom w:val="single" w:color="000000" w:sz="4" w:space="0"/>
              <w:right w:val="single" w:color="000000" w:sz="4" w:space="0"/>
            </w:tcBorders>
            <w:vAlign w:val="center"/>
          </w:tcPr>
          <w:p w14:paraId="4347A110">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智能吊装控制系统</w:t>
            </w:r>
          </w:p>
        </w:tc>
        <w:tc>
          <w:tcPr>
            <w:tcW w:w="5797" w:type="dxa"/>
            <w:tcBorders>
              <w:top w:val="single" w:color="000000" w:sz="4" w:space="0"/>
              <w:left w:val="single" w:color="000000" w:sz="4" w:space="0"/>
              <w:bottom w:val="single" w:color="000000" w:sz="4" w:space="0"/>
              <w:right w:val="single" w:color="000000" w:sz="4" w:space="0"/>
            </w:tcBorders>
            <w:vAlign w:val="center"/>
          </w:tcPr>
          <w:p w14:paraId="58F06689">
            <w:pPr>
              <w:widowControl/>
              <w:numPr>
                <w:ilvl w:val="0"/>
                <w:numId w:val="8"/>
              </w:numPr>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电源操作控制系统：可实现远程分组控制学生高低压电源开启与关闭；可输出交流电范围0-30V，分辨率1V设置及实时显示，可输出直流电范围0-30V，分辨率0.1V设置及实时显示，带学生电压锁定功能。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2.照明系统：可实现远程控制照明系统开启与关闭。可单个或全组进行控制，有全选及反选功能，可实现根据周围环境手动调节亮度，实时显示照明工作状态。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3.升降控制系统：可实现控制电源升起或下降。可单个或全组进行控制，有全选及反选功能。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4.系统设置：</w:t>
            </w:r>
          </w:p>
          <w:p w14:paraId="0D5F24E1">
            <w:pPr>
              <w:widowControl/>
              <w:numPr>
                <w:ilvl w:val="0"/>
                <w:numId w:val="0"/>
              </w:numPr>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 xml:space="preserve">（1）开机方式: ①直接开机； ②密码验证； </w:t>
            </w:r>
          </w:p>
          <w:p w14:paraId="0A0BFE85">
            <w:pPr>
              <w:widowControl/>
              <w:numPr>
                <w:ilvl w:val="0"/>
                <w:numId w:val="0"/>
              </w:numPr>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（2）定时关机：0-240分钟时段设置；</w:t>
            </w:r>
          </w:p>
          <w:p w14:paraId="528BF390">
            <w:pPr>
              <w:widowControl/>
              <w:numPr>
                <w:ilvl w:val="0"/>
                <w:numId w:val="0"/>
              </w:numPr>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（3）教室编号设置；</w:t>
            </w:r>
          </w:p>
          <w:p w14:paraId="2B779910">
            <w:pPr>
              <w:widowControl/>
              <w:numPr>
                <w:ilvl w:val="0"/>
                <w:numId w:val="0"/>
              </w:numPr>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（4）自动分组功能；</w:t>
            </w:r>
          </w:p>
          <w:p w14:paraId="48DC5441">
            <w:pPr>
              <w:widowControl/>
              <w:numPr>
                <w:ilvl w:val="0"/>
                <w:numId w:val="0"/>
              </w:numPr>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（5）更改密码功能。</w:t>
            </w:r>
          </w:p>
        </w:tc>
        <w:tc>
          <w:tcPr>
            <w:tcW w:w="626" w:type="dxa"/>
            <w:tcBorders>
              <w:top w:val="single" w:color="000000" w:sz="4" w:space="0"/>
              <w:left w:val="single" w:color="000000" w:sz="4" w:space="0"/>
              <w:bottom w:val="single" w:color="000000" w:sz="4" w:space="0"/>
              <w:right w:val="single" w:color="000000" w:sz="4" w:space="0"/>
            </w:tcBorders>
            <w:vAlign w:val="center"/>
          </w:tcPr>
          <w:p w14:paraId="0C442C80">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797" w:type="dxa"/>
            <w:tcBorders>
              <w:top w:val="single" w:color="000000" w:sz="4" w:space="0"/>
              <w:left w:val="single" w:color="000000" w:sz="4" w:space="0"/>
              <w:bottom w:val="single" w:color="000000" w:sz="4" w:space="0"/>
              <w:right w:val="single" w:color="000000" w:sz="4" w:space="0"/>
            </w:tcBorders>
            <w:vAlign w:val="center"/>
          </w:tcPr>
          <w:p w14:paraId="5D383196">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r>
      <w:tr w14:paraId="4630A70F">
        <w:tblPrEx>
          <w:tblCellMar>
            <w:top w:w="0" w:type="dxa"/>
            <w:left w:w="108" w:type="dxa"/>
            <w:bottom w:w="0" w:type="dxa"/>
            <w:right w:w="108" w:type="dxa"/>
          </w:tblCellMar>
        </w:tblPrEx>
        <w:trPr>
          <w:trHeight w:val="561" w:hRule="atLeast"/>
          <w:jc w:val="center"/>
        </w:trPr>
        <w:tc>
          <w:tcPr>
            <w:tcW w:w="9192" w:type="dxa"/>
            <w:gridSpan w:val="5"/>
            <w:tcBorders>
              <w:top w:val="single" w:color="000000" w:sz="4" w:space="0"/>
              <w:left w:val="single" w:color="000000" w:sz="4" w:space="0"/>
              <w:bottom w:val="single" w:color="000000" w:sz="4" w:space="0"/>
              <w:right w:val="single" w:color="000000" w:sz="4" w:space="0"/>
            </w:tcBorders>
            <w:noWrap/>
            <w:vAlign w:val="center"/>
          </w:tcPr>
          <w:p w14:paraId="08153C29">
            <w:pPr>
              <w:rPr>
                <w:rFonts w:hint="eastAsia" w:ascii="宋体" w:hAnsi="宋体" w:eastAsia="宋体" w:cs="宋体"/>
                <w:b/>
                <w:bCs/>
                <w:color w:val="auto"/>
                <w:sz w:val="21"/>
                <w:szCs w:val="21"/>
              </w:rPr>
            </w:pPr>
            <w:r>
              <w:rPr>
                <w:rFonts w:hint="eastAsia" w:ascii="宋体" w:hAnsi="宋体" w:eastAsia="宋体" w:cs="宋体"/>
                <w:b/>
                <w:bCs/>
                <w:color w:val="auto"/>
                <w:kern w:val="0"/>
                <w:sz w:val="21"/>
                <w:szCs w:val="21"/>
                <w:lang w:bidi="ar"/>
              </w:rPr>
              <w:t>二、学生实验学习区</w:t>
            </w:r>
          </w:p>
        </w:tc>
      </w:tr>
      <w:tr w14:paraId="3F3229E7">
        <w:tblPrEx>
          <w:tblCellMar>
            <w:top w:w="0" w:type="dxa"/>
            <w:left w:w="108" w:type="dxa"/>
            <w:bottom w:w="0" w:type="dxa"/>
            <w:right w:w="108" w:type="dxa"/>
          </w:tblCellMar>
        </w:tblPrEx>
        <w:trPr>
          <w:trHeight w:val="561" w:hRule="atLeast"/>
          <w:jc w:val="center"/>
        </w:trPr>
        <w:tc>
          <w:tcPr>
            <w:tcW w:w="728" w:type="dxa"/>
            <w:tcBorders>
              <w:top w:val="single" w:color="000000" w:sz="4" w:space="0"/>
              <w:left w:val="single" w:color="000000" w:sz="4" w:space="0"/>
              <w:bottom w:val="single" w:color="000000" w:sz="4" w:space="0"/>
              <w:right w:val="single" w:color="000000" w:sz="4" w:space="0"/>
            </w:tcBorders>
            <w:vAlign w:val="center"/>
          </w:tcPr>
          <w:p w14:paraId="469BFB91">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1244" w:type="dxa"/>
            <w:tcBorders>
              <w:top w:val="single" w:color="000000" w:sz="4" w:space="0"/>
              <w:left w:val="single" w:color="000000" w:sz="4" w:space="0"/>
              <w:bottom w:val="single" w:color="000000" w:sz="4" w:space="0"/>
              <w:right w:val="single" w:color="000000" w:sz="4" w:space="0"/>
            </w:tcBorders>
            <w:vAlign w:val="center"/>
          </w:tcPr>
          <w:p w14:paraId="4DE1E4BA">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实验桌</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（学生）</w:t>
            </w:r>
          </w:p>
        </w:tc>
        <w:tc>
          <w:tcPr>
            <w:tcW w:w="5797" w:type="dxa"/>
            <w:tcBorders>
              <w:top w:val="single" w:color="000000" w:sz="4" w:space="0"/>
              <w:left w:val="single" w:color="000000" w:sz="4" w:space="0"/>
              <w:bottom w:val="single" w:color="000000" w:sz="4" w:space="0"/>
              <w:right w:val="single" w:color="000000" w:sz="4" w:space="0"/>
            </w:tcBorders>
            <w:vAlign w:val="center"/>
          </w:tcPr>
          <w:p w14:paraId="6CA6FC90">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规格：≥1200mm（</w:t>
            </w:r>
            <w:r>
              <w:rPr>
                <w:rFonts w:hint="eastAsia" w:ascii="宋体" w:hAnsi="宋体" w:eastAsia="宋体" w:cs="宋体"/>
                <w:color w:val="auto"/>
                <w:kern w:val="0"/>
                <w:sz w:val="21"/>
                <w:szCs w:val="21"/>
                <w:lang w:eastAsia="zh-CN" w:bidi="ar"/>
              </w:rPr>
              <w:t>长</w:t>
            </w:r>
            <w:r>
              <w:rPr>
                <w:rFonts w:hint="eastAsia" w:ascii="宋体" w:hAnsi="宋体" w:eastAsia="宋体" w:cs="宋体"/>
                <w:color w:val="auto"/>
                <w:kern w:val="0"/>
                <w:sz w:val="21"/>
                <w:szCs w:val="21"/>
                <w:lang w:bidi="ar"/>
              </w:rPr>
              <w:t>）×600mm（</w:t>
            </w:r>
            <w:r>
              <w:rPr>
                <w:rFonts w:hint="eastAsia" w:ascii="宋体" w:hAnsi="宋体" w:eastAsia="宋体" w:cs="宋体"/>
                <w:color w:val="auto"/>
                <w:kern w:val="0"/>
                <w:sz w:val="21"/>
                <w:szCs w:val="21"/>
                <w:lang w:eastAsia="zh-CN" w:bidi="ar"/>
              </w:rPr>
              <w:t>宽</w:t>
            </w:r>
            <w:r>
              <w:rPr>
                <w:rFonts w:hint="eastAsia" w:ascii="宋体" w:hAnsi="宋体" w:eastAsia="宋体" w:cs="宋体"/>
                <w:color w:val="auto"/>
                <w:kern w:val="0"/>
                <w:sz w:val="21"/>
                <w:szCs w:val="21"/>
                <w:lang w:bidi="ar"/>
              </w:rPr>
              <w:t>）×780mm（</w:t>
            </w:r>
            <w:r>
              <w:rPr>
                <w:rFonts w:hint="eastAsia" w:ascii="宋体" w:hAnsi="宋体" w:eastAsia="宋体" w:cs="宋体"/>
                <w:color w:val="auto"/>
                <w:kern w:val="0"/>
                <w:sz w:val="21"/>
                <w:szCs w:val="21"/>
                <w:lang w:eastAsia="zh-CN" w:bidi="ar"/>
              </w:rPr>
              <w:t>高</w:t>
            </w: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台面：采用厚度≥12.7mm实芯理化板，整体为高温高压成型的均质实芯结构，耐酸碱、耐高温、耐磨、防潮；台面表层采用六边形蜂窝状压纹设计，单个六边形边长≥2.5mm，压纹深度0.2mm-0.3mm，整体压纹均匀一致，一体热压成型，具备防滑、耐磨功能；台面四周边缘经圆弧倒角处理，边角圆滑过渡，无毛刺。</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工艺：桌体采用ABS塑料，一体化注塑成型,具有耐化学腐蚀、耐热、电绝缘性、耐候性等性能。外表面和内表面可触及的隐蔽处，均无锐利的棱角、毛刺；五金配件露出的尖锐边角以及所有接触人体的边棱均为倒圆角。</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3.桌体结构：塑钢结构。</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4.桌体规格：≥1130mm（</w:t>
            </w:r>
            <w:r>
              <w:rPr>
                <w:rFonts w:hint="eastAsia" w:ascii="宋体" w:hAnsi="宋体" w:eastAsia="宋体" w:cs="宋体"/>
                <w:color w:val="auto"/>
                <w:kern w:val="0"/>
                <w:sz w:val="21"/>
                <w:szCs w:val="21"/>
                <w:lang w:eastAsia="zh-CN" w:bidi="ar"/>
              </w:rPr>
              <w:t>长</w:t>
            </w:r>
            <w:r>
              <w:rPr>
                <w:rFonts w:hint="eastAsia" w:ascii="宋体" w:hAnsi="宋体" w:eastAsia="宋体" w:cs="宋体"/>
                <w:color w:val="auto"/>
                <w:kern w:val="0"/>
                <w:sz w:val="21"/>
                <w:szCs w:val="21"/>
                <w:lang w:bidi="ar"/>
              </w:rPr>
              <w:t>）×555mm（</w:t>
            </w:r>
            <w:r>
              <w:rPr>
                <w:rFonts w:hint="eastAsia" w:ascii="宋体" w:hAnsi="宋体" w:eastAsia="宋体" w:cs="宋体"/>
                <w:color w:val="auto"/>
                <w:kern w:val="0"/>
                <w:sz w:val="21"/>
                <w:szCs w:val="21"/>
                <w:lang w:eastAsia="zh-CN" w:bidi="ar"/>
              </w:rPr>
              <w:t>宽</w:t>
            </w:r>
            <w:r>
              <w:rPr>
                <w:rFonts w:hint="eastAsia" w:ascii="宋体" w:hAnsi="宋体" w:eastAsia="宋体" w:cs="宋体"/>
                <w:color w:val="auto"/>
                <w:kern w:val="0"/>
                <w:sz w:val="21"/>
                <w:szCs w:val="21"/>
                <w:lang w:bidi="ar"/>
              </w:rPr>
              <w:t>）×735mm（</w:t>
            </w:r>
            <w:r>
              <w:rPr>
                <w:rFonts w:hint="eastAsia" w:ascii="宋体" w:hAnsi="宋体" w:eastAsia="宋体" w:cs="宋体"/>
                <w:color w:val="auto"/>
                <w:kern w:val="0"/>
                <w:sz w:val="21"/>
                <w:szCs w:val="21"/>
                <w:lang w:eastAsia="zh-CN" w:bidi="ar"/>
              </w:rPr>
              <w:t>高</w:t>
            </w:r>
            <w:r>
              <w:rPr>
                <w:rFonts w:hint="eastAsia" w:ascii="宋体" w:hAnsi="宋体" w:eastAsia="宋体" w:cs="宋体"/>
                <w:color w:val="auto"/>
                <w:kern w:val="0"/>
                <w:sz w:val="21"/>
                <w:szCs w:val="21"/>
                <w:lang w:bidi="ar"/>
              </w:rPr>
              <w:t>）,主体承重结构由桌体两侧规格为≥370mm×735mm的铁侧板与不少于2根规格为≥20mm×50mm×1150mm的铝合金型材支撑梁连接而成，承重设计需在减轻桌体整体重量的同时最大限度的保证桌体的最大承重性。桌身背面由背板组成，背板设置加强筋结构，通过五金件与铝合金支撑梁连接。桌身前部满足腿部延伸空间，符合人体工程学标准。桌身前立板上部与抽屉架连接，设有规格≥380mm×200mm×110mm的2个翻盖式书包斗，具有隐蔽性及防掉落功能。书包斗中间为抽屉斗。</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前立板下部设有规格≥300mm×470mm×3mm仓门，存储空间大，防潮湿性能优越。面板中部有管线检修口，方便管线的日常维修。</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5.可调脚：采用ABS与合金材质组成，高≥30mm，减震防滑。可延长设备的使用期限。</w:t>
            </w:r>
          </w:p>
        </w:tc>
        <w:tc>
          <w:tcPr>
            <w:tcW w:w="626" w:type="dxa"/>
            <w:tcBorders>
              <w:top w:val="single" w:color="000000" w:sz="4" w:space="0"/>
              <w:left w:val="single" w:color="000000" w:sz="4" w:space="0"/>
              <w:bottom w:val="single" w:color="000000" w:sz="4" w:space="0"/>
              <w:right w:val="single" w:color="000000" w:sz="4" w:space="0"/>
            </w:tcBorders>
            <w:vAlign w:val="center"/>
          </w:tcPr>
          <w:p w14:paraId="15E7F3DB">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28</w:t>
            </w:r>
          </w:p>
        </w:tc>
        <w:tc>
          <w:tcPr>
            <w:tcW w:w="797" w:type="dxa"/>
            <w:tcBorders>
              <w:top w:val="single" w:color="000000" w:sz="4" w:space="0"/>
              <w:left w:val="single" w:color="000000" w:sz="4" w:space="0"/>
              <w:bottom w:val="single" w:color="000000" w:sz="4" w:space="0"/>
              <w:right w:val="single" w:color="000000" w:sz="4" w:space="0"/>
            </w:tcBorders>
            <w:vAlign w:val="center"/>
          </w:tcPr>
          <w:p w14:paraId="082A6EF9">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张</w:t>
            </w:r>
          </w:p>
        </w:tc>
      </w:tr>
      <w:tr w14:paraId="3A30A121">
        <w:tblPrEx>
          <w:tblCellMar>
            <w:top w:w="0" w:type="dxa"/>
            <w:left w:w="108" w:type="dxa"/>
            <w:bottom w:w="0" w:type="dxa"/>
            <w:right w:w="108" w:type="dxa"/>
          </w:tblCellMar>
        </w:tblPrEx>
        <w:trPr>
          <w:trHeight w:val="561" w:hRule="atLeast"/>
          <w:jc w:val="center"/>
        </w:trPr>
        <w:tc>
          <w:tcPr>
            <w:tcW w:w="728" w:type="dxa"/>
            <w:tcBorders>
              <w:top w:val="single" w:color="000000" w:sz="4" w:space="0"/>
              <w:left w:val="single" w:color="000000" w:sz="4" w:space="0"/>
              <w:bottom w:val="single" w:color="000000" w:sz="4" w:space="0"/>
              <w:right w:val="single" w:color="000000" w:sz="4" w:space="0"/>
            </w:tcBorders>
            <w:vAlign w:val="center"/>
          </w:tcPr>
          <w:p w14:paraId="498116CB">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w:t>
            </w:r>
          </w:p>
        </w:tc>
        <w:tc>
          <w:tcPr>
            <w:tcW w:w="1244" w:type="dxa"/>
            <w:tcBorders>
              <w:top w:val="single" w:color="000000" w:sz="4" w:space="0"/>
              <w:left w:val="single" w:color="000000" w:sz="4" w:space="0"/>
              <w:bottom w:val="single" w:color="000000" w:sz="4" w:space="0"/>
              <w:right w:val="single" w:color="000000" w:sz="4" w:space="0"/>
            </w:tcBorders>
            <w:vAlign w:val="center"/>
          </w:tcPr>
          <w:p w14:paraId="3038F57B">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学生凳</w:t>
            </w:r>
          </w:p>
        </w:tc>
        <w:tc>
          <w:tcPr>
            <w:tcW w:w="5797" w:type="dxa"/>
            <w:tcBorders>
              <w:top w:val="single" w:color="000000" w:sz="4" w:space="0"/>
              <w:left w:val="single" w:color="000000" w:sz="4" w:space="0"/>
              <w:bottom w:val="single" w:color="000000" w:sz="4" w:space="0"/>
              <w:right w:val="single" w:color="000000" w:sz="4" w:space="0"/>
            </w:tcBorders>
            <w:vAlign w:val="center"/>
          </w:tcPr>
          <w:p w14:paraId="2F1E0133">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1、规格：≥φ300mm×440mm；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2、凳面：采用ABS环保材质一体注塑成型，防摔耐磨。人体工程学设计，中间有内弧成型，深度≥8mm；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3、升降式螺杆：直径≥20mm螺纹碳钢，配合高强度钢制托盘于凳面底部固定；</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支持调节凳子高度，升降≥50mm；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4、钢脚架：由壁厚≥1.2mm椭圆形钢管及壁厚≥1.5mm圆钢管焊接组成，表面经高温烤漆处理；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5、脚垫：塑胶材质，采用PP加纤维制实心倒勾式一体注塑成型，防水防滑。</w:t>
            </w:r>
          </w:p>
        </w:tc>
        <w:tc>
          <w:tcPr>
            <w:tcW w:w="626" w:type="dxa"/>
            <w:tcBorders>
              <w:top w:val="single" w:color="000000" w:sz="4" w:space="0"/>
              <w:left w:val="single" w:color="000000" w:sz="4" w:space="0"/>
              <w:bottom w:val="single" w:color="000000" w:sz="4" w:space="0"/>
              <w:right w:val="single" w:color="000000" w:sz="4" w:space="0"/>
            </w:tcBorders>
            <w:vAlign w:val="center"/>
          </w:tcPr>
          <w:p w14:paraId="6DA3057C">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56</w:t>
            </w:r>
          </w:p>
        </w:tc>
        <w:tc>
          <w:tcPr>
            <w:tcW w:w="797" w:type="dxa"/>
            <w:tcBorders>
              <w:top w:val="single" w:color="000000" w:sz="4" w:space="0"/>
              <w:left w:val="single" w:color="000000" w:sz="4" w:space="0"/>
              <w:bottom w:val="single" w:color="000000" w:sz="4" w:space="0"/>
              <w:right w:val="single" w:color="000000" w:sz="4" w:space="0"/>
            </w:tcBorders>
            <w:vAlign w:val="center"/>
          </w:tcPr>
          <w:p w14:paraId="2C52022B">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个</w:t>
            </w:r>
          </w:p>
        </w:tc>
      </w:tr>
      <w:tr w14:paraId="2AD03B27">
        <w:tblPrEx>
          <w:tblCellMar>
            <w:top w:w="0" w:type="dxa"/>
            <w:left w:w="108" w:type="dxa"/>
            <w:bottom w:w="0" w:type="dxa"/>
            <w:right w:w="108" w:type="dxa"/>
          </w:tblCellMar>
        </w:tblPrEx>
        <w:trPr>
          <w:trHeight w:val="561" w:hRule="atLeast"/>
          <w:jc w:val="center"/>
        </w:trPr>
        <w:tc>
          <w:tcPr>
            <w:tcW w:w="728" w:type="dxa"/>
            <w:tcBorders>
              <w:top w:val="single" w:color="000000" w:sz="4" w:space="0"/>
              <w:left w:val="single" w:color="000000" w:sz="4" w:space="0"/>
              <w:bottom w:val="single" w:color="000000" w:sz="4" w:space="0"/>
              <w:right w:val="single" w:color="000000" w:sz="4" w:space="0"/>
            </w:tcBorders>
            <w:vAlign w:val="center"/>
          </w:tcPr>
          <w:p w14:paraId="19B7EF14">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w:t>
            </w:r>
          </w:p>
        </w:tc>
        <w:tc>
          <w:tcPr>
            <w:tcW w:w="1244" w:type="dxa"/>
            <w:tcBorders>
              <w:top w:val="single" w:color="000000" w:sz="4" w:space="0"/>
              <w:left w:val="single" w:color="000000" w:sz="4" w:space="0"/>
              <w:bottom w:val="single" w:color="000000" w:sz="4" w:space="0"/>
              <w:right w:val="single" w:color="000000" w:sz="4" w:space="0"/>
            </w:tcBorders>
            <w:vAlign w:val="center"/>
          </w:tcPr>
          <w:p w14:paraId="4B30F03D">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升降电源</w:t>
            </w:r>
          </w:p>
        </w:tc>
        <w:tc>
          <w:tcPr>
            <w:tcW w:w="5797" w:type="dxa"/>
            <w:tcBorders>
              <w:top w:val="single" w:color="000000" w:sz="4" w:space="0"/>
              <w:left w:val="single" w:color="000000" w:sz="4" w:space="0"/>
              <w:bottom w:val="single" w:color="000000" w:sz="4" w:space="0"/>
              <w:right w:val="single" w:color="000000" w:sz="4" w:space="0"/>
            </w:tcBorders>
            <w:vAlign w:val="center"/>
          </w:tcPr>
          <w:p w14:paraId="2E83041C">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 xml:space="preserve">由电源转换及动力驱动模块、电源升降模块、照明收纳模块、电源操作及控制模块组成；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一、电源转换及动力驱动模块：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1、外壳规格：≥325mm（</w:t>
            </w:r>
            <w:r>
              <w:rPr>
                <w:rFonts w:hint="eastAsia" w:ascii="宋体" w:hAnsi="宋体" w:eastAsia="宋体" w:cs="宋体"/>
                <w:color w:val="auto"/>
                <w:kern w:val="0"/>
                <w:sz w:val="21"/>
                <w:szCs w:val="21"/>
                <w:lang w:eastAsia="zh-CN" w:bidi="ar"/>
              </w:rPr>
              <w:t>长</w:t>
            </w:r>
            <w:r>
              <w:rPr>
                <w:rFonts w:hint="eastAsia" w:ascii="宋体" w:hAnsi="宋体" w:eastAsia="宋体" w:cs="宋体"/>
                <w:color w:val="auto"/>
                <w:kern w:val="0"/>
                <w:sz w:val="21"/>
                <w:szCs w:val="21"/>
                <w:lang w:bidi="ar"/>
              </w:rPr>
              <w:t>）×110mm（</w:t>
            </w:r>
            <w:r>
              <w:rPr>
                <w:rFonts w:hint="eastAsia" w:ascii="宋体" w:hAnsi="宋体" w:eastAsia="宋体" w:cs="宋体"/>
                <w:color w:val="auto"/>
                <w:kern w:val="0"/>
                <w:sz w:val="21"/>
                <w:szCs w:val="21"/>
                <w:lang w:eastAsia="zh-CN" w:bidi="ar"/>
              </w:rPr>
              <w:t>宽</w:t>
            </w:r>
            <w:r>
              <w:rPr>
                <w:rFonts w:hint="eastAsia" w:ascii="宋体" w:hAnsi="宋体" w:eastAsia="宋体" w:cs="宋体"/>
                <w:color w:val="auto"/>
                <w:kern w:val="0"/>
                <w:sz w:val="21"/>
                <w:szCs w:val="21"/>
                <w:lang w:bidi="ar"/>
              </w:rPr>
              <w:t>）×275mm（</w:t>
            </w:r>
            <w:r>
              <w:rPr>
                <w:rFonts w:hint="eastAsia" w:ascii="宋体" w:hAnsi="宋体" w:eastAsia="宋体" w:cs="宋体"/>
                <w:color w:val="auto"/>
                <w:kern w:val="0"/>
                <w:sz w:val="21"/>
                <w:szCs w:val="21"/>
                <w:lang w:eastAsia="zh-CN" w:bidi="ar"/>
              </w:rPr>
              <w:t>高</w:t>
            </w: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2、外壳工艺材质：由ABS塑料一体注塑成型，具备抗化学腐蚀、耐热性、电绝缘性和耐候性；</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3、内部构成：由开关电源和减速电机构成；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3.1开关电源：输出电压DC≥24V，功率≥100W，为电机及低压电源供电，具备过载、过压、短路保护功能。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3.2减速电机：采用额定工作电压为12V-24V直流减速电机，用于驱动升降机构。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二、电源升降模块：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1、外壳规格：≥440mm（</w:t>
            </w:r>
            <w:r>
              <w:rPr>
                <w:rFonts w:hint="eastAsia" w:ascii="宋体" w:hAnsi="宋体" w:eastAsia="宋体" w:cs="宋体"/>
                <w:color w:val="auto"/>
                <w:kern w:val="0"/>
                <w:sz w:val="21"/>
                <w:szCs w:val="21"/>
                <w:lang w:eastAsia="zh-CN" w:bidi="ar"/>
              </w:rPr>
              <w:t>长</w:t>
            </w:r>
            <w:r>
              <w:rPr>
                <w:rFonts w:hint="eastAsia" w:ascii="宋体" w:hAnsi="宋体" w:eastAsia="宋体" w:cs="宋体"/>
                <w:color w:val="auto"/>
                <w:kern w:val="0"/>
                <w:sz w:val="21"/>
                <w:szCs w:val="21"/>
                <w:lang w:bidi="ar"/>
              </w:rPr>
              <w:t>）×155mm（</w:t>
            </w:r>
            <w:r>
              <w:rPr>
                <w:rFonts w:hint="eastAsia" w:ascii="宋体" w:hAnsi="宋体" w:eastAsia="宋体" w:cs="宋体"/>
                <w:color w:val="auto"/>
                <w:kern w:val="0"/>
                <w:sz w:val="21"/>
                <w:szCs w:val="21"/>
                <w:lang w:eastAsia="zh-CN" w:bidi="ar"/>
              </w:rPr>
              <w:t>宽</w:t>
            </w:r>
            <w:r>
              <w:rPr>
                <w:rFonts w:hint="eastAsia" w:ascii="宋体" w:hAnsi="宋体" w:eastAsia="宋体" w:cs="宋体"/>
                <w:color w:val="auto"/>
                <w:kern w:val="0"/>
                <w:sz w:val="21"/>
                <w:szCs w:val="21"/>
                <w:lang w:bidi="ar"/>
              </w:rPr>
              <w:t>）×390mm（</w:t>
            </w:r>
            <w:r>
              <w:rPr>
                <w:rFonts w:hint="eastAsia" w:ascii="宋体" w:hAnsi="宋体" w:eastAsia="宋体" w:cs="宋体"/>
                <w:color w:val="auto"/>
                <w:kern w:val="0"/>
                <w:sz w:val="21"/>
                <w:szCs w:val="21"/>
                <w:lang w:eastAsia="zh-CN" w:bidi="ar"/>
              </w:rPr>
              <w:t>高</w:t>
            </w: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2、工艺材质：由≥1.5mm厚镀锌板与ABS塑料组成，金属部分表面经环氧树脂粉末喷涂并高温固化处理；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3、升降范围：以桌面为基准，支持垂直升降，行程调节范围为1200mm～1800mm；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4、升降方式：采用自动升降系统，电机电流实时监测，具备堵转保护与运行状态反馈；</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5、布线结构：旋转线槽采用轮毂结构设计，在旋转过程中避免跳线并保护电缆完整性；</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6、通信电缆：采用9芯低烟无卤阻燃型复合通信电缆，用于连接电源操作及控制模块。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三、照明收纳模块：</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1、外壳规格：≥φ385mm×145mm（H）；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2、外壳材质：壳体采用ABS塑料一体注塑成型，具备抗化学腐蚀、耐热性、电绝缘性和耐候性；</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3、光源参数：采用铝基板高亮度白光LED灯，功率≥40W，照明方式为360°环形发光结构；灯光扩散片为透明亚克力材质，围绕LED灯设置≥60根防眩光格栅条，用于控制眩光。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四、电源操作及控制模块：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1、外壳规格：≥φ225mm×175mm（H）；集成≥2个RJ45网口、≥2个供电USB接口；≥4路220V多功能插座输出；≥1个到位停止触发按键；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2、工艺材质：壳体采用ABS塑料一体注塑成型，结构为圆弧形设计；</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3、控制系统：以32位MCU为核心配合监测控制电路，对整个设备的升降、电源转换进行监测及输出响应控制；</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4、显示界面：选用2.4寸（偏差±5%）触控显示屏，能够实现电流、电压的实时显示以及交/直流电压的输出设置；</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5、交流输出：支持由学生或教师操作输出0-30V电源，分辨率为0.1V。0V-15.0V，额定电流≥3A；15.1V-30.0V，额定电流≥2A，具备过载报警保护功能；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6、直流输出：支持由学生或教师操作输出0-30V电源，分辨率为0.1V。0V-15.0V，额定电流≥3A；15.1V-30.0V，额定电流≥2A，具备过载报警保护功能；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7、锁定功能：当教师端启用锁定功能时，电源设置权限仅限教师端控制，学生端操作无效</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8、插座输出：额定电流≥5A，带安全门；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★9、机械限位：模块底部设置限位式机械到位触发装置，当模块下落至桌面时触发停止信号，控制设备停止下降并启用供电功能。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带★的条款</w:t>
            </w:r>
            <w:r>
              <w:rPr>
                <w:rFonts w:hint="eastAsia" w:ascii="宋体" w:hAnsi="宋体" w:eastAsia="宋体" w:cs="宋体"/>
                <w:color w:val="auto"/>
                <w:kern w:val="0"/>
                <w:sz w:val="21"/>
                <w:szCs w:val="21"/>
                <w:lang w:val="en-US" w:eastAsia="zh-CN" w:bidi="ar"/>
              </w:rPr>
              <w:t>供应商</w:t>
            </w:r>
            <w:r>
              <w:rPr>
                <w:rFonts w:hint="eastAsia" w:ascii="宋体" w:hAnsi="宋体" w:eastAsia="宋体" w:cs="宋体"/>
                <w:color w:val="auto"/>
                <w:kern w:val="0"/>
                <w:sz w:val="21"/>
                <w:szCs w:val="21"/>
                <w:lang w:bidi="ar"/>
              </w:rPr>
              <w:t>须提供符合参数的产品的实物照片予以佐证，并加盖</w:t>
            </w:r>
            <w:r>
              <w:rPr>
                <w:rFonts w:hint="eastAsia" w:ascii="宋体" w:hAnsi="宋体" w:eastAsia="宋体" w:cs="宋体"/>
                <w:color w:val="auto"/>
                <w:kern w:val="0"/>
                <w:sz w:val="21"/>
                <w:szCs w:val="21"/>
                <w:lang w:val="en-US" w:eastAsia="zh-CN" w:bidi="ar"/>
              </w:rPr>
              <w:t>供应商</w:t>
            </w:r>
            <w:r>
              <w:rPr>
                <w:rFonts w:hint="eastAsia" w:ascii="宋体" w:hAnsi="宋体" w:eastAsia="宋体" w:cs="宋体"/>
                <w:color w:val="auto"/>
                <w:kern w:val="0"/>
                <w:sz w:val="21"/>
                <w:szCs w:val="21"/>
                <w:lang w:bidi="ar"/>
              </w:rPr>
              <w:t>公章。</w:t>
            </w:r>
          </w:p>
        </w:tc>
        <w:tc>
          <w:tcPr>
            <w:tcW w:w="626" w:type="dxa"/>
            <w:tcBorders>
              <w:top w:val="single" w:color="000000" w:sz="4" w:space="0"/>
              <w:left w:val="single" w:color="000000" w:sz="4" w:space="0"/>
              <w:bottom w:val="single" w:color="000000" w:sz="4" w:space="0"/>
              <w:right w:val="single" w:color="000000" w:sz="4" w:space="0"/>
            </w:tcBorders>
            <w:vAlign w:val="center"/>
          </w:tcPr>
          <w:p w14:paraId="338DB50D">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w:t>
            </w:r>
          </w:p>
        </w:tc>
        <w:tc>
          <w:tcPr>
            <w:tcW w:w="797" w:type="dxa"/>
            <w:tcBorders>
              <w:top w:val="single" w:color="000000" w:sz="4" w:space="0"/>
              <w:left w:val="single" w:color="000000" w:sz="4" w:space="0"/>
              <w:bottom w:val="single" w:color="000000" w:sz="4" w:space="0"/>
              <w:right w:val="single" w:color="000000" w:sz="4" w:space="0"/>
            </w:tcBorders>
            <w:vAlign w:val="center"/>
          </w:tcPr>
          <w:p w14:paraId="5C11BDD9">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r>
      <w:tr w14:paraId="74E324CF">
        <w:tblPrEx>
          <w:tblCellMar>
            <w:top w:w="0" w:type="dxa"/>
            <w:left w:w="108" w:type="dxa"/>
            <w:bottom w:w="0" w:type="dxa"/>
            <w:right w:w="108" w:type="dxa"/>
          </w:tblCellMar>
        </w:tblPrEx>
        <w:trPr>
          <w:trHeight w:val="561" w:hRule="atLeast"/>
          <w:jc w:val="center"/>
        </w:trPr>
        <w:tc>
          <w:tcPr>
            <w:tcW w:w="9192" w:type="dxa"/>
            <w:gridSpan w:val="5"/>
            <w:tcBorders>
              <w:top w:val="single" w:color="000000" w:sz="4" w:space="0"/>
              <w:left w:val="single" w:color="000000" w:sz="4" w:space="0"/>
              <w:bottom w:val="single" w:color="000000" w:sz="4" w:space="0"/>
              <w:right w:val="single" w:color="000000" w:sz="4" w:space="0"/>
            </w:tcBorders>
            <w:noWrap/>
            <w:vAlign w:val="center"/>
          </w:tcPr>
          <w:p w14:paraId="73137A59">
            <w:pPr>
              <w:rPr>
                <w:rFonts w:hint="eastAsia" w:ascii="宋体" w:hAnsi="宋体" w:eastAsia="宋体" w:cs="宋体"/>
                <w:b/>
                <w:bCs/>
                <w:color w:val="auto"/>
                <w:sz w:val="21"/>
                <w:szCs w:val="21"/>
              </w:rPr>
            </w:pPr>
            <w:r>
              <w:rPr>
                <w:rFonts w:hint="eastAsia" w:ascii="宋体" w:hAnsi="宋体" w:eastAsia="宋体" w:cs="宋体"/>
                <w:b/>
                <w:bCs/>
                <w:color w:val="auto"/>
                <w:kern w:val="0"/>
                <w:sz w:val="21"/>
                <w:szCs w:val="21"/>
                <w:lang w:bidi="ar"/>
              </w:rPr>
              <w:t>三、安装附件部分</w:t>
            </w:r>
          </w:p>
        </w:tc>
      </w:tr>
      <w:tr w14:paraId="475C3B72">
        <w:tblPrEx>
          <w:tblCellMar>
            <w:top w:w="0" w:type="dxa"/>
            <w:left w:w="108" w:type="dxa"/>
            <w:bottom w:w="0" w:type="dxa"/>
            <w:right w:w="108" w:type="dxa"/>
          </w:tblCellMar>
        </w:tblPrEx>
        <w:trPr>
          <w:trHeight w:val="561" w:hRule="atLeast"/>
          <w:jc w:val="center"/>
        </w:trPr>
        <w:tc>
          <w:tcPr>
            <w:tcW w:w="728" w:type="dxa"/>
            <w:tcBorders>
              <w:top w:val="single" w:color="000000" w:sz="4" w:space="0"/>
              <w:left w:val="single" w:color="000000" w:sz="4" w:space="0"/>
              <w:bottom w:val="single" w:color="000000" w:sz="4" w:space="0"/>
              <w:right w:val="single" w:color="000000" w:sz="4" w:space="0"/>
            </w:tcBorders>
            <w:noWrap/>
            <w:vAlign w:val="center"/>
          </w:tcPr>
          <w:p w14:paraId="613F5400">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1244" w:type="dxa"/>
            <w:tcBorders>
              <w:top w:val="single" w:color="000000" w:sz="4" w:space="0"/>
              <w:left w:val="single" w:color="000000" w:sz="4" w:space="0"/>
              <w:bottom w:val="single" w:color="000000" w:sz="4" w:space="0"/>
              <w:right w:val="single" w:color="000000" w:sz="4" w:space="0"/>
            </w:tcBorders>
            <w:vAlign w:val="center"/>
          </w:tcPr>
          <w:p w14:paraId="3D8227EB">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电源布线耗材</w:t>
            </w:r>
          </w:p>
        </w:tc>
        <w:tc>
          <w:tcPr>
            <w:tcW w:w="5797" w:type="dxa"/>
            <w:tcBorders>
              <w:top w:val="single" w:color="000000" w:sz="4" w:space="0"/>
              <w:left w:val="single" w:color="000000" w:sz="4" w:space="0"/>
              <w:bottom w:val="single" w:color="000000" w:sz="4" w:space="0"/>
              <w:right w:val="single" w:color="000000" w:sz="4" w:space="0"/>
            </w:tcBorders>
            <w:vAlign w:val="center"/>
          </w:tcPr>
          <w:p w14:paraId="5F45FA82">
            <w:pPr>
              <w:widowControl/>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电源主线采用4.0mm²BVR铜软线铺设；选用Ф20或Ф25PVC阻燃线管，每桌采用软铜质电线与主线对接取电；选用合适规格的线管包裹取电连接线。</w:t>
            </w:r>
          </w:p>
        </w:tc>
        <w:tc>
          <w:tcPr>
            <w:tcW w:w="626" w:type="dxa"/>
            <w:tcBorders>
              <w:top w:val="single" w:color="000000" w:sz="4" w:space="0"/>
              <w:left w:val="single" w:color="000000" w:sz="4" w:space="0"/>
              <w:bottom w:val="single" w:color="000000" w:sz="4" w:space="0"/>
              <w:right w:val="single" w:color="000000" w:sz="4" w:space="0"/>
            </w:tcBorders>
            <w:vAlign w:val="center"/>
          </w:tcPr>
          <w:p w14:paraId="0CBF88C9">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797" w:type="dxa"/>
            <w:tcBorders>
              <w:top w:val="single" w:color="000000" w:sz="4" w:space="0"/>
              <w:left w:val="single" w:color="000000" w:sz="4" w:space="0"/>
              <w:bottom w:val="single" w:color="000000" w:sz="4" w:space="0"/>
              <w:right w:val="single" w:color="000000" w:sz="4" w:space="0"/>
            </w:tcBorders>
            <w:vAlign w:val="center"/>
          </w:tcPr>
          <w:p w14:paraId="482ADF7B">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室</w:t>
            </w:r>
          </w:p>
        </w:tc>
      </w:tr>
      <w:tr w14:paraId="6EEB84D5">
        <w:tblPrEx>
          <w:tblCellMar>
            <w:top w:w="0" w:type="dxa"/>
            <w:left w:w="108" w:type="dxa"/>
            <w:bottom w:w="0" w:type="dxa"/>
            <w:right w:w="108" w:type="dxa"/>
          </w:tblCellMar>
        </w:tblPrEx>
        <w:trPr>
          <w:trHeight w:val="561" w:hRule="atLeast"/>
          <w:jc w:val="center"/>
        </w:trPr>
        <w:tc>
          <w:tcPr>
            <w:tcW w:w="728" w:type="dxa"/>
            <w:tcBorders>
              <w:top w:val="single" w:color="000000" w:sz="4" w:space="0"/>
              <w:left w:val="single" w:color="000000" w:sz="4" w:space="0"/>
              <w:bottom w:val="single" w:color="000000" w:sz="4" w:space="0"/>
              <w:right w:val="single" w:color="000000" w:sz="4" w:space="0"/>
            </w:tcBorders>
            <w:noWrap/>
            <w:vAlign w:val="center"/>
          </w:tcPr>
          <w:p w14:paraId="235DF896">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w:t>
            </w:r>
          </w:p>
        </w:tc>
        <w:tc>
          <w:tcPr>
            <w:tcW w:w="1244" w:type="dxa"/>
            <w:tcBorders>
              <w:top w:val="single" w:color="000000" w:sz="4" w:space="0"/>
              <w:left w:val="single" w:color="000000" w:sz="4" w:space="0"/>
              <w:bottom w:val="single" w:color="000000" w:sz="4" w:space="0"/>
              <w:right w:val="single" w:color="000000" w:sz="4" w:space="0"/>
            </w:tcBorders>
            <w:vAlign w:val="center"/>
          </w:tcPr>
          <w:p w14:paraId="4CB22529">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系统安装辅件</w:t>
            </w:r>
          </w:p>
        </w:tc>
        <w:tc>
          <w:tcPr>
            <w:tcW w:w="5797" w:type="dxa"/>
            <w:tcBorders>
              <w:top w:val="single" w:color="000000" w:sz="4" w:space="0"/>
              <w:left w:val="single" w:color="000000" w:sz="4" w:space="0"/>
              <w:bottom w:val="single" w:color="000000" w:sz="4" w:space="0"/>
              <w:right w:val="single" w:color="000000" w:sz="4" w:space="0"/>
            </w:tcBorders>
            <w:vAlign w:val="center"/>
          </w:tcPr>
          <w:p w14:paraId="56C07CA7">
            <w:pPr>
              <w:widowControl/>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采用L型多孔位钢板固定于楼面，根据楼层的高度可自行调节所需适宜高度，辅材为高强度膨胀栓，及螺丝螺母。</w:t>
            </w:r>
          </w:p>
        </w:tc>
        <w:tc>
          <w:tcPr>
            <w:tcW w:w="626" w:type="dxa"/>
            <w:tcBorders>
              <w:top w:val="single" w:color="000000" w:sz="4" w:space="0"/>
              <w:left w:val="single" w:color="000000" w:sz="4" w:space="0"/>
              <w:bottom w:val="single" w:color="000000" w:sz="4" w:space="0"/>
              <w:right w:val="single" w:color="000000" w:sz="4" w:space="0"/>
            </w:tcBorders>
            <w:noWrap/>
            <w:vAlign w:val="center"/>
          </w:tcPr>
          <w:p w14:paraId="48C5B9C4">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587690AE">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r>
      <w:tr w14:paraId="4E3D67CD">
        <w:tblPrEx>
          <w:tblCellMar>
            <w:top w:w="0" w:type="dxa"/>
            <w:left w:w="108" w:type="dxa"/>
            <w:bottom w:w="0" w:type="dxa"/>
            <w:right w:w="108" w:type="dxa"/>
          </w:tblCellMar>
        </w:tblPrEx>
        <w:trPr>
          <w:trHeight w:val="561" w:hRule="atLeast"/>
          <w:jc w:val="center"/>
        </w:trPr>
        <w:tc>
          <w:tcPr>
            <w:tcW w:w="9192" w:type="dxa"/>
            <w:gridSpan w:val="5"/>
            <w:tcBorders>
              <w:top w:val="single" w:color="000000" w:sz="4" w:space="0"/>
              <w:left w:val="single" w:color="000000" w:sz="4" w:space="0"/>
              <w:bottom w:val="single" w:color="000000" w:sz="4" w:space="0"/>
              <w:right w:val="single" w:color="000000" w:sz="4" w:space="0"/>
            </w:tcBorders>
            <w:noWrap/>
            <w:vAlign w:val="center"/>
          </w:tcPr>
          <w:p w14:paraId="3B131647">
            <w:pPr>
              <w:jc w:val="left"/>
              <w:rPr>
                <w:rFonts w:hint="eastAsia" w:ascii="宋体" w:hAnsi="宋体" w:eastAsia="宋体" w:cs="宋体"/>
                <w:color w:val="auto"/>
                <w:sz w:val="21"/>
                <w:szCs w:val="21"/>
              </w:rPr>
            </w:pPr>
            <w:r>
              <w:rPr>
                <w:rFonts w:hint="eastAsia" w:ascii="宋体" w:hAnsi="宋体" w:eastAsia="宋体" w:cs="宋体"/>
                <w:b/>
                <w:bCs/>
                <w:color w:val="auto"/>
                <w:kern w:val="0"/>
                <w:sz w:val="21"/>
                <w:szCs w:val="21"/>
                <w:lang w:bidi="ar"/>
              </w:rPr>
              <w:t>四</w:t>
            </w:r>
            <w:r>
              <w:rPr>
                <w:rFonts w:hint="eastAsia" w:ascii="宋体" w:hAnsi="宋体" w:eastAsia="宋体" w:cs="宋体"/>
                <w:b/>
                <w:bCs/>
                <w:color w:val="auto"/>
                <w:kern w:val="0"/>
                <w:sz w:val="21"/>
                <w:szCs w:val="21"/>
                <w:lang w:eastAsia="zh-CN" w:bidi="ar"/>
              </w:rPr>
              <w:t>、</w:t>
            </w:r>
            <w:r>
              <w:rPr>
                <w:rFonts w:hint="eastAsia" w:ascii="宋体" w:hAnsi="宋体" w:eastAsia="宋体" w:cs="宋体"/>
                <w:b/>
                <w:bCs/>
                <w:color w:val="auto"/>
                <w:kern w:val="0"/>
                <w:sz w:val="21"/>
                <w:szCs w:val="21"/>
                <w:lang w:bidi="ar"/>
              </w:rPr>
              <w:t>其他</w:t>
            </w:r>
          </w:p>
        </w:tc>
      </w:tr>
      <w:tr w14:paraId="7D916A6C">
        <w:tblPrEx>
          <w:tblCellMar>
            <w:top w:w="0" w:type="dxa"/>
            <w:left w:w="108" w:type="dxa"/>
            <w:bottom w:w="0" w:type="dxa"/>
            <w:right w:w="108" w:type="dxa"/>
          </w:tblCellMar>
        </w:tblPrEx>
        <w:trPr>
          <w:trHeight w:val="561" w:hRule="atLeast"/>
          <w:jc w:val="center"/>
        </w:trPr>
        <w:tc>
          <w:tcPr>
            <w:tcW w:w="728" w:type="dxa"/>
            <w:tcBorders>
              <w:top w:val="single" w:color="000000" w:sz="4" w:space="0"/>
              <w:left w:val="single" w:color="000000" w:sz="4" w:space="0"/>
              <w:bottom w:val="single" w:color="000000" w:sz="4" w:space="0"/>
              <w:right w:val="single" w:color="000000" w:sz="4" w:space="0"/>
            </w:tcBorders>
            <w:noWrap/>
            <w:vAlign w:val="center"/>
          </w:tcPr>
          <w:p w14:paraId="4BC9F066">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1244" w:type="dxa"/>
            <w:tcBorders>
              <w:top w:val="single" w:color="000000" w:sz="4" w:space="0"/>
              <w:left w:val="single" w:color="000000" w:sz="4" w:space="0"/>
              <w:bottom w:val="single" w:color="000000" w:sz="4" w:space="0"/>
              <w:right w:val="single" w:color="000000" w:sz="4" w:space="0"/>
            </w:tcBorders>
            <w:vAlign w:val="center"/>
          </w:tcPr>
          <w:p w14:paraId="595F3CD2">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86寸一体机</w:t>
            </w:r>
          </w:p>
        </w:tc>
        <w:tc>
          <w:tcPr>
            <w:tcW w:w="5797" w:type="dxa"/>
            <w:tcBorders>
              <w:top w:val="single" w:color="000000" w:sz="4" w:space="0"/>
              <w:left w:val="single" w:color="000000" w:sz="4" w:space="0"/>
              <w:bottom w:val="single" w:color="000000" w:sz="4" w:space="0"/>
              <w:right w:val="single" w:color="000000" w:sz="4" w:space="0"/>
            </w:tcBorders>
            <w:vAlign w:val="center"/>
          </w:tcPr>
          <w:p w14:paraId="1C1F7F61">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b/>
                <w:bCs/>
                <w:color w:val="auto"/>
                <w:kern w:val="0"/>
                <w:sz w:val="21"/>
                <w:szCs w:val="21"/>
                <w:lang w:bidi="ar"/>
              </w:rPr>
              <w:t>智慧黑板</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一、整机硬件功能</w:t>
            </w:r>
          </w:p>
          <w:p w14:paraId="2924B4D3">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1、整机屏幕采用86英寸液晶显示器，显示比例16:9，分辨率3840×2160。</w:t>
            </w:r>
          </w:p>
          <w:p w14:paraId="02EEBE3F">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2、屏幕采⽤≤3mm钢化玻璃保护，表⾯硬度≥石墨硬度9H或莫氏硬度7级，透光率不低于91%，雾度≤8%。</w:t>
            </w:r>
          </w:p>
          <w:p w14:paraId="6A62FD0F">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3、整机接口：侧置输入接口具备2路HDMI、1路RS232、1路USB接口，侧置输出接口具备1路音频输出、1路触控USB输出，前置输入接口3路USB接口（包含1路Type-C、2路USB）。</w:t>
            </w:r>
          </w:p>
          <w:p w14:paraId="47F1DAF2">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4、整机采用≥12核国产化嵌入式芯片，CPU≥8核，整机嵌入式系统版本≥Android 15，主频≥1.6GHz，内存≥2GB，存储空间≥32GB。（需提供具有CMA标识的检验检测报告复印件）</w:t>
            </w:r>
          </w:p>
          <w:p w14:paraId="50B3E2AF">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5、整机采用红外触控技术，Windows系统和Android系统均支持≥50点触控。（需提供具有CMA标识的检验检测报告复印件）</w:t>
            </w:r>
          </w:p>
          <w:p w14:paraId="272DD9A6">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6、★整机设备内置2.2声道扬声器，前朝向发声，12W高音扬声器2个，上朝向30W中低音扬声器2个，最大功率≥84W。（需提供具有CMA标识的检验检测报告复印件）</w:t>
            </w:r>
          </w:p>
          <w:p w14:paraId="31E106E3">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7、整机听力模式下具备AI人声语言增强功能，支持三挡强弱调节，通过AI算法提取视频/音频中的语言进行效果增强，在不增加音量的情况下提升语言清晰度，扩声系统语言传输指数（STIPA）≥0.75。</w:t>
            </w:r>
          </w:p>
          <w:p w14:paraId="18270F19">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8、整机内置非独立外扩展的4阵列麦克风，可用于对教室环境音频进行采集，麦克风拾音距离≥12米。</w:t>
            </w:r>
          </w:p>
          <w:p w14:paraId="72603B69">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9、★整机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需提供具有CMA标识的检验检测报告复印件）</w:t>
            </w:r>
          </w:p>
          <w:p w14:paraId="33F50539">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10、支持标准、听力、观影和AI空间感知音效模式，AI空间感知音效模式可通过内置麦克风采集教室物理环境声音，自动生成符合当前教室物理环境的频段、音量、音效。（需提供具有CMA标识的检验检测报告复印件）</w:t>
            </w:r>
          </w:p>
          <w:p w14:paraId="2A9D9B54">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11、整机系统支持手势上滑调出人工智能画质调节模式（AI-PQ），在安卓通道下可根据屏幕内容自动调节画质参数，当屏幕出现人物、建筑、夜景等元素时，自动调整对比度、饱和度、锐利度、色调色相值、高光/阴影。（需提供具</w:t>
            </w:r>
            <w:r>
              <w:rPr>
                <w:rFonts w:hint="eastAsia" w:ascii="宋体" w:hAnsi="宋体" w:cs="宋体"/>
                <w:color w:val="auto"/>
                <w:kern w:val="0"/>
                <w:sz w:val="21"/>
                <w:szCs w:val="21"/>
                <w:lang w:eastAsia="zh-CN" w:bidi="ar"/>
              </w:rPr>
              <w:t>有</w:t>
            </w:r>
            <w:r>
              <w:rPr>
                <w:rFonts w:hint="eastAsia" w:ascii="宋体" w:hAnsi="宋体" w:eastAsia="宋体" w:cs="宋体"/>
                <w:color w:val="auto"/>
                <w:kern w:val="0"/>
                <w:sz w:val="21"/>
                <w:szCs w:val="21"/>
                <w:lang w:bidi="ar"/>
              </w:rPr>
              <w:t>CMA标识的检验检测报告复印件）</w:t>
            </w:r>
          </w:p>
          <w:p w14:paraId="4FD1FFF2">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12、整机具备前置物理按键，可实现开关机、音量＋－、护眼、录屏、设置功能。前置接口与按键在设备同一侧。</w:t>
            </w:r>
          </w:p>
          <w:p w14:paraId="33793B65">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13、整机支持蓝牙Bluetooth 5.4标准。</w:t>
            </w:r>
            <w:bookmarkStart w:id="9" w:name="_GoBack"/>
            <w:bookmarkEnd w:id="9"/>
            <w:r>
              <w:rPr>
                <w:rFonts w:hint="eastAsia" w:ascii="宋体" w:hAnsi="宋体" w:eastAsia="宋体" w:cs="宋体"/>
                <w:color w:val="auto"/>
                <w:kern w:val="0"/>
                <w:sz w:val="21"/>
                <w:szCs w:val="21"/>
                <w:lang w:bidi="ar"/>
              </w:rPr>
              <w:t>Wi-Fi制式支持IEEE 802.11 a/b/g/n/ac/ax；</w:t>
            </w:r>
          </w:p>
          <w:p w14:paraId="6188A24B">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14、支持版本Wi-Fi6。</w:t>
            </w:r>
          </w:p>
          <w:p w14:paraId="29322613">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15、整机配套教学应用APP可通过wifi直连技术，近场发现附近教学大屏设备，无需扫码、账号密码输入步骤，即可直接连接并登录教学大屏设备，基于统一身份认证机制可实现其他教学软件免登录操作。（需提供具有CMA标识的检验检测报告复印件）</w:t>
            </w:r>
          </w:p>
          <w:p w14:paraId="39117B5E">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16、整机PC通道及安卓通道各具备一颗WiFi6无线芯片，PC和安卓通道均可通过大屏发送WiFi6热点以及连接WiFi6的路由器。</w:t>
            </w:r>
          </w:p>
          <w:p w14:paraId="0D4B00CB">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17、整机上边框内置非独立摄像头，采用一体化集成设计，⽀持输出4:3、16:9⽐例的图⽚和视频，支持拍摄＞1600万像素数的照片和视频，支持输出4</w:t>
            </w:r>
            <w:r>
              <w:rPr>
                <w:rFonts w:hint="eastAsia" w:ascii="宋体" w:hAnsi="宋体" w:eastAsia="宋体" w:cs="宋体"/>
                <w:color w:val="auto"/>
                <w:kern w:val="0"/>
                <w:sz w:val="21"/>
                <w:szCs w:val="21"/>
                <w:lang w:val="en-US" w:eastAsia="zh-CN" w:bidi="ar"/>
              </w:rPr>
              <w:t>K</w:t>
            </w:r>
            <w:r>
              <w:rPr>
                <w:rFonts w:hint="eastAsia" w:ascii="宋体" w:hAnsi="宋体" w:eastAsia="宋体" w:cs="宋体"/>
                <w:color w:val="auto"/>
                <w:kern w:val="0"/>
                <w:sz w:val="21"/>
                <w:szCs w:val="21"/>
                <w:lang w:bidi="ar"/>
              </w:rPr>
              <w:t>分辨率的视频。</w:t>
            </w:r>
          </w:p>
          <w:p w14:paraId="0764E96E">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18、整机摄像头对角线视场角≥120度，整机摄像头支持人脸识别、清点人数、随机抽人；识别所有学生，显示标记，然后随机抽选，同时显示标记不少于60人。</w:t>
            </w:r>
          </w:p>
          <w:p w14:paraId="274512B7">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19、整机摄像头支持环境色温判断，根据环境调节合适的显示图像效果。</w:t>
            </w:r>
          </w:p>
          <w:p w14:paraId="0D6927CE">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20、支持Windows 7、Windows 8、Windows 10、Windows11、Linux、Mac Os、UOS和麒麟系统外置电脑操作系统接入时，无需安装触摸驱动。</w:t>
            </w:r>
          </w:p>
          <w:p w14:paraId="7979BBF6">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21、整机支持提笔书写，在Windows系统下可实现无需点击任意功能入口，当检测到红外笔笔尖接触屏幕时，自动进入书写模式。（需提供具有CMA标识的检验检测报告复印件）</w:t>
            </w:r>
          </w:p>
          <w:p w14:paraId="6185565F">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22、整机具备屏体温度实时监控、高温预警及断电保护功能。</w:t>
            </w:r>
          </w:p>
          <w:p w14:paraId="5A7A87D5">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23、整机显示异常时屏幕会提示对应故障码，辅助问题诊断。</w:t>
            </w:r>
          </w:p>
          <w:p w14:paraId="531A88C3">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24、整机设备支持多种身份识别方式，支持通过账号登录、手机扫码登录、人脸识别登录、声纹识别登录、近场发现登录，并支持账号安全登录检测。（需提供具有CMA标识的检验检测报告复印件）</w:t>
            </w:r>
          </w:p>
          <w:p w14:paraId="72CA83EA">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25、整机侧边栏内置自习工具，通过整机麦克风监测教室中学生音量大小，当学生音量大于阈值时，屏幕自动弹窗提醒进行自习纪律干预。（需提供具有CMA标识的检验检测报告复印件）</w:t>
            </w:r>
          </w:p>
          <w:p w14:paraId="7F28A3B6">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26、★整机内置计算器应用，支持多项式复杂计算，对多项式进行积分、求导、多项式展开和多项式分解，支持对多项式进行绘制图像，展示绘制结果。（需提供具有CMA标识的检验检测报告复印件）</w:t>
            </w:r>
          </w:p>
          <w:p w14:paraId="107A1549">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27、</w:t>
            </w:r>
            <w:r>
              <w:rPr>
                <w:rFonts w:hint="eastAsia" w:ascii="宋体" w:hAnsi="宋体" w:eastAsia="宋体" w:cs="宋体"/>
                <w:color w:val="auto"/>
                <w:kern w:val="0"/>
                <w:sz w:val="21"/>
                <w:szCs w:val="21"/>
                <w:lang w:bidi="ar"/>
              </w:rPr>
              <w:t>OPS电脑模块</w:t>
            </w:r>
            <w:r>
              <w:rPr>
                <w:rFonts w:hint="eastAsia" w:ascii="宋体" w:hAnsi="宋体" w:eastAsia="宋体" w:cs="宋体"/>
                <w:color w:val="auto"/>
                <w:kern w:val="0"/>
                <w:sz w:val="21"/>
                <w:szCs w:val="21"/>
                <w:lang w:val="en-US" w:eastAsia="zh-CN" w:bidi="ar"/>
              </w:rPr>
              <w:t>:</w:t>
            </w:r>
          </w:p>
          <w:p w14:paraId="2E6341C2">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val="en-US" w:eastAsia="zh-CN" w:bidi="ar"/>
              </w:rPr>
              <w:t>27.1</w:t>
            </w:r>
            <w:r>
              <w:rPr>
                <w:rFonts w:hint="eastAsia" w:ascii="宋体" w:hAnsi="宋体" w:eastAsia="宋体" w:cs="宋体"/>
                <w:color w:val="auto"/>
                <w:kern w:val="0"/>
                <w:sz w:val="21"/>
                <w:szCs w:val="21"/>
                <w:lang w:bidi="ar"/>
              </w:rPr>
              <w:t>采用抽拉内置式模块化电脑，抽拉内置式，PC模块可插入整机，可实现无单独接线的插拔。≥Intel i5十二代 CPU，内存≥8GB DDR4内存配置，硬盘≥256 GB SSD固态硬盘。</w:t>
            </w:r>
          </w:p>
          <w:p w14:paraId="4CAF97AD">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val="en-US" w:eastAsia="zh-CN" w:bidi="ar"/>
              </w:rPr>
              <w:t>27.2</w:t>
            </w:r>
            <w:r>
              <w:rPr>
                <w:rFonts w:hint="eastAsia" w:ascii="宋体" w:hAnsi="宋体" w:eastAsia="宋体" w:cs="宋体"/>
                <w:color w:val="auto"/>
                <w:kern w:val="0"/>
                <w:sz w:val="21"/>
                <w:szCs w:val="21"/>
                <w:lang w:bidi="ar"/>
              </w:rPr>
              <w:t>模块化电脑采用按压式卡扣，无需工具就可拆卸电脑模块。具备标准PC防盗锁孔，传输速率≥10Gbps。</w:t>
            </w:r>
          </w:p>
          <w:p w14:paraId="2983B695">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二、随机同品牌软件功能</w:t>
            </w:r>
          </w:p>
          <w:p w14:paraId="07E8BA09">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原厂备授课软件功能</w:t>
            </w:r>
          </w:p>
          <w:p w14:paraId="2EB3694E">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1、支持为教师提供云存储空间，教师可在个人云空间上传存储互动课件、云教案和其他教学资源。</w:t>
            </w:r>
          </w:p>
          <w:p w14:paraId="6F2F5BF7">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2、为全体教师配备个人账号，形成一体的信息化教学账号体系；根据教师账号信息将教师云空间匹配至对应学校、学科校本资源库。支持通过数字账号、微信二维码、硬件密钥方式登录教师个人账号。</w:t>
            </w:r>
          </w:p>
          <w:p w14:paraId="1A214442">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3、互动课件支持定向分享，分享者可将互动课件、课件组推送至指定接收方账号的云空间，接收方可在云空间接收并打开分享课件。</w:t>
            </w:r>
          </w:p>
          <w:p w14:paraId="2D2B2664">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4、互动课件支持开放式云分享，分享者可将互动课件、课件组以公开或加密的web链接和二维码形式进行分享，分享链接可设置访问有效期。</w:t>
            </w:r>
          </w:p>
          <w:p w14:paraId="31FD3890">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5、AI智能备课助手：在备课场景中支持搜索课件库课件资源，具有不少于14.9万份的课件资源，支持整份课件或按照课件页插入课件中。</w:t>
            </w:r>
          </w:p>
          <w:p w14:paraId="6995C7F9">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6、采用备授课一体化框架设计，教师可根据教学场景自由切换类PPT界面的备课模式与触控交互教学模式，适用于教室、办公室等不同教学环境，便于教师教学使用。</w:t>
            </w:r>
          </w:p>
          <w:p w14:paraId="7B659413">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7、支持PPT的原生解析，教师可将pptx课件转化为互动教学课件，支持单份导入和批量文件夹导入两种导入方式，保留pptx原文件中的文字、图片、表格等对象及动画的可编辑性，并可为课件增加互动教学元素。</w:t>
            </w:r>
          </w:p>
          <w:p w14:paraId="180EE954">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8、支持将互动课件导出为pptx、pdf、H5或web链接。导出的课件支持在多终端进行二次编辑。</w:t>
            </w:r>
          </w:p>
          <w:p w14:paraId="1F0EDCDF">
            <w:pPr>
              <w:widowControl/>
              <w:textAlignment w:val="center"/>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bidi="ar"/>
              </w:rPr>
              <w:t>9、课件回收站功能：按照删除时间存储已删除课件，支持用户在3天内自主或彻底删除单份/多份/全部已删除课件</w:t>
            </w:r>
            <w:r>
              <w:rPr>
                <w:rFonts w:hint="eastAsia" w:ascii="宋体" w:hAnsi="宋体" w:eastAsia="宋体" w:cs="宋体"/>
                <w:color w:val="auto"/>
                <w:kern w:val="0"/>
                <w:sz w:val="21"/>
                <w:szCs w:val="21"/>
                <w:lang w:eastAsia="zh-CN" w:bidi="ar"/>
              </w:rPr>
              <w:t>。</w:t>
            </w:r>
          </w:p>
          <w:p w14:paraId="596A8C58">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10、具备云端静默推送下载功能，无需用户手动下载即可实现应用的在线升级，升级具有信息验证机制，确保教学秩序不受干扰。</w:t>
            </w:r>
          </w:p>
          <w:p w14:paraId="10956BC3">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11、胶囊式微课功能内置于交互式课件工具中，支持快速录制胶囊式微课，微课可录制保存音频和课件的互动操作。</w:t>
            </w:r>
          </w:p>
          <w:p w14:paraId="5292F3C1">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12、提供至少30种应用于文本、形状、图片等课件元素的触发动画，可对动画的设置触发条件、动画声效、动画时长、动画延迟和动画方向进行自定义设置。支持对任意课件元素自定义路径动画，可自由绘制动画移动轨迹使课件元素沿轨迹路径进行移动。一个课件元素支持同时设置多组出现、消失、路径动画。</w:t>
            </w:r>
          </w:p>
          <w:p w14:paraId="409E4DA2">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13、课堂互动游戏支持云储存，编辑完成的活动可一键存储至教师云空间，便于在不同课件中直接调用，无需反复编辑。</w:t>
            </w:r>
          </w:p>
          <w:p w14:paraId="35340D03">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14、AI智能生成课堂活动：具有课堂活动智能填写功能，支持选词填空、判断对错和趣味选择三大课堂活动，输入文本后可以一键解析，自动将文本内容结构化填充至题干和正确选项，完成课堂活动的制作。</w:t>
            </w:r>
          </w:p>
          <w:p w14:paraId="78BF4086">
            <w:pPr>
              <w:widowControl/>
              <w:textAlignment w:val="center"/>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bidi="ar"/>
              </w:rPr>
              <w:t>15、智能手写识别：支持将手绘形状、中英文、公式转换为规范几何图形和文字</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b/>
                <w:bCs/>
                <w:color w:val="auto"/>
                <w:kern w:val="0"/>
                <w:sz w:val="21"/>
                <w:szCs w:val="21"/>
                <w:lang w:val="en-US" w:eastAsia="zh-CN" w:bidi="ar"/>
              </w:rPr>
              <w:t>二、</w:t>
            </w:r>
            <w:r>
              <w:rPr>
                <w:rFonts w:hint="eastAsia" w:ascii="宋体" w:hAnsi="宋体" w:eastAsia="宋体" w:cs="宋体"/>
                <w:b/>
                <w:bCs/>
                <w:color w:val="auto"/>
                <w:kern w:val="0"/>
                <w:sz w:val="21"/>
                <w:szCs w:val="21"/>
                <w:lang w:bidi="ar"/>
              </w:rPr>
              <w:t>光能黑板</w:t>
            </w:r>
          </w:p>
          <w:p w14:paraId="4719F566">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1、结构：产品整体结构上采取左、右柔性液晶光能黑板配合中间86寸液晶一体机的组合方式，单块光能黑板尺寸≥1100mm*1150mm。</w:t>
            </w:r>
          </w:p>
          <w:p w14:paraId="77F6E3EE">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2、无粉尘、无需专用耗材：采用多种笔杆均可在板面进行书写，消除了粉笔粉尘对师生构成的健康隐患。</w:t>
            </w:r>
          </w:p>
          <w:p w14:paraId="6B314C13">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3、一键擦除：支持一键擦除，擦除应无断点、无死角等，擦除后应无明显残留痕迹。</w:t>
            </w:r>
          </w:p>
          <w:p w14:paraId="6C906351">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4、可视距离：书写笔迹可视距离≥30米，可视角度≥140°。</w:t>
            </w:r>
          </w:p>
          <w:p w14:paraId="1E88B307">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5、保护视力：自然光反射呈字，无电离辐射，长时间观看不刺激眼睛，保护视力。</w:t>
            </w:r>
          </w:p>
          <w:p w14:paraId="2F3A6498">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6、局部擦除：可使用板擦和手势对板书进行局部擦除，局部擦除时间不大于0.4秒，擦除应无断点、无死角等。</w:t>
            </w:r>
          </w:p>
          <w:p w14:paraId="791AEA15">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7、书写：板面粗糙度Sa≤0.7um。</w:t>
            </w:r>
          </w:p>
          <w:p w14:paraId="01D286AD">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8、同步传输保存：板书内容可以同步传输到光能板所配套显示设备中进行保存，方便后期的课件使用。</w:t>
            </w:r>
          </w:p>
          <w:p w14:paraId="0C4432FB">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9、安全性：黑板四角应为圆角，且径向半径不小于4mm，法向半径不小于0.3mm。</w:t>
            </w:r>
          </w:p>
          <w:p w14:paraId="0772E586">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10、为让老师能够快速调取交互软件，方便使用功能，光能黑板具有触摸快捷键。</w:t>
            </w:r>
          </w:p>
          <w:p w14:paraId="720D94FA">
            <w:pPr>
              <w:widowControl/>
              <w:textAlignment w:val="center"/>
              <w:rPr>
                <w:rFonts w:hint="eastAsia" w:ascii="宋体" w:hAnsi="宋体" w:eastAsia="宋体" w:cs="宋体"/>
                <w:b/>
                <w:bCs/>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软件要求：</w:t>
            </w:r>
          </w:p>
          <w:p w14:paraId="72E9BC1F">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1、左、右光能黑板可与触控一体机进行互动，将光能黑板的内容与触控一体机无缝连接，教师在光能黑板上的书写内容可同步显示在触控一体机上。</w:t>
            </w:r>
          </w:p>
          <w:p w14:paraId="2EF8E6B5">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2、可以通过触摸快捷键快速切换单页和多页显示：单板书写时，可单页面显示（此时只有一块黑板界面）；多板同时书写时，可多页面同时显示。</w:t>
            </w:r>
          </w:p>
          <w:p w14:paraId="3A4B3524">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3、当不需要板书传输到软件显示界面时，可以使用分屏功能，断开黑板与大屏的传输，使其成为互不影响的多块黑板。</w:t>
            </w:r>
          </w:p>
          <w:p w14:paraId="230309D2">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4、设置不同的软件端笔迹颜色，可实现老师对于教学重点的标识及批注。</w:t>
            </w:r>
          </w:p>
          <w:p w14:paraId="682590D6">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5、黑板上具有一键保存快捷键，支持一键将当前所有板书内容保存为PDF文件，方便老师进行课后保存分享。</w:t>
            </w:r>
          </w:p>
          <w:p w14:paraId="03B3DC11">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b/>
                <w:bCs/>
                <w:color w:val="auto"/>
                <w:kern w:val="0"/>
                <w:sz w:val="21"/>
                <w:szCs w:val="21"/>
                <w:lang w:val="en-US" w:eastAsia="zh-CN" w:bidi="ar"/>
              </w:rPr>
              <w:t>三、视频展台</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1、采用≥800万像素摄像头。</w:t>
            </w:r>
          </w:p>
          <w:p w14:paraId="3BEAB3F1">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2、A4大小拍摄幅面，1080P动态视频预览达到30帧/秒。</w:t>
            </w:r>
          </w:p>
          <w:p w14:paraId="57F4F545">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3、整机采用圆弧式设计，无锐角；托板可承重≥3kg，同时托板采用磁吸吸附式机构。</w:t>
            </w:r>
          </w:p>
          <w:p w14:paraId="043A5E98">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4、展示托板正上方具备LED补光灯</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补光灯开关采用触摸按键设计，同时可通过视频展台软件直接控制开关。</w:t>
            </w:r>
          </w:p>
          <w:p w14:paraId="4439338A">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5、摄像头支持自动对焦。</w:t>
            </w:r>
          </w:p>
          <w:p w14:paraId="70A5FCA5">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6、支持展台画面实时批注，预设多种笔划粗细及颜色供选择，且支持对展台画面联同批注内容进行同步缩放、移动。</w:t>
            </w:r>
          </w:p>
          <w:p w14:paraId="4DDC5D8E">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7、二维码扫码：打开扫一扫功能后，将书本上的二维码放入扫描框内即可自动扫描，并进入系统浏览器获取二维码的链接内容，可获取电子教学资源。</w:t>
            </w:r>
          </w:p>
          <w:p w14:paraId="02700E15">
            <w:pPr>
              <w:widowControl/>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8、支持故障自动检测，在软件无法出现展台拍摄画面时，自动出现检测链接，检测“无画面”的原因，并给出引导性解决方案。可判断硬件连接、显卡驱动、摄像头占用、软件版本等问题。</w:t>
            </w:r>
          </w:p>
        </w:tc>
        <w:tc>
          <w:tcPr>
            <w:tcW w:w="626" w:type="dxa"/>
            <w:tcBorders>
              <w:top w:val="single" w:color="000000" w:sz="4" w:space="0"/>
              <w:left w:val="single" w:color="000000" w:sz="4" w:space="0"/>
              <w:bottom w:val="single" w:color="000000" w:sz="4" w:space="0"/>
              <w:right w:val="single" w:color="000000" w:sz="4" w:space="0"/>
            </w:tcBorders>
            <w:noWrap/>
            <w:vAlign w:val="center"/>
          </w:tcPr>
          <w:p w14:paraId="7A9E5EAC">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3057B65F">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r>
      <w:tr w14:paraId="5680FE57">
        <w:tblPrEx>
          <w:tblCellMar>
            <w:top w:w="0" w:type="dxa"/>
            <w:left w:w="108" w:type="dxa"/>
            <w:bottom w:w="0" w:type="dxa"/>
            <w:right w:w="108" w:type="dxa"/>
          </w:tblCellMar>
        </w:tblPrEx>
        <w:trPr>
          <w:trHeight w:val="561" w:hRule="atLeast"/>
          <w:jc w:val="center"/>
        </w:trPr>
        <w:tc>
          <w:tcPr>
            <w:tcW w:w="728" w:type="dxa"/>
            <w:tcBorders>
              <w:top w:val="single" w:color="000000" w:sz="4" w:space="0"/>
              <w:left w:val="single" w:color="000000" w:sz="4" w:space="0"/>
              <w:bottom w:val="single" w:color="000000" w:sz="4" w:space="0"/>
              <w:right w:val="single" w:color="000000" w:sz="4" w:space="0"/>
            </w:tcBorders>
            <w:noWrap/>
            <w:vAlign w:val="center"/>
          </w:tcPr>
          <w:p w14:paraId="69B858A4">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w:t>
            </w:r>
          </w:p>
        </w:tc>
        <w:tc>
          <w:tcPr>
            <w:tcW w:w="1244" w:type="dxa"/>
            <w:tcBorders>
              <w:top w:val="single" w:color="000000" w:sz="4" w:space="0"/>
              <w:left w:val="single" w:color="000000" w:sz="4" w:space="0"/>
              <w:bottom w:val="single" w:color="000000" w:sz="4" w:space="0"/>
              <w:right w:val="single" w:color="000000" w:sz="4" w:space="0"/>
            </w:tcBorders>
            <w:vAlign w:val="center"/>
          </w:tcPr>
          <w:p w14:paraId="273229D6">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教育灯盘</w:t>
            </w:r>
          </w:p>
        </w:tc>
        <w:tc>
          <w:tcPr>
            <w:tcW w:w="5797" w:type="dxa"/>
            <w:tcBorders>
              <w:top w:val="single" w:color="000000" w:sz="4" w:space="0"/>
              <w:left w:val="single" w:color="000000" w:sz="4" w:space="0"/>
              <w:bottom w:val="single" w:color="000000" w:sz="4" w:space="0"/>
              <w:right w:val="single" w:color="000000" w:sz="4" w:space="0"/>
            </w:tcBorders>
            <w:vAlign w:val="center"/>
          </w:tcPr>
          <w:p w14:paraId="1B806C85">
            <w:pPr>
              <w:widowControl/>
              <w:textAlignment w:val="center"/>
              <w:rPr>
                <w:rFonts w:hint="eastAsia" w:ascii="宋体" w:hAnsi="宋体" w:eastAsia="宋体" w:cs="宋体"/>
                <w:color w:val="auto"/>
                <w:sz w:val="21"/>
                <w:szCs w:val="21"/>
              </w:rPr>
            </w:pPr>
            <w:r>
              <w:rPr>
                <w:rFonts w:hint="eastAsia"/>
                <w:color w:val="auto"/>
                <w:lang w:val="en-US" w:eastAsia="zh-CN"/>
              </w:rPr>
              <w:t>1、</w:t>
            </w:r>
            <w:r>
              <w:rPr>
                <w:rFonts w:hint="eastAsia" w:ascii="宋体" w:hAnsi="宋体" w:eastAsia="宋体" w:cs="宋体"/>
                <w:color w:val="auto"/>
                <w:kern w:val="0"/>
                <w:sz w:val="21"/>
                <w:szCs w:val="21"/>
                <w:lang w:bidi="ar"/>
              </w:rPr>
              <w:t>尺寸：600*600*35mm嵌装</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cs="宋体"/>
                <w:color w:val="auto"/>
                <w:kern w:val="0"/>
                <w:sz w:val="21"/>
                <w:szCs w:val="21"/>
                <w:lang w:val="en-US" w:eastAsia="zh-CN" w:bidi="ar"/>
              </w:rPr>
              <w:t>2、</w:t>
            </w:r>
            <w:r>
              <w:rPr>
                <w:rFonts w:hint="eastAsia" w:ascii="宋体" w:hAnsi="宋体" w:eastAsia="宋体" w:cs="宋体"/>
                <w:color w:val="auto"/>
                <w:kern w:val="0"/>
                <w:sz w:val="21"/>
                <w:szCs w:val="21"/>
                <w:lang w:bidi="ar"/>
              </w:rPr>
              <w:t>功率</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32W</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cs="宋体"/>
                <w:color w:val="auto"/>
                <w:kern w:val="0"/>
                <w:sz w:val="21"/>
                <w:szCs w:val="21"/>
                <w:lang w:val="en-US" w:eastAsia="zh-CN" w:bidi="ar"/>
              </w:rPr>
              <w:t>3、</w:t>
            </w:r>
            <w:r>
              <w:rPr>
                <w:rFonts w:hint="eastAsia" w:ascii="宋体" w:hAnsi="宋体" w:eastAsia="宋体" w:cs="宋体"/>
                <w:color w:val="auto"/>
                <w:kern w:val="0"/>
                <w:sz w:val="21"/>
                <w:szCs w:val="21"/>
                <w:lang w:bidi="ar"/>
              </w:rPr>
              <w:t>流明</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110/W</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cs="宋体"/>
                <w:color w:val="auto"/>
                <w:kern w:val="0"/>
                <w:sz w:val="21"/>
                <w:szCs w:val="21"/>
                <w:lang w:val="en-US" w:eastAsia="zh-CN" w:bidi="ar"/>
              </w:rPr>
              <w:t>4、</w:t>
            </w:r>
            <w:r>
              <w:rPr>
                <w:rFonts w:hint="eastAsia" w:ascii="宋体" w:hAnsi="宋体" w:eastAsia="宋体" w:cs="宋体"/>
                <w:color w:val="auto"/>
                <w:kern w:val="0"/>
                <w:sz w:val="21"/>
                <w:szCs w:val="21"/>
                <w:lang w:bidi="ar"/>
              </w:rPr>
              <w:t>色温：4000K-5000K</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cs="宋体"/>
                <w:color w:val="auto"/>
                <w:kern w:val="0"/>
                <w:sz w:val="21"/>
                <w:szCs w:val="21"/>
                <w:lang w:val="en-US" w:eastAsia="zh-CN" w:bidi="ar"/>
              </w:rPr>
              <w:t>5、</w:t>
            </w:r>
            <w:r>
              <w:rPr>
                <w:rFonts w:hint="eastAsia" w:ascii="宋体" w:hAnsi="宋体" w:eastAsia="宋体" w:cs="宋体"/>
                <w:color w:val="auto"/>
                <w:kern w:val="0"/>
                <w:sz w:val="21"/>
                <w:szCs w:val="21"/>
                <w:lang w:bidi="ar"/>
              </w:rPr>
              <w:t>显色性≥90</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特殊显色指数R9≥40</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眩光等级≥19</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蓝光：RG0</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cs="宋体"/>
                <w:color w:val="auto"/>
                <w:kern w:val="0"/>
                <w:sz w:val="21"/>
                <w:szCs w:val="21"/>
                <w:lang w:val="en-US" w:eastAsia="zh-CN" w:bidi="ar"/>
              </w:rPr>
              <w:t>6、</w:t>
            </w:r>
            <w:r>
              <w:rPr>
                <w:rFonts w:hint="eastAsia" w:ascii="宋体" w:hAnsi="宋体" w:eastAsia="宋体" w:cs="宋体"/>
                <w:color w:val="auto"/>
                <w:kern w:val="0"/>
                <w:sz w:val="21"/>
                <w:szCs w:val="21"/>
                <w:lang w:bidi="ar"/>
              </w:rPr>
              <w:t>功率因数≥0.95</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cs="宋体"/>
                <w:color w:val="auto"/>
                <w:kern w:val="0"/>
                <w:sz w:val="21"/>
                <w:szCs w:val="21"/>
                <w:lang w:val="en-US" w:eastAsia="zh-CN" w:bidi="ar"/>
              </w:rPr>
              <w:t>7、</w:t>
            </w:r>
            <w:r>
              <w:rPr>
                <w:rFonts w:hint="eastAsia" w:ascii="宋体" w:hAnsi="宋体" w:eastAsia="宋体" w:cs="宋体"/>
                <w:color w:val="auto"/>
                <w:kern w:val="0"/>
                <w:sz w:val="21"/>
                <w:szCs w:val="21"/>
                <w:lang w:bidi="ar"/>
              </w:rPr>
              <w:t>频闪：无频闪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cs="宋体"/>
                <w:color w:val="auto"/>
                <w:kern w:val="0"/>
                <w:sz w:val="21"/>
                <w:szCs w:val="21"/>
                <w:lang w:val="en-US" w:eastAsia="zh-CN" w:bidi="ar"/>
              </w:rPr>
              <w:t>8、</w:t>
            </w:r>
            <w:r>
              <w:rPr>
                <w:rFonts w:hint="eastAsia" w:ascii="宋体" w:hAnsi="宋体" w:eastAsia="宋体" w:cs="宋体"/>
                <w:color w:val="auto"/>
                <w:kern w:val="0"/>
                <w:sz w:val="21"/>
                <w:szCs w:val="21"/>
                <w:lang w:bidi="ar"/>
              </w:rPr>
              <w:t>灯具寿命：≥50000hrs。</w:t>
            </w:r>
          </w:p>
        </w:tc>
        <w:tc>
          <w:tcPr>
            <w:tcW w:w="626" w:type="dxa"/>
            <w:tcBorders>
              <w:top w:val="single" w:color="000000" w:sz="4" w:space="0"/>
              <w:left w:val="single" w:color="000000" w:sz="4" w:space="0"/>
              <w:bottom w:val="single" w:color="000000" w:sz="4" w:space="0"/>
              <w:right w:val="single" w:color="000000" w:sz="4" w:space="0"/>
            </w:tcBorders>
            <w:noWrap/>
            <w:vAlign w:val="center"/>
          </w:tcPr>
          <w:p w14:paraId="011012B8">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7DFD4116">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个</w:t>
            </w:r>
          </w:p>
        </w:tc>
      </w:tr>
      <w:tr w14:paraId="6D7D2F09">
        <w:tblPrEx>
          <w:tblCellMar>
            <w:top w:w="0" w:type="dxa"/>
            <w:left w:w="108" w:type="dxa"/>
            <w:bottom w:w="0" w:type="dxa"/>
            <w:right w:w="108" w:type="dxa"/>
          </w:tblCellMar>
        </w:tblPrEx>
        <w:trPr>
          <w:trHeight w:val="561" w:hRule="atLeast"/>
          <w:jc w:val="center"/>
        </w:trPr>
        <w:tc>
          <w:tcPr>
            <w:tcW w:w="728" w:type="dxa"/>
            <w:tcBorders>
              <w:top w:val="single" w:color="000000" w:sz="4" w:space="0"/>
              <w:left w:val="single" w:color="000000" w:sz="4" w:space="0"/>
              <w:bottom w:val="single" w:color="000000" w:sz="4" w:space="0"/>
              <w:right w:val="single" w:color="000000" w:sz="4" w:space="0"/>
            </w:tcBorders>
            <w:noWrap/>
            <w:vAlign w:val="center"/>
          </w:tcPr>
          <w:p w14:paraId="3D4058F6">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w:t>
            </w:r>
          </w:p>
        </w:tc>
        <w:tc>
          <w:tcPr>
            <w:tcW w:w="1244" w:type="dxa"/>
            <w:tcBorders>
              <w:top w:val="single" w:color="000000" w:sz="4" w:space="0"/>
              <w:left w:val="single" w:color="000000" w:sz="4" w:space="0"/>
              <w:bottom w:val="single" w:color="000000" w:sz="4" w:space="0"/>
              <w:right w:val="single" w:color="000000" w:sz="4" w:space="0"/>
            </w:tcBorders>
            <w:vAlign w:val="center"/>
          </w:tcPr>
          <w:p w14:paraId="73CDBAF1">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学科窗帘</w:t>
            </w:r>
          </w:p>
        </w:tc>
        <w:tc>
          <w:tcPr>
            <w:tcW w:w="5797" w:type="dxa"/>
            <w:tcBorders>
              <w:top w:val="single" w:color="000000" w:sz="4" w:space="0"/>
              <w:left w:val="single" w:color="000000" w:sz="4" w:space="0"/>
              <w:bottom w:val="single" w:color="000000" w:sz="4" w:space="0"/>
              <w:right w:val="single" w:color="000000" w:sz="4" w:space="0"/>
            </w:tcBorders>
            <w:vAlign w:val="center"/>
          </w:tcPr>
          <w:p w14:paraId="526E454B">
            <w:pPr>
              <w:widowControl/>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1、窗帘采用双喷布喷绘印制，含窗帘卷管、下杆和拉珠。卷管采用铝合金加厚管，下杆采用PVC加厚扁杆。</w:t>
            </w:r>
            <w:r>
              <w:rPr>
                <w:rFonts w:hint="eastAsia"/>
                <w:color w:val="auto"/>
                <w:lang w:val="en-US" w:eastAsia="zh-CN"/>
              </w:rPr>
              <w:t>遮光率</w:t>
            </w: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val="en-US" w:eastAsia="zh-CN" w:bidi="ar"/>
              </w:rPr>
              <w:t>95%。</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2、尺寸</w:t>
            </w:r>
            <w:r>
              <w:rPr>
                <w:rFonts w:hint="eastAsia" w:ascii="宋体" w:hAnsi="宋体" w:cs="宋体"/>
                <w:color w:val="auto"/>
                <w:kern w:val="0"/>
                <w:sz w:val="21"/>
                <w:szCs w:val="21"/>
                <w:lang w:val="en-US" w:eastAsia="zh-CN" w:bidi="ar"/>
              </w:rPr>
              <w:t>按实验室实际情况</w:t>
            </w:r>
            <w:r>
              <w:rPr>
                <w:rFonts w:hint="eastAsia" w:ascii="宋体" w:hAnsi="宋体" w:eastAsia="宋体" w:cs="宋体"/>
                <w:color w:val="auto"/>
                <w:kern w:val="0"/>
                <w:sz w:val="21"/>
                <w:szCs w:val="21"/>
                <w:lang w:bidi="ar"/>
              </w:rPr>
              <w:t>订制，在窗帘上印制物理相关学科内容介绍或印制学校Logo。</w:t>
            </w:r>
          </w:p>
        </w:tc>
        <w:tc>
          <w:tcPr>
            <w:tcW w:w="626" w:type="dxa"/>
            <w:tcBorders>
              <w:top w:val="single" w:color="000000" w:sz="4" w:space="0"/>
              <w:left w:val="single" w:color="000000" w:sz="4" w:space="0"/>
              <w:bottom w:val="single" w:color="000000" w:sz="4" w:space="0"/>
              <w:right w:val="single" w:color="000000" w:sz="4" w:space="0"/>
            </w:tcBorders>
            <w:noWrap/>
            <w:vAlign w:val="center"/>
          </w:tcPr>
          <w:p w14:paraId="1C5D7C04">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65C46674">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r>
    </w:tbl>
    <w:p w14:paraId="69CE9E09">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val="en-US" w:eastAsia="zh-CN"/>
        </w:rPr>
        <w:t>2、</w:t>
      </w:r>
      <w:r>
        <w:rPr>
          <w:rFonts w:hint="eastAsia" w:ascii="仿宋_GB2312" w:hAnsi="仿宋_GB2312" w:eastAsia="仿宋_GB2312" w:cs="仿宋_GB2312"/>
          <w:b w:val="0"/>
          <w:bCs w:val="0"/>
          <w:color w:val="auto"/>
          <w:sz w:val="28"/>
          <w:szCs w:val="28"/>
        </w:rPr>
        <w:t>化学智能吊装实验室</w:t>
      </w:r>
    </w:p>
    <w:tbl>
      <w:tblPr>
        <w:tblStyle w:val="21"/>
        <w:tblW w:w="4988" w:type="pct"/>
        <w:tblInd w:w="0" w:type="dxa"/>
        <w:tblLayout w:type="fixed"/>
        <w:tblCellMar>
          <w:top w:w="0" w:type="dxa"/>
          <w:left w:w="108" w:type="dxa"/>
          <w:bottom w:w="0" w:type="dxa"/>
          <w:right w:w="108" w:type="dxa"/>
        </w:tblCellMar>
      </w:tblPr>
      <w:tblGrid>
        <w:gridCol w:w="781"/>
        <w:gridCol w:w="1219"/>
        <w:gridCol w:w="5240"/>
        <w:gridCol w:w="801"/>
        <w:gridCol w:w="885"/>
      </w:tblGrid>
      <w:tr w14:paraId="17DA9571">
        <w:tblPrEx>
          <w:tblCellMar>
            <w:top w:w="0" w:type="dxa"/>
            <w:left w:w="108" w:type="dxa"/>
            <w:bottom w:w="0" w:type="dxa"/>
            <w:right w:w="108" w:type="dxa"/>
          </w:tblCellMar>
        </w:tblPrEx>
        <w:trPr>
          <w:trHeight w:val="560" w:hRule="atLeast"/>
        </w:trPr>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1C49E">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序号</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74D47">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货物名称</w:t>
            </w:r>
          </w:p>
        </w:tc>
        <w:tc>
          <w:tcPr>
            <w:tcW w:w="2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7DDEA">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技术参数</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DCCDA">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数量</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4BCA2">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单位</w:t>
            </w:r>
          </w:p>
        </w:tc>
      </w:tr>
      <w:tr w14:paraId="6C5B5BDF">
        <w:tblPrEx>
          <w:tblCellMar>
            <w:top w:w="0" w:type="dxa"/>
            <w:left w:w="108" w:type="dxa"/>
            <w:bottom w:w="0" w:type="dxa"/>
            <w:right w:w="108" w:type="dxa"/>
          </w:tblCellMar>
        </w:tblPrEx>
        <w:trPr>
          <w:trHeight w:val="560" w:hRule="atLeast"/>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14:paraId="5BDF161D">
            <w:pPr>
              <w:rPr>
                <w:rFonts w:hint="eastAsia" w:ascii="宋体" w:hAnsi="宋体" w:eastAsia="宋体" w:cs="宋体"/>
                <w:b w:val="0"/>
                <w:bCs w:val="0"/>
                <w:color w:val="auto"/>
                <w:sz w:val="21"/>
                <w:szCs w:val="21"/>
              </w:rPr>
            </w:pPr>
            <w:r>
              <w:rPr>
                <w:rFonts w:hint="eastAsia" w:ascii="宋体" w:hAnsi="宋体" w:eastAsia="宋体" w:cs="宋体"/>
                <w:b/>
                <w:bCs/>
                <w:color w:val="auto"/>
                <w:kern w:val="0"/>
                <w:sz w:val="21"/>
                <w:szCs w:val="21"/>
                <w:lang w:bidi="ar"/>
              </w:rPr>
              <w:t>一、教师控制演示区</w:t>
            </w:r>
          </w:p>
        </w:tc>
      </w:tr>
      <w:tr w14:paraId="7D6C5044">
        <w:tblPrEx>
          <w:tblCellMar>
            <w:top w:w="0" w:type="dxa"/>
            <w:left w:w="108" w:type="dxa"/>
            <w:bottom w:w="0" w:type="dxa"/>
            <w:right w:w="108" w:type="dxa"/>
          </w:tblCellMar>
        </w:tblPrEx>
        <w:trPr>
          <w:trHeight w:val="560" w:hRule="atLeast"/>
        </w:trPr>
        <w:tc>
          <w:tcPr>
            <w:tcW w:w="437" w:type="pct"/>
            <w:tcBorders>
              <w:top w:val="single" w:color="000000" w:sz="4" w:space="0"/>
              <w:left w:val="single" w:color="000000" w:sz="4" w:space="0"/>
              <w:bottom w:val="single" w:color="000000" w:sz="4" w:space="0"/>
              <w:right w:val="single" w:color="000000" w:sz="4" w:space="0"/>
            </w:tcBorders>
            <w:noWrap/>
            <w:vAlign w:val="center"/>
          </w:tcPr>
          <w:p w14:paraId="4219FBCA">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682" w:type="pct"/>
            <w:tcBorders>
              <w:top w:val="single" w:color="000000" w:sz="4" w:space="0"/>
              <w:left w:val="single" w:color="000000" w:sz="4" w:space="0"/>
              <w:bottom w:val="single" w:color="000000" w:sz="4" w:space="0"/>
              <w:right w:val="single" w:color="000000" w:sz="4" w:space="0"/>
            </w:tcBorders>
            <w:vAlign w:val="center"/>
          </w:tcPr>
          <w:p w14:paraId="7DCFCC1B">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实验桌</w:t>
            </w:r>
          </w:p>
          <w:p w14:paraId="2E7A87B8">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（装配式教师演示台）</w:t>
            </w:r>
          </w:p>
        </w:tc>
        <w:tc>
          <w:tcPr>
            <w:tcW w:w="2935" w:type="pct"/>
            <w:tcBorders>
              <w:top w:val="single" w:color="000000" w:sz="4" w:space="0"/>
              <w:left w:val="single" w:color="000000" w:sz="4" w:space="0"/>
              <w:bottom w:val="single" w:color="000000" w:sz="4" w:space="0"/>
              <w:right w:val="single" w:color="000000" w:sz="4" w:space="0"/>
            </w:tcBorders>
            <w:vAlign w:val="center"/>
          </w:tcPr>
          <w:p w14:paraId="17135A8E">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整体规格：≥2500mm（</w:t>
            </w:r>
            <w:r>
              <w:rPr>
                <w:rFonts w:hint="eastAsia" w:ascii="宋体" w:hAnsi="宋体" w:eastAsia="宋体" w:cs="宋体"/>
                <w:color w:val="auto"/>
                <w:kern w:val="0"/>
                <w:sz w:val="21"/>
                <w:szCs w:val="21"/>
                <w:lang w:eastAsia="zh-CN" w:bidi="ar"/>
              </w:rPr>
              <w:t>长</w:t>
            </w:r>
            <w:r>
              <w:rPr>
                <w:rFonts w:hint="eastAsia" w:ascii="宋体" w:hAnsi="宋体" w:eastAsia="宋体" w:cs="宋体"/>
                <w:color w:val="auto"/>
                <w:kern w:val="0"/>
                <w:sz w:val="21"/>
                <w:szCs w:val="21"/>
                <w:lang w:bidi="ar"/>
              </w:rPr>
              <w:t>）×700mm（</w:t>
            </w:r>
            <w:r>
              <w:rPr>
                <w:rFonts w:hint="eastAsia" w:ascii="宋体" w:hAnsi="宋体" w:eastAsia="宋体" w:cs="宋体"/>
                <w:color w:val="auto"/>
                <w:kern w:val="0"/>
                <w:sz w:val="21"/>
                <w:szCs w:val="21"/>
                <w:lang w:eastAsia="zh-CN" w:bidi="ar"/>
              </w:rPr>
              <w:t>宽</w:t>
            </w:r>
            <w:r>
              <w:rPr>
                <w:rFonts w:hint="eastAsia" w:ascii="宋体" w:hAnsi="宋体" w:eastAsia="宋体" w:cs="宋体"/>
                <w:color w:val="auto"/>
                <w:kern w:val="0"/>
                <w:sz w:val="21"/>
                <w:szCs w:val="21"/>
                <w:lang w:bidi="ar"/>
              </w:rPr>
              <w:t>）×945mm（</w:t>
            </w:r>
            <w:r>
              <w:rPr>
                <w:rFonts w:hint="eastAsia" w:ascii="宋体" w:hAnsi="宋体" w:eastAsia="宋体" w:cs="宋体"/>
                <w:color w:val="auto"/>
                <w:kern w:val="0"/>
                <w:sz w:val="21"/>
                <w:szCs w:val="21"/>
                <w:lang w:eastAsia="zh-CN" w:bidi="ar"/>
              </w:rPr>
              <w:t>高</w:t>
            </w:r>
            <w:r>
              <w:rPr>
                <w:rFonts w:hint="eastAsia" w:ascii="宋体" w:hAnsi="宋体" w:eastAsia="宋体" w:cs="宋体"/>
                <w:color w:val="auto"/>
                <w:kern w:val="0"/>
                <w:sz w:val="21"/>
                <w:szCs w:val="21"/>
                <w:lang w:bidi="ar"/>
              </w:rPr>
              <w:t>）；</w:t>
            </w:r>
          </w:p>
          <w:p w14:paraId="466D3585">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整体由桌体、装配式采集终端组成。</w:t>
            </w:r>
          </w:p>
          <w:p w14:paraId="7C98F7E2">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一、桌体：</w:t>
            </w:r>
          </w:p>
          <w:p w14:paraId="69F3BE92">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规格：≥2500mm（</w:t>
            </w:r>
            <w:r>
              <w:rPr>
                <w:rFonts w:hint="eastAsia" w:ascii="宋体" w:hAnsi="宋体" w:eastAsia="宋体" w:cs="宋体"/>
                <w:color w:val="auto"/>
                <w:kern w:val="0"/>
                <w:sz w:val="21"/>
                <w:szCs w:val="21"/>
                <w:lang w:eastAsia="zh-CN" w:bidi="ar"/>
              </w:rPr>
              <w:t>长</w:t>
            </w:r>
            <w:r>
              <w:rPr>
                <w:rFonts w:hint="eastAsia" w:ascii="宋体" w:hAnsi="宋体" w:eastAsia="宋体" w:cs="宋体"/>
                <w:color w:val="auto"/>
                <w:kern w:val="0"/>
                <w:sz w:val="21"/>
                <w:szCs w:val="21"/>
                <w:lang w:bidi="ar"/>
              </w:rPr>
              <w:t>）×700mm（</w:t>
            </w:r>
            <w:r>
              <w:rPr>
                <w:rFonts w:hint="eastAsia" w:ascii="宋体" w:hAnsi="宋体" w:eastAsia="宋体" w:cs="宋体"/>
                <w:color w:val="auto"/>
                <w:kern w:val="0"/>
                <w:sz w:val="21"/>
                <w:szCs w:val="21"/>
                <w:lang w:eastAsia="zh-CN" w:bidi="ar"/>
              </w:rPr>
              <w:t>宽</w:t>
            </w:r>
            <w:r>
              <w:rPr>
                <w:rFonts w:hint="eastAsia" w:ascii="宋体" w:hAnsi="宋体" w:eastAsia="宋体" w:cs="宋体"/>
                <w:color w:val="auto"/>
                <w:kern w:val="0"/>
                <w:sz w:val="21"/>
                <w:szCs w:val="21"/>
                <w:lang w:bidi="ar"/>
              </w:rPr>
              <w:t>）×900mm（</w:t>
            </w:r>
            <w:r>
              <w:rPr>
                <w:rFonts w:hint="eastAsia" w:ascii="宋体" w:hAnsi="宋体" w:eastAsia="宋体" w:cs="宋体"/>
                <w:color w:val="auto"/>
                <w:kern w:val="0"/>
                <w:sz w:val="21"/>
                <w:szCs w:val="21"/>
                <w:lang w:eastAsia="zh-CN" w:bidi="ar"/>
              </w:rPr>
              <w:t>高</w:t>
            </w:r>
            <w:r>
              <w:rPr>
                <w:rFonts w:hint="eastAsia" w:ascii="宋体" w:hAnsi="宋体" w:eastAsia="宋体" w:cs="宋体"/>
                <w:color w:val="auto"/>
                <w:kern w:val="0"/>
                <w:sz w:val="21"/>
                <w:szCs w:val="21"/>
                <w:lang w:bidi="ar"/>
              </w:rPr>
              <w:t>）；由台面、储物柜、键盘抽屉架、布线柜、可调脚组成；</w:t>
            </w:r>
          </w:p>
          <w:p w14:paraId="11725832">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1、台面：规格：≥2395mm×645mm×12.7mm；采用实芯理化板；</w:t>
            </w:r>
          </w:p>
          <w:p w14:paraId="148AA2E6">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2、储物柜：配有2个储物柜；</w:t>
            </w:r>
          </w:p>
          <w:p w14:paraId="6DB2B053">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2.1储物柜1：≥550mm×700mm×900mm，由柜体、柜门、活动层板、抽屉组成；</w:t>
            </w:r>
          </w:p>
          <w:p w14:paraId="5108B8D7">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2.1.1柜体：全钢结构，采用≥1.0mm厚冷轧钢板；边缘做倒角设计，可防止磕碰；</w:t>
            </w:r>
          </w:p>
          <w:p w14:paraId="321646C2">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2.1.2柜门：主体采用双层冷轧钢板装配成型，内附蜂窝状瓦楞纸防噪填充，门板面板内嵌ABS塑料拉手；</w:t>
            </w:r>
          </w:p>
          <w:p w14:paraId="2DB3E8BB">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 xml:space="preserve">2.1.3活动层板：柜体内设有活动层板，规格≥545mm×435mm×20mm，采用≥1.0mm厚冷轧钢板制作，配合至少4个塑料支撑扣调整上下高度，调节孔距≥65mm，承重≥20KG； </w:t>
            </w:r>
          </w:p>
          <w:p w14:paraId="3901896A">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2.1.4抽屉：内置≥1个内部规格：≥310mm×350mm×125mm抽屉，采用≥1.0mm厚冷轧钢板制作，抽头为双层结构，内附蜂窝状瓦楞纸防噪填充，采用三节静音导轨，配备阻尼滑道，抽头内嵌塑料拉手；</w:t>
            </w:r>
          </w:p>
          <w:p w14:paraId="7890F274">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2.2储物柜2：≥550mm×700mm×900mm，由柜体，柜门、活动层板组成；</w:t>
            </w:r>
          </w:p>
          <w:p w14:paraId="646C76D4">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2.2.1柜体：全钢结构，采用≥1.0mm厚冷轧钢板；边缘做倒角设计，可防止磕碰；</w:t>
            </w:r>
          </w:p>
          <w:p w14:paraId="4B689429">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2.2.2柜门：主体采用双层冷轧钢板装配成型，内附蜂窝状瓦楞纸防噪填充，门板面板内嵌ABS塑料拉手；</w:t>
            </w:r>
          </w:p>
          <w:p w14:paraId="03D71340">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 xml:space="preserve">2.2.3活动层板：柜体内设有活动层板，规格≥540mm×610mm×20mm，采用≥1.0mm厚冷轧钢板制作，配合至少4个塑料支撑扣调整上下高度，调节孔距≥65mm，承重≥20KG； </w:t>
            </w:r>
          </w:p>
          <w:p w14:paraId="4E231AD7">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3、键盘抽屉架：≥1400mm×510mm×90mm，由≥1.0mm厚冷轧钢板与ABS塑料组成。内置抽拉式托盘：采用ABS材料一体化注塑成型；内部设计有鼠标与键盘的定点定位槽位；托盘配备高强度静音滑轨。</w:t>
            </w:r>
          </w:p>
          <w:p w14:paraId="558ADD2A">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val="en-US" w:eastAsia="zh-CN" w:bidi="ar"/>
              </w:rPr>
              <w:t>4、</w:t>
            </w:r>
            <w:r>
              <w:rPr>
                <w:rFonts w:hint="eastAsia" w:ascii="宋体" w:hAnsi="宋体" w:eastAsia="宋体" w:cs="宋体"/>
                <w:color w:val="auto"/>
                <w:kern w:val="0"/>
                <w:sz w:val="21"/>
                <w:szCs w:val="21"/>
                <w:lang w:bidi="ar"/>
              </w:rPr>
              <w:t>布线柜</w:t>
            </w:r>
            <w:r>
              <w:rPr>
                <w:rFonts w:hint="eastAsia" w:ascii="宋体" w:hAnsi="宋体" w:cs="宋体"/>
                <w:color w:val="auto"/>
                <w:kern w:val="0"/>
                <w:sz w:val="21"/>
                <w:szCs w:val="21"/>
                <w:lang w:eastAsia="zh-CN" w:bidi="ar"/>
              </w:rPr>
              <w:t>：</w:t>
            </w:r>
          </w:p>
          <w:p w14:paraId="5C5E100F">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4.1柜体：全钢结构，采用≥1.0mm厚冷轧钢板，表面平整光滑，耐酸碱，防腐蚀。支持用于隐蔽式布线；</w:t>
            </w:r>
          </w:p>
          <w:p w14:paraId="1AD509D6">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4.2柜门：采用≥1.0mm厚冷轧钢板折弯焊接成型，无铰链结构，采用卡扣方式固定，支持快速拆装，便于检修维护；</w:t>
            </w:r>
          </w:p>
          <w:p w14:paraId="38556CF5">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4.3层板：柜体内设有固定层板，规格≥695mm×135mm×20mm，采用≥1.0mm厚冷轧钢板制作，承重≥20KG；</w:t>
            </w:r>
          </w:p>
          <w:p w14:paraId="2EA937BD">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5、可调脚：桌体底部配备≥50mm高钢制PP注塑调节地脚。</w:t>
            </w:r>
          </w:p>
          <w:p w14:paraId="5610731C">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二、装配式采集终端：由集成柜体模块、升降系统模块、视频采集模块、电源操作控制模块、交互终端模块组成。</w:t>
            </w:r>
          </w:p>
          <w:p w14:paraId="4BEE6436">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1、集成柜体模块</w:t>
            </w:r>
          </w:p>
          <w:p w14:paraId="565032B8">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1.1柜体：≥1200mm×160mm×760mm，采用≥1.0mm冷轧钢板;柜体两侧设置提手，便于移动运输；</w:t>
            </w:r>
          </w:p>
          <w:p w14:paraId="0ED326D5">
            <w:pPr>
              <w:widowControl/>
              <w:jc w:val="left"/>
              <w:textAlignment w:val="center"/>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bidi="ar"/>
              </w:rPr>
              <w:t>1.2功能面板：≥1195mm×165mm×65mm，采用斜面设计，ABS一体化注塑成型；内置独立急停开关</w:t>
            </w:r>
            <w:r>
              <w:rPr>
                <w:rFonts w:hint="eastAsia" w:ascii="宋体" w:hAnsi="宋体" w:eastAsia="宋体" w:cs="宋体"/>
                <w:color w:val="auto"/>
                <w:kern w:val="0"/>
                <w:sz w:val="21"/>
                <w:szCs w:val="21"/>
                <w:lang w:eastAsia="zh-CN" w:bidi="ar"/>
              </w:rPr>
              <w:t>；</w:t>
            </w:r>
          </w:p>
          <w:p w14:paraId="2448706E">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1.3屏风：≥1120mm×495mm×5mm，采用PMMA材质；</w:t>
            </w:r>
          </w:p>
          <w:p w14:paraId="580E390D">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1.4脚垫：PP+不锈钢材质，直径规格≥35mm；高度可在0mm-10mm范围内调节；</w:t>
            </w:r>
          </w:p>
          <w:p w14:paraId="504F9B12">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1.5设备供电：220V,50Hz。</w:t>
            </w:r>
          </w:p>
          <w:p w14:paraId="445EBBE0">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2、升降系统模块：包括电机控制单元、屏风升降单元、交互终端升降单元、摄像头升降单元。</w:t>
            </w:r>
          </w:p>
          <w:p w14:paraId="699A1CB2">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2.1电机控制单元：配置6路减速电机，10路光电开关，2路限位开关，到位自动停止；配备1路CAN通讯，24V供电接口，6口带PoE网络接口；</w:t>
            </w:r>
          </w:p>
          <w:p w14:paraId="208BC5FE">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2.2屏风升降单元：独立电动升降结构，屏风升降高度范围：0-300mm；</w:t>
            </w:r>
          </w:p>
          <w:p w14:paraId="52FF037D">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2.3交互终端升降单元：独立电动升降结构，支持教师端远程控制</w:t>
            </w:r>
          </w:p>
          <w:p w14:paraId="212F2BFD">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2.4摄像头升降单元：四组独立升降机构，支持升降及旋转臂运动：</w:t>
            </w:r>
          </w:p>
          <w:p w14:paraId="0DC42DDC">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2.4.1顶视摄像头旋转臂展开角度范围：0-125°；顶视摄像头旋转臂展开高度：≥725mm（相对于桌面）；</w:t>
            </w:r>
          </w:p>
          <w:p w14:paraId="2305A145">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2.4.2侧视摄像头旋转臂展开角度范围：0-90°；侧视摄像头旋转臂展开高度：≥480mm（相对于桌面）；</w:t>
            </w:r>
          </w:p>
          <w:p w14:paraId="15160873">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2.4.3旋转臂复位功能：旋转臂运行过程中遇阻能够自动复位，当累计复位次数达10次时，旋转臂将自动停止运动，进入保护模式。</w:t>
            </w:r>
          </w:p>
        </w:tc>
        <w:tc>
          <w:tcPr>
            <w:tcW w:w="448" w:type="pct"/>
            <w:tcBorders>
              <w:top w:val="single" w:color="000000" w:sz="4" w:space="0"/>
              <w:left w:val="single" w:color="000000" w:sz="4" w:space="0"/>
              <w:bottom w:val="single" w:color="000000" w:sz="4" w:space="0"/>
              <w:right w:val="single" w:color="000000" w:sz="4" w:space="0"/>
            </w:tcBorders>
            <w:vAlign w:val="center"/>
          </w:tcPr>
          <w:p w14:paraId="5B9B759D">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495" w:type="pct"/>
            <w:tcBorders>
              <w:top w:val="single" w:color="000000" w:sz="4" w:space="0"/>
              <w:left w:val="single" w:color="000000" w:sz="4" w:space="0"/>
              <w:bottom w:val="single" w:color="000000" w:sz="4" w:space="0"/>
              <w:right w:val="single" w:color="000000" w:sz="4" w:space="0"/>
            </w:tcBorders>
            <w:vAlign w:val="center"/>
          </w:tcPr>
          <w:p w14:paraId="2246CE59">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张</w:t>
            </w:r>
          </w:p>
        </w:tc>
      </w:tr>
      <w:tr w14:paraId="787E9408">
        <w:tblPrEx>
          <w:tblCellMar>
            <w:top w:w="0" w:type="dxa"/>
            <w:left w:w="108" w:type="dxa"/>
            <w:bottom w:w="0" w:type="dxa"/>
            <w:right w:w="108" w:type="dxa"/>
          </w:tblCellMar>
        </w:tblPrEx>
        <w:trPr>
          <w:trHeight w:val="560" w:hRule="atLeast"/>
        </w:trPr>
        <w:tc>
          <w:tcPr>
            <w:tcW w:w="437" w:type="pct"/>
            <w:tcBorders>
              <w:top w:val="single" w:color="000000" w:sz="4" w:space="0"/>
              <w:left w:val="single" w:color="000000" w:sz="4" w:space="0"/>
              <w:bottom w:val="single" w:color="000000" w:sz="4" w:space="0"/>
              <w:right w:val="single" w:color="000000" w:sz="4" w:space="0"/>
            </w:tcBorders>
            <w:noWrap/>
            <w:vAlign w:val="center"/>
          </w:tcPr>
          <w:p w14:paraId="3CD4FB1C">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w:t>
            </w:r>
          </w:p>
        </w:tc>
        <w:tc>
          <w:tcPr>
            <w:tcW w:w="682" w:type="pct"/>
            <w:tcBorders>
              <w:top w:val="single" w:color="000000" w:sz="4" w:space="0"/>
              <w:left w:val="single" w:color="000000" w:sz="4" w:space="0"/>
              <w:bottom w:val="single" w:color="000000" w:sz="4" w:space="0"/>
              <w:right w:val="single" w:color="000000" w:sz="4" w:space="0"/>
            </w:tcBorders>
            <w:vAlign w:val="center"/>
          </w:tcPr>
          <w:p w14:paraId="5A74B8B4">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教师椅</w:t>
            </w:r>
          </w:p>
        </w:tc>
        <w:tc>
          <w:tcPr>
            <w:tcW w:w="2935" w:type="pct"/>
            <w:tcBorders>
              <w:top w:val="single" w:color="000000" w:sz="4" w:space="0"/>
              <w:left w:val="single" w:color="000000" w:sz="4" w:space="0"/>
              <w:bottom w:val="single" w:color="000000" w:sz="4" w:space="0"/>
              <w:right w:val="single" w:color="000000" w:sz="4" w:space="0"/>
            </w:tcBorders>
            <w:vAlign w:val="center"/>
          </w:tcPr>
          <w:p w14:paraId="784BF923">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1.规格：≥550×500×1070mm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2.采用PU皮面，海绵坐垫；</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3.黑色PP加玻纤内外塑框；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4.一体成型PP固定扶手；</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5.中靠背46-49cm，人体工程学设计；</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6.≥1.0mm厚气杆；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7.PP加纤五星塑脚；</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8.φ50mm（偏差±5%）黑边尼龙万向轮。</w:t>
            </w:r>
          </w:p>
        </w:tc>
        <w:tc>
          <w:tcPr>
            <w:tcW w:w="448" w:type="pct"/>
            <w:tcBorders>
              <w:top w:val="single" w:color="000000" w:sz="4" w:space="0"/>
              <w:left w:val="single" w:color="000000" w:sz="4" w:space="0"/>
              <w:bottom w:val="single" w:color="000000" w:sz="4" w:space="0"/>
              <w:right w:val="single" w:color="000000" w:sz="4" w:space="0"/>
            </w:tcBorders>
            <w:vAlign w:val="center"/>
          </w:tcPr>
          <w:p w14:paraId="63DDEAC5">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495" w:type="pct"/>
            <w:tcBorders>
              <w:top w:val="single" w:color="000000" w:sz="4" w:space="0"/>
              <w:left w:val="single" w:color="000000" w:sz="4" w:space="0"/>
              <w:bottom w:val="single" w:color="000000" w:sz="4" w:space="0"/>
              <w:right w:val="single" w:color="000000" w:sz="4" w:space="0"/>
            </w:tcBorders>
            <w:vAlign w:val="center"/>
          </w:tcPr>
          <w:p w14:paraId="40C69FD2">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张</w:t>
            </w:r>
          </w:p>
        </w:tc>
      </w:tr>
      <w:tr w14:paraId="1BD0E60C">
        <w:tblPrEx>
          <w:tblCellMar>
            <w:top w:w="0" w:type="dxa"/>
            <w:left w:w="108" w:type="dxa"/>
            <w:bottom w:w="0" w:type="dxa"/>
            <w:right w:w="108" w:type="dxa"/>
          </w:tblCellMar>
        </w:tblPrEx>
        <w:trPr>
          <w:trHeight w:val="560" w:hRule="atLeast"/>
        </w:trPr>
        <w:tc>
          <w:tcPr>
            <w:tcW w:w="437" w:type="pct"/>
            <w:tcBorders>
              <w:top w:val="single" w:color="000000" w:sz="4" w:space="0"/>
              <w:left w:val="single" w:color="000000" w:sz="4" w:space="0"/>
              <w:bottom w:val="single" w:color="000000" w:sz="4" w:space="0"/>
              <w:right w:val="single" w:color="000000" w:sz="4" w:space="0"/>
            </w:tcBorders>
            <w:noWrap/>
            <w:vAlign w:val="center"/>
          </w:tcPr>
          <w:p w14:paraId="4A17CD05">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w:t>
            </w:r>
          </w:p>
        </w:tc>
        <w:tc>
          <w:tcPr>
            <w:tcW w:w="682" w:type="pct"/>
            <w:tcBorders>
              <w:top w:val="single" w:color="000000" w:sz="4" w:space="0"/>
              <w:left w:val="single" w:color="000000" w:sz="4" w:space="0"/>
              <w:bottom w:val="single" w:color="000000" w:sz="4" w:space="0"/>
              <w:right w:val="single" w:color="000000" w:sz="4" w:space="0"/>
            </w:tcBorders>
            <w:vAlign w:val="center"/>
          </w:tcPr>
          <w:p w14:paraId="30F56662">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吊装系统交互控制终端</w:t>
            </w:r>
          </w:p>
        </w:tc>
        <w:tc>
          <w:tcPr>
            <w:tcW w:w="2935" w:type="pct"/>
            <w:tcBorders>
              <w:top w:val="single" w:color="000000" w:sz="4" w:space="0"/>
              <w:left w:val="single" w:color="000000" w:sz="4" w:space="0"/>
              <w:bottom w:val="single" w:color="000000" w:sz="4" w:space="0"/>
              <w:right w:val="single" w:color="000000" w:sz="4" w:space="0"/>
            </w:tcBorders>
            <w:vAlign w:val="center"/>
          </w:tcPr>
          <w:p w14:paraId="291EEB8E">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由交互操作单元、供电单元、数据交换单元、配电单元构成。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一、交互操作单元：壳体：≥330mm×170mm×150mm，壁厚3mm（±0.2mm），采用工程塑料注塑成型；配备15.6英寸（偏差±5%）电容触摸液晶屏；配备数据处理终端，采用≥8核处理器，主频≥2.4GHz，或采用同等及以上综合性能的处理平台，内存≥8GB；存储≥64GB；</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二、供电单元：由低压交流输出模块、低压直流输出模块、高压输出模块、拓展模块组成；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1、低压交流输出模块：配备≥1路直流输出接口，支持输出0-30V交流电压，额定电流≥2A，分辨率为0.1V，具备过载保护功能；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2、低压直流输出模块：配备≥1路交流输出接口，支持输出0-30V直流电压，额定电流≥2A，分辨率为0.1V，具备过载保护功能；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3、高压输出模块：配备≥2路220V高压插座，额定电流≥5A，带防触电保护门；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4、拓展模块：设置≥2个USB接口、≥1个RJ45网络接口，支持 ≥100Mbps有线网络通信；</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三、数据交换单元：配置 ≥24口千兆交换机，配置≥千兆网口无线路由器；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四、配电单元：由配电柜、环境监测模块、开关电源模块、工作指示模块组成；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1、配电柜：采用1.0mm（±0.1mm）镀锌钢板冷轧成型，表面经过防腐氧化处理和纯环氧树脂塑粉高温固化处理；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2、环境监测模块：配置环境温湿度数据监测传感器，温度检测范围： -20℃~+60℃；湿度检测范围：5%RH~95%RH；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3、开关电源模块：配置≥6组开关电源，其中不少于5组开关电源带漏电保护装置；</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4、工作指示模块：配置急停旋钮，可实现电源强制中断；支持手动复位。配置双色工作指示开关，可实时查看配电单元工作状态。</w:t>
            </w:r>
          </w:p>
        </w:tc>
        <w:tc>
          <w:tcPr>
            <w:tcW w:w="448" w:type="pct"/>
            <w:tcBorders>
              <w:top w:val="single" w:color="000000" w:sz="4" w:space="0"/>
              <w:left w:val="single" w:color="000000" w:sz="4" w:space="0"/>
              <w:bottom w:val="single" w:color="000000" w:sz="4" w:space="0"/>
              <w:right w:val="single" w:color="000000" w:sz="4" w:space="0"/>
            </w:tcBorders>
            <w:vAlign w:val="center"/>
          </w:tcPr>
          <w:p w14:paraId="2F0ADE09">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495" w:type="pct"/>
            <w:tcBorders>
              <w:top w:val="single" w:color="000000" w:sz="4" w:space="0"/>
              <w:left w:val="single" w:color="000000" w:sz="4" w:space="0"/>
              <w:bottom w:val="single" w:color="000000" w:sz="4" w:space="0"/>
              <w:right w:val="single" w:color="000000" w:sz="4" w:space="0"/>
            </w:tcBorders>
            <w:vAlign w:val="center"/>
          </w:tcPr>
          <w:p w14:paraId="154C8CE0">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r>
      <w:tr w14:paraId="1681A6A5">
        <w:tblPrEx>
          <w:tblCellMar>
            <w:top w:w="0" w:type="dxa"/>
            <w:left w:w="108" w:type="dxa"/>
            <w:bottom w:w="0" w:type="dxa"/>
            <w:right w:w="108" w:type="dxa"/>
          </w:tblCellMar>
        </w:tblPrEx>
        <w:trPr>
          <w:trHeight w:val="560" w:hRule="atLeast"/>
        </w:trPr>
        <w:tc>
          <w:tcPr>
            <w:tcW w:w="437" w:type="pct"/>
            <w:tcBorders>
              <w:top w:val="single" w:color="000000" w:sz="4" w:space="0"/>
              <w:left w:val="single" w:color="000000" w:sz="4" w:space="0"/>
              <w:bottom w:val="single" w:color="000000" w:sz="4" w:space="0"/>
              <w:right w:val="single" w:color="000000" w:sz="4" w:space="0"/>
            </w:tcBorders>
            <w:noWrap/>
            <w:vAlign w:val="center"/>
          </w:tcPr>
          <w:p w14:paraId="762CE831">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w:t>
            </w:r>
          </w:p>
        </w:tc>
        <w:tc>
          <w:tcPr>
            <w:tcW w:w="682" w:type="pct"/>
            <w:tcBorders>
              <w:top w:val="single" w:color="000000" w:sz="4" w:space="0"/>
              <w:left w:val="single" w:color="000000" w:sz="4" w:space="0"/>
              <w:bottom w:val="single" w:color="000000" w:sz="4" w:space="0"/>
              <w:right w:val="single" w:color="000000" w:sz="4" w:space="0"/>
            </w:tcBorders>
            <w:vAlign w:val="center"/>
          </w:tcPr>
          <w:p w14:paraId="7FB23BF2">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智能吊装综合控制系统</w:t>
            </w:r>
          </w:p>
        </w:tc>
        <w:tc>
          <w:tcPr>
            <w:tcW w:w="2935" w:type="pct"/>
            <w:tcBorders>
              <w:top w:val="single" w:color="000000" w:sz="4" w:space="0"/>
              <w:left w:val="single" w:color="000000" w:sz="4" w:space="0"/>
              <w:bottom w:val="single" w:color="000000" w:sz="4" w:space="0"/>
              <w:right w:val="single" w:color="000000" w:sz="4" w:space="0"/>
            </w:tcBorders>
            <w:vAlign w:val="center"/>
          </w:tcPr>
          <w:p w14:paraId="44F41C91">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由媒介互动区、功能设置区、系统设置区组成。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一、媒介互动区：</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采用3D可交互模型，对智能吊装系统各功能模块进行实时动态展示及交互控制，包括以下互动单元：</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1、通风系统模块互动单元：集成通风系统模块交互模型，模型界面实时显示风管连接动态效果；支持用户通过点击对应功能按键实现通风功能开启与关闭，通风开启后，实时显示气流运行的动态效果；</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给排水系统模块互动单元：集成给排水系统模块交互模型，模型界面实时显示给/排水管线、信号线连接动态效果；支持用户通过点击对应功能按键实现给排水功能开启与关闭，给排水功能开启后，模型界面支持实时显示给水/排水的动态效果；</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3、供电系统模块互动单元：集成电源控制系统模块交互模型，支持用户通过点击对应功能按键实现高压/低压电源功能开启与关闭，模型界面支持实时动态显示电源启停状态；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4、照明系统模块互动单元：集成照明控制系统模块交互模型，支持用户通过点击对应功能按键实现照明功能开启与关闭，模型界面支持实时动态显示照明开启/关闭状态；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5、功能柱升降系统模块互动单元：集成功能柱升降系统模块交互模型，支持用户通过点击对应功能按键实现功能柱的展开与收起，模型界面支持实时动态展示。</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二、功能设置区：</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支持对接入系统的所有设备进行全选/单选/反选操作，便于用户进行批量或定向控制；控制界面具备设备标记图层显示功能，通过不同颜色指示设备状态，实时反映设备当前状态（未运行/运行中/出故障）。包含以下模块设置：</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1、首页：支持完成设备的一键启动、全部关闭、全部复位。</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1.1一键启动：支持一键启动所选吊装设备供电、功能柱降下、照明系统等模块开启；</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1.2全部关闭：支持一键关闭所选吊装设备排风、供水、照明、高低压电源等模块，并开启排水；</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1.3全部复位：支持一键完成所选吊装设备关闭排风、供水、照明、排水、高低压电源等模块并收起功能柱；</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1.4一键启动自定义设置：系统配备“一键启动自定义设置”功能，配备独立设置界面，支持用户根据需求自定义选择需一键启动的功能模块。可自定义的功能应包括功能柱展开、排风开启、供水开启、照明开启、高压电开启。界面支持显示各功能的勾选状态，已勾选功能在执行一键启动指令时自动启动，未勾选功能保持关闭状态，以实现系统功能启动的灵活配置。</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2、通风系统模块设置：支持控制所选设备的通风功能，包括开启、关闭以及风量调节，调节范围0～100%。</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3、给排水系统模块设置：</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3.1支持控制选中设备开启/关闭供水功能；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3.2支持控制选中设备启用一键排水功能；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3.3水位查看与管理：可实时查看污水桶水位，包括数值区间与状态识别。通过数值及图形方式显示当前污水桶水位，范围覆盖10%～90%；支持基于水位高度自动切换图标颜色来实时反映水位当前状态（低水位：0%～29%；正常水位：30%～69%；高水位：≥70%）；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4、供电系统模块设置：</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4.1支持控制选中设备开启/关闭AC220V高压电源输出；</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★4.2支持对低压输出设备进行参数设置，包含不少于三种输出模式：</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4.2.1不限电压模式：输出电压可在量程范围内连续调节；</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4.2.2定值电压模式：根据用户设定的目标电压精准输出；</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4.2.3范围电压模式：支持由用户端设定电压上限，设定后只能在限定范围内输出电压；</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4.2.4当低压电源输入数值超过最大电压值时，进行超范围提示；</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★4.3支持常用电压预设功能，不少于3个预设电压值，便于教学场景中快速调用；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4.4具备电压记忆功能，自动记忆上次设置参数，提升使用便捷性。</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5、照明系统模块设置：</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★5.1支持控制所选设备的照明功能，包括照明的开启/关闭、亮度调节，照明亮度调节范围0%～100%；</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★5.2支持护眼模式，实验模式以及其他模式自由选择，护眼及实验模式下支持实时查看对应功率、色温、显色指数、频闪波动深度。</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三、系统设置区:包含参数设置、密码设置、异常排查。</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1、参数设置：支持设置实验室名称/编号、定时关机时间、开机方式；</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2、密码管理：支持设置开机密码；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3、异常排查：支持查看设备异常日志、故障码手册；</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3.1设备异常日志：支持查看设备的异常信息，包含设备编号、异常信息及异常触发时间，支持按日期进行筛选；</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3.2故障码手册：支持查看对应故障码的异常原因及排查流程。</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带★的条款</w:t>
            </w:r>
            <w:r>
              <w:rPr>
                <w:rFonts w:hint="eastAsia" w:ascii="宋体" w:hAnsi="宋体" w:eastAsia="宋体" w:cs="宋体"/>
                <w:color w:val="auto"/>
                <w:kern w:val="0"/>
                <w:sz w:val="21"/>
                <w:szCs w:val="21"/>
                <w:lang w:val="en-US" w:eastAsia="zh-CN" w:bidi="ar"/>
              </w:rPr>
              <w:t>供应商</w:t>
            </w:r>
            <w:r>
              <w:rPr>
                <w:rFonts w:hint="eastAsia" w:ascii="宋体" w:hAnsi="宋体" w:eastAsia="宋体" w:cs="宋体"/>
                <w:color w:val="auto"/>
                <w:kern w:val="0"/>
                <w:sz w:val="21"/>
                <w:szCs w:val="21"/>
                <w:lang w:bidi="ar"/>
              </w:rPr>
              <w:t>须提供符合参数的产品的</w:t>
            </w:r>
            <w:r>
              <w:rPr>
                <w:rFonts w:hint="eastAsia"/>
                <w:color w:val="auto"/>
                <w:lang w:val="en-US" w:eastAsia="zh-CN"/>
              </w:rPr>
              <w:t>功能性截图</w:t>
            </w:r>
            <w:r>
              <w:rPr>
                <w:rFonts w:hint="eastAsia" w:ascii="宋体" w:hAnsi="宋体" w:eastAsia="宋体" w:cs="宋体"/>
                <w:color w:val="auto"/>
                <w:kern w:val="0"/>
                <w:sz w:val="21"/>
                <w:szCs w:val="21"/>
                <w:lang w:bidi="ar"/>
              </w:rPr>
              <w:t>予以佐证，并加盖</w:t>
            </w:r>
            <w:r>
              <w:rPr>
                <w:rFonts w:hint="eastAsia" w:ascii="宋体" w:hAnsi="宋体" w:eastAsia="宋体" w:cs="宋体"/>
                <w:color w:val="auto"/>
                <w:kern w:val="0"/>
                <w:sz w:val="21"/>
                <w:szCs w:val="21"/>
                <w:lang w:val="en-US" w:eastAsia="zh-CN" w:bidi="ar"/>
              </w:rPr>
              <w:t>供应商</w:t>
            </w:r>
            <w:r>
              <w:rPr>
                <w:rFonts w:hint="eastAsia" w:ascii="宋体" w:hAnsi="宋体" w:eastAsia="宋体" w:cs="宋体"/>
                <w:color w:val="auto"/>
                <w:kern w:val="0"/>
                <w:sz w:val="21"/>
                <w:szCs w:val="21"/>
                <w:lang w:bidi="ar"/>
              </w:rPr>
              <w:t>公章。</w:t>
            </w:r>
          </w:p>
        </w:tc>
        <w:tc>
          <w:tcPr>
            <w:tcW w:w="448" w:type="pct"/>
            <w:tcBorders>
              <w:top w:val="single" w:color="000000" w:sz="4" w:space="0"/>
              <w:left w:val="single" w:color="000000" w:sz="4" w:space="0"/>
              <w:bottom w:val="single" w:color="000000" w:sz="4" w:space="0"/>
              <w:right w:val="single" w:color="000000" w:sz="4" w:space="0"/>
            </w:tcBorders>
            <w:vAlign w:val="center"/>
          </w:tcPr>
          <w:p w14:paraId="6CC1FBC5">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495" w:type="pct"/>
            <w:tcBorders>
              <w:top w:val="single" w:color="000000" w:sz="4" w:space="0"/>
              <w:left w:val="single" w:color="000000" w:sz="4" w:space="0"/>
              <w:bottom w:val="single" w:color="000000" w:sz="4" w:space="0"/>
              <w:right w:val="single" w:color="000000" w:sz="4" w:space="0"/>
            </w:tcBorders>
            <w:vAlign w:val="center"/>
          </w:tcPr>
          <w:p w14:paraId="5C2AB58C">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r>
      <w:tr w14:paraId="0A7343F0">
        <w:tblPrEx>
          <w:tblCellMar>
            <w:top w:w="0" w:type="dxa"/>
            <w:left w:w="108" w:type="dxa"/>
            <w:bottom w:w="0" w:type="dxa"/>
            <w:right w:w="108" w:type="dxa"/>
          </w:tblCellMar>
        </w:tblPrEx>
        <w:trPr>
          <w:trHeight w:val="560" w:hRule="atLeast"/>
        </w:trPr>
        <w:tc>
          <w:tcPr>
            <w:tcW w:w="437" w:type="pct"/>
            <w:tcBorders>
              <w:top w:val="single" w:color="000000" w:sz="4" w:space="0"/>
              <w:left w:val="single" w:color="000000" w:sz="4" w:space="0"/>
              <w:bottom w:val="single" w:color="000000" w:sz="4" w:space="0"/>
              <w:right w:val="single" w:color="000000" w:sz="4" w:space="0"/>
            </w:tcBorders>
            <w:noWrap/>
            <w:vAlign w:val="center"/>
          </w:tcPr>
          <w:p w14:paraId="3BF9C640">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w:t>
            </w:r>
          </w:p>
        </w:tc>
        <w:tc>
          <w:tcPr>
            <w:tcW w:w="682" w:type="pct"/>
            <w:tcBorders>
              <w:top w:val="single" w:color="000000" w:sz="4" w:space="0"/>
              <w:left w:val="single" w:color="000000" w:sz="4" w:space="0"/>
              <w:bottom w:val="single" w:color="000000" w:sz="4" w:space="0"/>
              <w:right w:val="single" w:color="000000" w:sz="4" w:space="0"/>
            </w:tcBorders>
            <w:vAlign w:val="center"/>
          </w:tcPr>
          <w:p w14:paraId="072C2833">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智能吊装综合监测系统</w:t>
            </w:r>
          </w:p>
        </w:tc>
        <w:tc>
          <w:tcPr>
            <w:tcW w:w="2935" w:type="pct"/>
            <w:tcBorders>
              <w:top w:val="single" w:color="000000" w:sz="4" w:space="0"/>
              <w:left w:val="single" w:color="000000" w:sz="4" w:space="0"/>
              <w:bottom w:val="single" w:color="000000" w:sz="4" w:space="0"/>
              <w:right w:val="single" w:color="000000" w:sz="4" w:space="0"/>
            </w:tcBorders>
            <w:vAlign w:val="center"/>
          </w:tcPr>
          <w:p w14:paraId="3C0CE750">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1、统一展示系统运行过程中产生的各类状态信息，通过图形化界面与弹窗消息方式进行实时推送，提示设备数量、编号及状态；异常/故障提醒提供事故原因及排查建议。</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2、给排水系统模块包含以下提醒：</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2.1污水桶排水提醒：当任意设备污水桶水位达到≥70%时系统应自动触发提醒；支持点击跳转至水位查看与管理界面，实时查看污水桶水位信息，包括数值区间与状态识别。通过数值及图形方式显示当前污水桶水位，范围覆盖10%～90%；支持基于水位高度自动切换图标颜色来实时反映水位当前状态（低水位：0%～29%；正常水位：30%～69%；高水位：≥70%）；支持单选或全选设备，进行“一键排水”，对选中设备污水桶进行排水操作。</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★2.2过滤网清洗提醒：单台设备累计排水次数超过200次时系统应自动触发提醒；支持跳转查看污水桶滤网清洗方法提示说明界面，提示说明以图文结合形式体现；</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2.3排水故障提醒：水位下降异常时系统应自动触发提醒；</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3、供电系统模块包含以下提醒：</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★3.1高压过载提醒：检测到有设备电源高压过载时系统应自动触发提醒；支持选中过载设备一键自动复位；</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4、集成箱体模块包含以下提醒：</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4.1功能柱收展异常提醒：功能柱收展异常时系统应自动触发提醒；</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4.2设备通讯故障提醒：控制主机与吊装设备之间通讯异常时系统应自动触发提醒；</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5、系统集成报修机制：故障弹窗内集成“联系售后”按钮，点击后可查看售后电话，便于快速响应；所有故障记录支持查看。</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带★的条款</w:t>
            </w:r>
            <w:r>
              <w:rPr>
                <w:rFonts w:hint="eastAsia" w:ascii="宋体" w:hAnsi="宋体" w:eastAsia="宋体" w:cs="宋体"/>
                <w:color w:val="auto"/>
                <w:kern w:val="0"/>
                <w:sz w:val="21"/>
                <w:szCs w:val="21"/>
                <w:lang w:val="en-US" w:eastAsia="zh-CN" w:bidi="ar"/>
              </w:rPr>
              <w:t>供应商</w:t>
            </w:r>
            <w:r>
              <w:rPr>
                <w:rFonts w:hint="eastAsia" w:ascii="宋体" w:hAnsi="宋体" w:eastAsia="宋体" w:cs="宋体"/>
                <w:color w:val="auto"/>
                <w:kern w:val="0"/>
                <w:sz w:val="21"/>
                <w:szCs w:val="21"/>
                <w:lang w:bidi="ar"/>
              </w:rPr>
              <w:t>须提供符合参数的产品的</w:t>
            </w:r>
            <w:r>
              <w:rPr>
                <w:rFonts w:hint="eastAsia"/>
                <w:color w:val="auto"/>
                <w:lang w:val="en-US" w:eastAsia="zh-CN"/>
              </w:rPr>
              <w:t>功能性截图</w:t>
            </w:r>
            <w:r>
              <w:rPr>
                <w:rFonts w:hint="eastAsia" w:ascii="宋体" w:hAnsi="宋体" w:eastAsia="宋体" w:cs="宋体"/>
                <w:color w:val="auto"/>
                <w:kern w:val="0"/>
                <w:sz w:val="21"/>
                <w:szCs w:val="21"/>
                <w:lang w:bidi="ar"/>
              </w:rPr>
              <w:t>予以佐证，并加盖</w:t>
            </w:r>
            <w:r>
              <w:rPr>
                <w:rFonts w:hint="eastAsia" w:ascii="宋体" w:hAnsi="宋体" w:eastAsia="宋体" w:cs="宋体"/>
                <w:color w:val="auto"/>
                <w:kern w:val="0"/>
                <w:sz w:val="21"/>
                <w:szCs w:val="21"/>
                <w:lang w:val="en-US" w:eastAsia="zh-CN" w:bidi="ar"/>
              </w:rPr>
              <w:t>供应商</w:t>
            </w:r>
            <w:r>
              <w:rPr>
                <w:rFonts w:hint="eastAsia" w:ascii="宋体" w:hAnsi="宋体" w:eastAsia="宋体" w:cs="宋体"/>
                <w:color w:val="auto"/>
                <w:kern w:val="0"/>
                <w:sz w:val="21"/>
                <w:szCs w:val="21"/>
                <w:lang w:bidi="ar"/>
              </w:rPr>
              <w:t>公章。</w:t>
            </w:r>
          </w:p>
        </w:tc>
        <w:tc>
          <w:tcPr>
            <w:tcW w:w="448" w:type="pct"/>
            <w:tcBorders>
              <w:top w:val="single" w:color="000000" w:sz="4" w:space="0"/>
              <w:left w:val="single" w:color="000000" w:sz="4" w:space="0"/>
              <w:bottom w:val="single" w:color="000000" w:sz="4" w:space="0"/>
              <w:right w:val="single" w:color="000000" w:sz="4" w:space="0"/>
            </w:tcBorders>
            <w:vAlign w:val="center"/>
          </w:tcPr>
          <w:p w14:paraId="34D93ED4">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495" w:type="pct"/>
            <w:tcBorders>
              <w:top w:val="single" w:color="000000" w:sz="4" w:space="0"/>
              <w:left w:val="single" w:color="000000" w:sz="4" w:space="0"/>
              <w:bottom w:val="single" w:color="000000" w:sz="4" w:space="0"/>
              <w:right w:val="single" w:color="000000" w:sz="4" w:space="0"/>
            </w:tcBorders>
            <w:vAlign w:val="center"/>
          </w:tcPr>
          <w:p w14:paraId="34E7980B">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r>
      <w:tr w14:paraId="62E60355">
        <w:tblPrEx>
          <w:tblCellMar>
            <w:top w:w="0" w:type="dxa"/>
            <w:left w:w="108" w:type="dxa"/>
            <w:bottom w:w="0" w:type="dxa"/>
            <w:right w:w="108" w:type="dxa"/>
          </w:tblCellMar>
        </w:tblPrEx>
        <w:trPr>
          <w:trHeight w:val="560" w:hRule="atLeast"/>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14:paraId="52ABFFC4">
            <w:pPr>
              <w:rPr>
                <w:rFonts w:hint="eastAsia" w:ascii="宋体" w:hAnsi="宋体" w:eastAsia="宋体" w:cs="宋体"/>
                <w:b/>
                <w:bCs/>
                <w:color w:val="auto"/>
                <w:sz w:val="21"/>
                <w:szCs w:val="21"/>
              </w:rPr>
            </w:pPr>
            <w:r>
              <w:rPr>
                <w:rFonts w:hint="eastAsia" w:ascii="宋体" w:hAnsi="宋体" w:eastAsia="宋体" w:cs="宋体"/>
                <w:b/>
                <w:bCs/>
                <w:color w:val="auto"/>
                <w:kern w:val="0"/>
                <w:sz w:val="21"/>
                <w:szCs w:val="21"/>
                <w:lang w:bidi="ar"/>
              </w:rPr>
              <w:t>二、学生实验学习区</w:t>
            </w:r>
          </w:p>
        </w:tc>
      </w:tr>
      <w:tr w14:paraId="7885ADAA">
        <w:tblPrEx>
          <w:tblCellMar>
            <w:top w:w="0" w:type="dxa"/>
            <w:left w:w="108" w:type="dxa"/>
            <w:bottom w:w="0" w:type="dxa"/>
            <w:right w:w="108" w:type="dxa"/>
          </w:tblCellMar>
        </w:tblPrEx>
        <w:trPr>
          <w:trHeight w:val="560" w:hRule="atLeast"/>
        </w:trPr>
        <w:tc>
          <w:tcPr>
            <w:tcW w:w="437" w:type="pct"/>
            <w:tcBorders>
              <w:top w:val="single" w:color="000000" w:sz="4" w:space="0"/>
              <w:left w:val="single" w:color="000000" w:sz="4" w:space="0"/>
              <w:bottom w:val="single" w:color="000000" w:sz="4" w:space="0"/>
              <w:right w:val="single" w:color="000000" w:sz="4" w:space="0"/>
            </w:tcBorders>
            <w:vAlign w:val="center"/>
          </w:tcPr>
          <w:p w14:paraId="2194359A">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682" w:type="pct"/>
            <w:tcBorders>
              <w:top w:val="single" w:color="000000" w:sz="4" w:space="0"/>
              <w:left w:val="single" w:color="000000" w:sz="4" w:space="0"/>
              <w:bottom w:val="single" w:color="000000" w:sz="4" w:space="0"/>
              <w:right w:val="single" w:color="000000" w:sz="4" w:space="0"/>
            </w:tcBorders>
            <w:vAlign w:val="center"/>
          </w:tcPr>
          <w:p w14:paraId="0FFFA874">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实验桌</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（学生）</w:t>
            </w:r>
          </w:p>
        </w:tc>
        <w:tc>
          <w:tcPr>
            <w:tcW w:w="2935" w:type="pct"/>
            <w:tcBorders>
              <w:top w:val="single" w:color="000000" w:sz="4" w:space="0"/>
              <w:left w:val="single" w:color="000000" w:sz="4" w:space="0"/>
              <w:bottom w:val="single" w:color="000000" w:sz="4" w:space="0"/>
              <w:right w:val="single" w:color="000000" w:sz="4" w:space="0"/>
            </w:tcBorders>
            <w:vAlign w:val="center"/>
          </w:tcPr>
          <w:p w14:paraId="27C10AFB">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规格：≥1200mm（</w:t>
            </w:r>
            <w:r>
              <w:rPr>
                <w:rFonts w:hint="eastAsia" w:ascii="宋体" w:hAnsi="宋体" w:eastAsia="宋体" w:cs="宋体"/>
                <w:color w:val="auto"/>
                <w:kern w:val="0"/>
                <w:sz w:val="21"/>
                <w:szCs w:val="21"/>
                <w:lang w:eastAsia="zh-CN" w:bidi="ar"/>
              </w:rPr>
              <w:t>长</w:t>
            </w:r>
            <w:r>
              <w:rPr>
                <w:rFonts w:hint="eastAsia" w:ascii="宋体" w:hAnsi="宋体" w:eastAsia="宋体" w:cs="宋体"/>
                <w:color w:val="auto"/>
                <w:kern w:val="0"/>
                <w:sz w:val="21"/>
                <w:szCs w:val="21"/>
                <w:lang w:bidi="ar"/>
              </w:rPr>
              <w:t>）×600mm（</w:t>
            </w:r>
            <w:r>
              <w:rPr>
                <w:rFonts w:hint="eastAsia" w:ascii="宋体" w:hAnsi="宋体" w:eastAsia="宋体" w:cs="宋体"/>
                <w:color w:val="auto"/>
                <w:kern w:val="0"/>
                <w:sz w:val="21"/>
                <w:szCs w:val="21"/>
                <w:lang w:eastAsia="zh-CN" w:bidi="ar"/>
              </w:rPr>
              <w:t>宽</w:t>
            </w:r>
            <w:r>
              <w:rPr>
                <w:rFonts w:hint="eastAsia" w:ascii="宋体" w:hAnsi="宋体" w:eastAsia="宋体" w:cs="宋体"/>
                <w:color w:val="auto"/>
                <w:kern w:val="0"/>
                <w:sz w:val="21"/>
                <w:szCs w:val="21"/>
                <w:lang w:bidi="ar"/>
              </w:rPr>
              <w:t>）×780mm（</w:t>
            </w:r>
            <w:r>
              <w:rPr>
                <w:rFonts w:hint="eastAsia" w:ascii="宋体" w:hAnsi="宋体" w:eastAsia="宋体" w:cs="宋体"/>
                <w:color w:val="auto"/>
                <w:kern w:val="0"/>
                <w:sz w:val="21"/>
                <w:szCs w:val="21"/>
                <w:lang w:eastAsia="zh-CN" w:bidi="ar"/>
              </w:rPr>
              <w:t>高</w:t>
            </w: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台面：采用厚度≥12.7mm实芯理化板，整体为高温高压成型的均质实芯结构，耐酸碱、耐高温、耐磨、防潮；台面表层采用六边形蜂窝状压纹设计，单个六边形边长≥2.5mm，压纹深度0.2mm-0.3mm，整体压纹均匀一致，一体热压成型，具备防滑、耐磨功能；台面四周边缘经圆弧倒角处理，边角圆滑过渡，无毛刺。</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工艺：桌体采用ABS塑料，一体化注塑成型,具有耐化学腐蚀、耐热、电绝缘性、耐候性等性能。外表面和内表面可触及的隐蔽处，均无锐利的棱角、毛刺；五金配件露出的尖锐边角以及所有接触人体的边棱均为倒圆角。</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3.桌体结构：塑钢结构。</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4.桌体规格：≥1130mm（</w:t>
            </w:r>
            <w:r>
              <w:rPr>
                <w:rFonts w:hint="eastAsia" w:ascii="宋体" w:hAnsi="宋体" w:eastAsia="宋体" w:cs="宋体"/>
                <w:color w:val="auto"/>
                <w:kern w:val="0"/>
                <w:sz w:val="21"/>
                <w:szCs w:val="21"/>
                <w:lang w:eastAsia="zh-CN" w:bidi="ar"/>
              </w:rPr>
              <w:t>长</w:t>
            </w:r>
            <w:r>
              <w:rPr>
                <w:rFonts w:hint="eastAsia" w:ascii="宋体" w:hAnsi="宋体" w:eastAsia="宋体" w:cs="宋体"/>
                <w:color w:val="auto"/>
                <w:kern w:val="0"/>
                <w:sz w:val="21"/>
                <w:szCs w:val="21"/>
                <w:lang w:bidi="ar"/>
              </w:rPr>
              <w:t>）×555mm（</w:t>
            </w:r>
            <w:r>
              <w:rPr>
                <w:rFonts w:hint="eastAsia" w:ascii="宋体" w:hAnsi="宋体" w:eastAsia="宋体" w:cs="宋体"/>
                <w:color w:val="auto"/>
                <w:kern w:val="0"/>
                <w:sz w:val="21"/>
                <w:szCs w:val="21"/>
                <w:lang w:eastAsia="zh-CN" w:bidi="ar"/>
              </w:rPr>
              <w:t>宽</w:t>
            </w:r>
            <w:r>
              <w:rPr>
                <w:rFonts w:hint="eastAsia" w:ascii="宋体" w:hAnsi="宋体" w:eastAsia="宋体" w:cs="宋体"/>
                <w:color w:val="auto"/>
                <w:kern w:val="0"/>
                <w:sz w:val="21"/>
                <w:szCs w:val="21"/>
                <w:lang w:bidi="ar"/>
              </w:rPr>
              <w:t>）×735mm（</w:t>
            </w:r>
            <w:r>
              <w:rPr>
                <w:rFonts w:hint="eastAsia" w:ascii="宋体" w:hAnsi="宋体" w:eastAsia="宋体" w:cs="宋体"/>
                <w:color w:val="auto"/>
                <w:kern w:val="0"/>
                <w:sz w:val="21"/>
                <w:szCs w:val="21"/>
                <w:lang w:eastAsia="zh-CN" w:bidi="ar"/>
              </w:rPr>
              <w:t>高</w:t>
            </w:r>
            <w:r>
              <w:rPr>
                <w:rFonts w:hint="eastAsia" w:ascii="宋体" w:hAnsi="宋体" w:eastAsia="宋体" w:cs="宋体"/>
                <w:color w:val="auto"/>
                <w:kern w:val="0"/>
                <w:sz w:val="21"/>
                <w:szCs w:val="21"/>
                <w:lang w:bidi="ar"/>
              </w:rPr>
              <w:t>）,主体承重结构由桌体两侧规格为≥370mm×735mm的铁侧板与不少于2根规格为≥20mm×50mm×1150mm的铝合金型材支撑梁连接而成，承重设计需在减轻桌体整体重量的同时最大限度的保证桌体的最大承重性。桌身背面由背板组成，背板设置加强筋结构，通过五金件与铝合金支撑梁连接。桌身前部满足腿部延伸空间，符合人体工程学标准。桌身前立板上部与抽屉架连接，设有规格≥380mm×200mm×110mm的2个翻盖式书包斗，具有隐蔽性及防掉落功能。书包斗中间为抽屉斗。</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前立板下部设有规格≥300mm×470mm×3mm仓门，存储空间大，防潮湿性能优越。面板中部有管线检修口，方便管线的日常维修。</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5.可调脚：采用ABS与合金材质组成，高≥30mm，减震防滑。</w:t>
            </w:r>
          </w:p>
        </w:tc>
        <w:tc>
          <w:tcPr>
            <w:tcW w:w="448" w:type="pct"/>
            <w:tcBorders>
              <w:top w:val="single" w:color="000000" w:sz="4" w:space="0"/>
              <w:left w:val="single" w:color="000000" w:sz="4" w:space="0"/>
              <w:bottom w:val="single" w:color="000000" w:sz="4" w:space="0"/>
              <w:right w:val="single" w:color="000000" w:sz="4" w:space="0"/>
            </w:tcBorders>
            <w:vAlign w:val="center"/>
          </w:tcPr>
          <w:p w14:paraId="49286366">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28</w:t>
            </w:r>
          </w:p>
        </w:tc>
        <w:tc>
          <w:tcPr>
            <w:tcW w:w="495" w:type="pct"/>
            <w:tcBorders>
              <w:top w:val="single" w:color="000000" w:sz="4" w:space="0"/>
              <w:left w:val="single" w:color="000000" w:sz="4" w:space="0"/>
              <w:bottom w:val="single" w:color="000000" w:sz="4" w:space="0"/>
              <w:right w:val="single" w:color="000000" w:sz="4" w:space="0"/>
            </w:tcBorders>
            <w:vAlign w:val="center"/>
          </w:tcPr>
          <w:p w14:paraId="13D33671">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张</w:t>
            </w:r>
          </w:p>
        </w:tc>
      </w:tr>
      <w:tr w14:paraId="69514963">
        <w:tblPrEx>
          <w:tblCellMar>
            <w:top w:w="0" w:type="dxa"/>
            <w:left w:w="108" w:type="dxa"/>
            <w:bottom w:w="0" w:type="dxa"/>
            <w:right w:w="108" w:type="dxa"/>
          </w:tblCellMar>
        </w:tblPrEx>
        <w:trPr>
          <w:trHeight w:val="560" w:hRule="atLeast"/>
        </w:trPr>
        <w:tc>
          <w:tcPr>
            <w:tcW w:w="437" w:type="pct"/>
            <w:tcBorders>
              <w:top w:val="single" w:color="000000" w:sz="4" w:space="0"/>
              <w:left w:val="single" w:color="000000" w:sz="4" w:space="0"/>
              <w:bottom w:val="single" w:color="000000" w:sz="4" w:space="0"/>
              <w:right w:val="single" w:color="000000" w:sz="4" w:space="0"/>
            </w:tcBorders>
            <w:vAlign w:val="center"/>
          </w:tcPr>
          <w:p w14:paraId="4EBD9897">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w:t>
            </w:r>
          </w:p>
        </w:tc>
        <w:tc>
          <w:tcPr>
            <w:tcW w:w="682" w:type="pct"/>
            <w:tcBorders>
              <w:top w:val="single" w:color="000000" w:sz="4" w:space="0"/>
              <w:left w:val="single" w:color="000000" w:sz="4" w:space="0"/>
              <w:bottom w:val="single" w:color="000000" w:sz="4" w:space="0"/>
              <w:right w:val="single" w:color="000000" w:sz="4" w:space="0"/>
            </w:tcBorders>
            <w:vAlign w:val="center"/>
          </w:tcPr>
          <w:p w14:paraId="4DDFDD6A">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学生凳</w:t>
            </w:r>
          </w:p>
        </w:tc>
        <w:tc>
          <w:tcPr>
            <w:tcW w:w="2935" w:type="pct"/>
            <w:tcBorders>
              <w:top w:val="single" w:color="000000" w:sz="4" w:space="0"/>
              <w:left w:val="single" w:color="000000" w:sz="4" w:space="0"/>
              <w:bottom w:val="single" w:color="000000" w:sz="4" w:space="0"/>
              <w:right w:val="single" w:color="000000" w:sz="4" w:space="0"/>
            </w:tcBorders>
            <w:vAlign w:val="center"/>
          </w:tcPr>
          <w:p w14:paraId="48FC88C1">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1、规格：≥φ300mm×440mm；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2、凳面：采用ABS环保材质一体注塑成型，防摔耐磨。人体工程学设计，中间有内弧成型，深度≥8mm；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3、升降式螺杆：直径≥20mm螺纹碳钢，配合高强度钢制托盘于凳面底部固定；</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val="en-US" w:eastAsia="zh-CN" w:bidi="ar"/>
              </w:rPr>
              <w:t>4、</w:t>
            </w:r>
            <w:r>
              <w:rPr>
                <w:rFonts w:hint="eastAsia" w:ascii="宋体" w:hAnsi="宋体" w:eastAsia="宋体" w:cs="宋体"/>
                <w:color w:val="auto"/>
                <w:kern w:val="0"/>
                <w:sz w:val="21"/>
                <w:szCs w:val="21"/>
                <w:lang w:bidi="ar"/>
              </w:rPr>
              <w:t>支持调节凳子高度，升降≥50mm；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val="en-US" w:eastAsia="zh-CN" w:bidi="ar"/>
              </w:rPr>
              <w:t>5</w:t>
            </w:r>
            <w:r>
              <w:rPr>
                <w:rFonts w:hint="eastAsia" w:ascii="宋体" w:hAnsi="宋体" w:eastAsia="宋体" w:cs="宋体"/>
                <w:color w:val="auto"/>
                <w:kern w:val="0"/>
                <w:sz w:val="21"/>
                <w:szCs w:val="21"/>
                <w:lang w:bidi="ar"/>
              </w:rPr>
              <w:t>、钢脚架：由壁厚≥1.2mm椭圆形钢管及壁厚≥1.5mm圆钢管焊接组成，表面经高温烤漆处理；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val="en-US" w:eastAsia="zh-CN" w:bidi="ar"/>
              </w:rPr>
              <w:t>6</w:t>
            </w:r>
            <w:r>
              <w:rPr>
                <w:rFonts w:hint="eastAsia" w:ascii="宋体" w:hAnsi="宋体" w:eastAsia="宋体" w:cs="宋体"/>
                <w:color w:val="auto"/>
                <w:kern w:val="0"/>
                <w:sz w:val="21"/>
                <w:szCs w:val="21"/>
                <w:lang w:bidi="ar"/>
              </w:rPr>
              <w:t>、脚垫：塑胶材质，采用PP加纤维制实心倒勾式一体注塑成型，防水防滑。</w:t>
            </w:r>
          </w:p>
        </w:tc>
        <w:tc>
          <w:tcPr>
            <w:tcW w:w="448" w:type="pct"/>
            <w:tcBorders>
              <w:top w:val="single" w:color="000000" w:sz="4" w:space="0"/>
              <w:left w:val="single" w:color="000000" w:sz="4" w:space="0"/>
              <w:bottom w:val="single" w:color="000000" w:sz="4" w:space="0"/>
              <w:right w:val="single" w:color="000000" w:sz="4" w:space="0"/>
            </w:tcBorders>
            <w:vAlign w:val="center"/>
          </w:tcPr>
          <w:p w14:paraId="728F8661">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56</w:t>
            </w:r>
          </w:p>
        </w:tc>
        <w:tc>
          <w:tcPr>
            <w:tcW w:w="495" w:type="pct"/>
            <w:tcBorders>
              <w:top w:val="single" w:color="000000" w:sz="4" w:space="0"/>
              <w:left w:val="single" w:color="000000" w:sz="4" w:space="0"/>
              <w:bottom w:val="single" w:color="000000" w:sz="4" w:space="0"/>
              <w:right w:val="single" w:color="000000" w:sz="4" w:space="0"/>
            </w:tcBorders>
            <w:vAlign w:val="center"/>
          </w:tcPr>
          <w:p w14:paraId="64013B8E">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个</w:t>
            </w:r>
          </w:p>
        </w:tc>
      </w:tr>
      <w:tr w14:paraId="619392BB">
        <w:tblPrEx>
          <w:tblCellMar>
            <w:top w:w="0" w:type="dxa"/>
            <w:left w:w="108" w:type="dxa"/>
            <w:bottom w:w="0" w:type="dxa"/>
            <w:right w:w="108" w:type="dxa"/>
          </w:tblCellMar>
        </w:tblPrEx>
        <w:trPr>
          <w:trHeight w:val="560" w:hRule="atLeast"/>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14:paraId="53576D84">
            <w:pPr>
              <w:rPr>
                <w:rFonts w:hint="eastAsia" w:ascii="宋体" w:hAnsi="宋体" w:eastAsia="宋体" w:cs="宋体"/>
                <w:b/>
                <w:bCs/>
                <w:color w:val="auto"/>
                <w:sz w:val="21"/>
                <w:szCs w:val="21"/>
              </w:rPr>
            </w:pPr>
            <w:r>
              <w:rPr>
                <w:rFonts w:hint="eastAsia" w:ascii="宋体" w:hAnsi="宋体" w:eastAsia="宋体" w:cs="宋体"/>
                <w:b/>
                <w:bCs/>
                <w:color w:val="auto"/>
                <w:kern w:val="0"/>
                <w:sz w:val="21"/>
                <w:szCs w:val="21"/>
                <w:lang w:bidi="ar"/>
              </w:rPr>
              <w:t>三、智能吊装集成系统</w:t>
            </w:r>
          </w:p>
        </w:tc>
      </w:tr>
      <w:tr w14:paraId="209CE25B">
        <w:tblPrEx>
          <w:tblCellMar>
            <w:top w:w="0" w:type="dxa"/>
            <w:left w:w="108" w:type="dxa"/>
            <w:bottom w:w="0" w:type="dxa"/>
            <w:right w:w="108" w:type="dxa"/>
          </w:tblCellMar>
        </w:tblPrEx>
        <w:trPr>
          <w:trHeight w:val="560" w:hRule="atLeast"/>
        </w:trPr>
        <w:tc>
          <w:tcPr>
            <w:tcW w:w="437" w:type="pct"/>
            <w:tcBorders>
              <w:top w:val="single" w:color="000000" w:sz="4" w:space="0"/>
              <w:left w:val="single" w:color="000000" w:sz="4" w:space="0"/>
              <w:bottom w:val="single" w:color="000000" w:sz="4" w:space="0"/>
              <w:right w:val="single" w:color="000000" w:sz="4" w:space="0"/>
            </w:tcBorders>
            <w:vAlign w:val="center"/>
          </w:tcPr>
          <w:p w14:paraId="2515FD2A">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682" w:type="pct"/>
            <w:tcBorders>
              <w:top w:val="single" w:color="000000" w:sz="4" w:space="0"/>
              <w:left w:val="single" w:color="000000" w:sz="4" w:space="0"/>
              <w:bottom w:val="single" w:color="000000" w:sz="4" w:space="0"/>
              <w:right w:val="single" w:color="000000" w:sz="4" w:space="0"/>
            </w:tcBorders>
            <w:vAlign w:val="center"/>
          </w:tcPr>
          <w:p w14:paraId="0385CE56">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集成箱体模块</w:t>
            </w:r>
          </w:p>
        </w:tc>
        <w:tc>
          <w:tcPr>
            <w:tcW w:w="2935" w:type="pct"/>
            <w:tcBorders>
              <w:top w:val="single" w:color="000000" w:sz="4" w:space="0"/>
              <w:left w:val="single" w:color="000000" w:sz="4" w:space="0"/>
              <w:bottom w:val="single" w:color="000000" w:sz="4" w:space="0"/>
              <w:right w:val="single" w:color="000000" w:sz="4" w:space="0"/>
            </w:tcBorders>
            <w:vAlign w:val="center"/>
          </w:tcPr>
          <w:p w14:paraId="597810B6">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构成：由箱体、功能柱构成。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一、箱体：整体规格≥1200mm×500mm×170mm，箱体采用铝合金挤出成型，壁厚1.5mm（±0.2mm）；防尘板、底板均采用镀锌板，壁厚0.8mm（±0.1mm）；各部件表面均经环氧树脂粉末喷涂并高温固化处理。配置转轴保护罩，规格≥280mm×250mm×130mm，采用工程塑料一体注塑成型。</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二、功能柱：整体规格≥180mm×170mm×950mm，由功能柱柱体、系统模块安装面板、介质连接组件组成。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1、功能柱柱体：≥180mm×100mm×950mm，采用铝合金材质挤出成型，壁厚2mm（±0.2mm），金属表面经环氧树脂粉末喷涂并高温固化处理。采用DC24V推杆电机升降，升降角度：0-90°，行程范围：0-250mm；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系统模块安装面板：规格≥180mm×70mm×830mm，由控制单元安装面板、状态监测系统模块安装面板、供电系统模块安装面板组成；控制单元安装面板、状态监测系统模块安装面板：≥180mm×70mm×200mm；供电系统模块安装面板≥180mm×70mm×400mm，支持嵌入式安装4.3英寸（偏差±5%）低压电源操作屏，支持安装不少于2个220V五孔插座、2个USB供电接口、2个RJ45网络接口、2对低压输出接口、1个急停按钮；所有模块安装面板均采用工程塑料一体注塑成型；</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3、介质连接组件：采用工程塑料一体注塑成型，安装于功能柱柱体底端。支持水路、电路、通风管路及通信线路等多介质接口集成安装，并具备独立隔离布置结构。</w:t>
            </w:r>
          </w:p>
        </w:tc>
        <w:tc>
          <w:tcPr>
            <w:tcW w:w="448" w:type="pct"/>
            <w:tcBorders>
              <w:top w:val="single" w:color="000000" w:sz="4" w:space="0"/>
              <w:left w:val="single" w:color="000000" w:sz="4" w:space="0"/>
              <w:bottom w:val="single" w:color="000000" w:sz="4" w:space="0"/>
              <w:right w:val="single" w:color="000000" w:sz="4" w:space="0"/>
            </w:tcBorders>
            <w:vAlign w:val="center"/>
          </w:tcPr>
          <w:p w14:paraId="665F1BFC">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w:t>
            </w:r>
          </w:p>
        </w:tc>
        <w:tc>
          <w:tcPr>
            <w:tcW w:w="495" w:type="pct"/>
            <w:tcBorders>
              <w:top w:val="single" w:color="000000" w:sz="4" w:space="0"/>
              <w:left w:val="single" w:color="000000" w:sz="4" w:space="0"/>
              <w:bottom w:val="single" w:color="000000" w:sz="4" w:space="0"/>
              <w:right w:val="single" w:color="000000" w:sz="4" w:space="0"/>
            </w:tcBorders>
            <w:vAlign w:val="center"/>
          </w:tcPr>
          <w:p w14:paraId="3BE179B0">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组</w:t>
            </w:r>
          </w:p>
        </w:tc>
      </w:tr>
      <w:tr w14:paraId="7F4AF5BA">
        <w:tblPrEx>
          <w:tblCellMar>
            <w:top w:w="0" w:type="dxa"/>
            <w:left w:w="108" w:type="dxa"/>
            <w:bottom w:w="0" w:type="dxa"/>
            <w:right w:w="108" w:type="dxa"/>
          </w:tblCellMar>
        </w:tblPrEx>
        <w:trPr>
          <w:trHeight w:val="560" w:hRule="atLeast"/>
        </w:trPr>
        <w:tc>
          <w:tcPr>
            <w:tcW w:w="437" w:type="pct"/>
            <w:tcBorders>
              <w:top w:val="single" w:color="000000" w:sz="4" w:space="0"/>
              <w:left w:val="single" w:color="000000" w:sz="4" w:space="0"/>
              <w:bottom w:val="single" w:color="000000" w:sz="4" w:space="0"/>
              <w:right w:val="single" w:color="000000" w:sz="4" w:space="0"/>
            </w:tcBorders>
            <w:vAlign w:val="center"/>
          </w:tcPr>
          <w:p w14:paraId="470BA057">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w:t>
            </w:r>
          </w:p>
        </w:tc>
        <w:tc>
          <w:tcPr>
            <w:tcW w:w="682" w:type="pct"/>
            <w:tcBorders>
              <w:top w:val="single" w:color="000000" w:sz="4" w:space="0"/>
              <w:left w:val="single" w:color="000000" w:sz="4" w:space="0"/>
              <w:bottom w:val="single" w:color="000000" w:sz="4" w:space="0"/>
              <w:right w:val="single" w:color="000000" w:sz="4" w:space="0"/>
            </w:tcBorders>
            <w:noWrap/>
            <w:vAlign w:val="center"/>
          </w:tcPr>
          <w:p w14:paraId="6273FE54">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照明系统模块</w:t>
            </w:r>
          </w:p>
        </w:tc>
        <w:tc>
          <w:tcPr>
            <w:tcW w:w="2935" w:type="pct"/>
            <w:tcBorders>
              <w:top w:val="single" w:color="000000" w:sz="4" w:space="0"/>
              <w:left w:val="single" w:color="000000" w:sz="4" w:space="0"/>
              <w:bottom w:val="single" w:color="000000" w:sz="4" w:space="0"/>
              <w:right w:val="single" w:color="000000" w:sz="4" w:space="0"/>
            </w:tcBorders>
            <w:vAlign w:val="center"/>
          </w:tcPr>
          <w:p w14:paraId="186E2980">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1、采用双灯带设计，单灯带规格：≥1100mm×35mm，扩散板采用防眩微菱晶结构；</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2、功率：32W±3W，色温：5000k±300k，功率因数≥0.9，显色指数≥90，光效≥90 Lm/W，频闪波动深度≤0.5%；</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3、支持亮度调节功能，亮度调节范围0-100%。</w:t>
            </w:r>
          </w:p>
        </w:tc>
        <w:tc>
          <w:tcPr>
            <w:tcW w:w="448" w:type="pct"/>
            <w:tcBorders>
              <w:top w:val="single" w:color="000000" w:sz="4" w:space="0"/>
              <w:left w:val="single" w:color="000000" w:sz="4" w:space="0"/>
              <w:bottom w:val="single" w:color="000000" w:sz="4" w:space="0"/>
              <w:right w:val="single" w:color="000000" w:sz="4" w:space="0"/>
            </w:tcBorders>
            <w:vAlign w:val="center"/>
          </w:tcPr>
          <w:p w14:paraId="5B8C99A3">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w:t>
            </w:r>
          </w:p>
        </w:tc>
        <w:tc>
          <w:tcPr>
            <w:tcW w:w="495" w:type="pct"/>
            <w:tcBorders>
              <w:top w:val="single" w:color="000000" w:sz="4" w:space="0"/>
              <w:left w:val="single" w:color="000000" w:sz="4" w:space="0"/>
              <w:bottom w:val="single" w:color="000000" w:sz="4" w:space="0"/>
              <w:right w:val="single" w:color="000000" w:sz="4" w:space="0"/>
            </w:tcBorders>
            <w:vAlign w:val="center"/>
          </w:tcPr>
          <w:p w14:paraId="5C93BA10">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组</w:t>
            </w:r>
          </w:p>
        </w:tc>
      </w:tr>
      <w:tr w14:paraId="3874A26D">
        <w:tblPrEx>
          <w:tblCellMar>
            <w:top w:w="0" w:type="dxa"/>
            <w:left w:w="108" w:type="dxa"/>
            <w:bottom w:w="0" w:type="dxa"/>
            <w:right w:w="108" w:type="dxa"/>
          </w:tblCellMar>
        </w:tblPrEx>
        <w:trPr>
          <w:trHeight w:val="560" w:hRule="atLeast"/>
        </w:trPr>
        <w:tc>
          <w:tcPr>
            <w:tcW w:w="437" w:type="pct"/>
            <w:tcBorders>
              <w:top w:val="single" w:color="000000" w:sz="4" w:space="0"/>
              <w:left w:val="single" w:color="000000" w:sz="4" w:space="0"/>
              <w:bottom w:val="single" w:color="000000" w:sz="4" w:space="0"/>
              <w:right w:val="single" w:color="000000" w:sz="4" w:space="0"/>
            </w:tcBorders>
            <w:vAlign w:val="center"/>
          </w:tcPr>
          <w:p w14:paraId="1E43436F">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w:t>
            </w:r>
          </w:p>
        </w:tc>
        <w:tc>
          <w:tcPr>
            <w:tcW w:w="682" w:type="pct"/>
            <w:tcBorders>
              <w:top w:val="single" w:color="000000" w:sz="4" w:space="0"/>
              <w:left w:val="single" w:color="000000" w:sz="4" w:space="0"/>
              <w:bottom w:val="single" w:color="000000" w:sz="4" w:space="0"/>
              <w:right w:val="single" w:color="000000" w:sz="4" w:space="0"/>
            </w:tcBorders>
            <w:vAlign w:val="center"/>
          </w:tcPr>
          <w:p w14:paraId="46099857">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供电系统模块</w:t>
            </w:r>
          </w:p>
        </w:tc>
        <w:tc>
          <w:tcPr>
            <w:tcW w:w="2935" w:type="pct"/>
            <w:tcBorders>
              <w:top w:val="single" w:color="000000" w:sz="4" w:space="0"/>
              <w:left w:val="single" w:color="000000" w:sz="4" w:space="0"/>
              <w:bottom w:val="single" w:color="000000" w:sz="4" w:space="0"/>
              <w:right w:val="single" w:color="000000" w:sz="4" w:space="0"/>
            </w:tcBorders>
            <w:vAlign w:val="center"/>
          </w:tcPr>
          <w:p w14:paraId="3B5A5B38">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整体规格：≥180mm×70mm×400mm；由数据交互单元、低压输出单元、高压输出单元、拓展接口单元、急停控制单元构成。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一、数据交互单元：</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1、采用4.3英寸（偏差±5%）液晶显示屏，可触屏设置低压直流、交流输出，支持实时显示输出电压、电流值；</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工作模式：低压直流输出量程0-24V，调节精度均≤0.1V，额定电流≥3A；低压交流输出量程0-15V，调节精度均≤0.1V，额定电流≥3A；均具备过载输出保护；至少支持不限电压供电、定值电压供电、范围电压供电三种模式；</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2.1不限电压供电模式：支持在设备量程范围内，对低压电源的交流、直流输出电压进行连续可调设置；</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2.2定值电压供电模式：支持由控制端预设低压电源交流或直流输出电压；设定完成后，用户端无电压调节权限，仅可按设定值输出；</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2.3范围电压供电模式：支持由控制端设定低压电源交流或直流输出电压范围；设定完成后，用户仅可在限定范围内进行调节。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二、低压输出单元：配置≥2对低压输出接口、≥2套红黑低压香蕉线。</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三、高压输出单元：设置≥2路220V五孔插座，额定电流≥5A，带防触电保护门。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四、拓展接口单元：设置≥2个USB供电接口；设置≥2个RJ45网络接口，支持≥100Mbps有线网络通信。</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五、急停单元：配置急停旋钮，可实现电源强制中断；支持手动复位。</w:t>
            </w:r>
          </w:p>
        </w:tc>
        <w:tc>
          <w:tcPr>
            <w:tcW w:w="448" w:type="pct"/>
            <w:tcBorders>
              <w:top w:val="single" w:color="000000" w:sz="4" w:space="0"/>
              <w:left w:val="single" w:color="000000" w:sz="4" w:space="0"/>
              <w:bottom w:val="single" w:color="000000" w:sz="4" w:space="0"/>
              <w:right w:val="single" w:color="000000" w:sz="4" w:space="0"/>
            </w:tcBorders>
            <w:vAlign w:val="center"/>
          </w:tcPr>
          <w:p w14:paraId="6BC66679">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w:t>
            </w:r>
          </w:p>
        </w:tc>
        <w:tc>
          <w:tcPr>
            <w:tcW w:w="495" w:type="pct"/>
            <w:tcBorders>
              <w:top w:val="single" w:color="000000" w:sz="4" w:space="0"/>
              <w:left w:val="single" w:color="000000" w:sz="4" w:space="0"/>
              <w:bottom w:val="single" w:color="000000" w:sz="4" w:space="0"/>
              <w:right w:val="single" w:color="000000" w:sz="4" w:space="0"/>
            </w:tcBorders>
            <w:vAlign w:val="center"/>
          </w:tcPr>
          <w:p w14:paraId="7BA2264D">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组</w:t>
            </w:r>
          </w:p>
        </w:tc>
      </w:tr>
      <w:tr w14:paraId="72068DFD">
        <w:tblPrEx>
          <w:tblCellMar>
            <w:top w:w="0" w:type="dxa"/>
            <w:left w:w="108" w:type="dxa"/>
            <w:bottom w:w="0" w:type="dxa"/>
            <w:right w:w="108" w:type="dxa"/>
          </w:tblCellMar>
        </w:tblPrEx>
        <w:trPr>
          <w:trHeight w:val="560" w:hRule="atLeast"/>
        </w:trPr>
        <w:tc>
          <w:tcPr>
            <w:tcW w:w="437" w:type="pct"/>
            <w:tcBorders>
              <w:top w:val="single" w:color="000000" w:sz="4" w:space="0"/>
              <w:left w:val="single" w:color="000000" w:sz="4" w:space="0"/>
              <w:bottom w:val="single" w:color="000000" w:sz="4" w:space="0"/>
              <w:right w:val="single" w:color="000000" w:sz="4" w:space="0"/>
            </w:tcBorders>
            <w:vAlign w:val="center"/>
          </w:tcPr>
          <w:p w14:paraId="5A4F08BA">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w:t>
            </w:r>
          </w:p>
        </w:tc>
        <w:tc>
          <w:tcPr>
            <w:tcW w:w="682" w:type="pct"/>
            <w:tcBorders>
              <w:top w:val="single" w:color="000000" w:sz="4" w:space="0"/>
              <w:left w:val="single" w:color="000000" w:sz="4" w:space="0"/>
              <w:bottom w:val="single" w:color="000000" w:sz="4" w:space="0"/>
              <w:right w:val="single" w:color="000000" w:sz="4" w:space="0"/>
            </w:tcBorders>
            <w:vAlign w:val="center"/>
          </w:tcPr>
          <w:p w14:paraId="102D9C7F">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给排水系统模块</w:t>
            </w:r>
          </w:p>
        </w:tc>
        <w:tc>
          <w:tcPr>
            <w:tcW w:w="2935" w:type="pct"/>
            <w:tcBorders>
              <w:top w:val="single" w:color="000000" w:sz="4" w:space="0"/>
              <w:left w:val="single" w:color="000000" w:sz="4" w:space="0"/>
              <w:bottom w:val="single" w:color="000000" w:sz="4" w:space="0"/>
              <w:right w:val="single" w:color="000000" w:sz="4" w:space="0"/>
            </w:tcBorders>
            <w:vAlign w:val="center"/>
          </w:tcPr>
          <w:p w14:paraId="1AB49E0E">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由给/排水接口单元、废水收集排放单元、排水控制系统单元构成。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一、给/排水接口单元：进、出水口置于功能柱底部，接口均采用带防溢水功能快速水管接口，插拔式自动锁紧连接方式，插拔后自动止水。</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二、废水收集排放单元：</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配置独立污水桶作为临时储水单元，连接主系统排水模块；主体采用聚丙烯一体化注塑成型，封闭式桶体结构，配置可开启桶盖，容积≥10L，深度≥30cm，上下口径≥20cm；设有专用进水口与排气孔；内置过滤装置，规格≥φ120mm×270mm；圆柱体网格结构，主体材质采用PP+尼龙；可拆卸设计，与桶盖采用旋转卡扣式连接；内置可更换滤网；</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2、内置≥8组液位传感器，可实时监测桶内10%-90%范围水位高度；</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3、内置≥24V低压无刷直流水泵，扬程≥10m，排水量≥30L/min。</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三、排水控制系统单元：</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1、自动排水功能：当液位达到设定阈值时，自动触发排水；</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2、手动排水功能：系统配备专用手动排水按键，用户可根据需求手动启动排水流程。</w:t>
            </w:r>
          </w:p>
        </w:tc>
        <w:tc>
          <w:tcPr>
            <w:tcW w:w="448" w:type="pct"/>
            <w:tcBorders>
              <w:top w:val="single" w:color="000000" w:sz="4" w:space="0"/>
              <w:left w:val="single" w:color="000000" w:sz="4" w:space="0"/>
              <w:bottom w:val="single" w:color="000000" w:sz="4" w:space="0"/>
              <w:right w:val="single" w:color="000000" w:sz="4" w:space="0"/>
            </w:tcBorders>
            <w:vAlign w:val="center"/>
          </w:tcPr>
          <w:p w14:paraId="40E94810">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w:t>
            </w:r>
          </w:p>
        </w:tc>
        <w:tc>
          <w:tcPr>
            <w:tcW w:w="495" w:type="pct"/>
            <w:tcBorders>
              <w:top w:val="single" w:color="000000" w:sz="4" w:space="0"/>
              <w:left w:val="single" w:color="000000" w:sz="4" w:space="0"/>
              <w:bottom w:val="single" w:color="000000" w:sz="4" w:space="0"/>
              <w:right w:val="single" w:color="000000" w:sz="4" w:space="0"/>
            </w:tcBorders>
            <w:vAlign w:val="center"/>
          </w:tcPr>
          <w:p w14:paraId="77438F74">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组</w:t>
            </w:r>
          </w:p>
        </w:tc>
      </w:tr>
      <w:tr w14:paraId="655E436B">
        <w:tblPrEx>
          <w:tblCellMar>
            <w:top w:w="0" w:type="dxa"/>
            <w:left w:w="108" w:type="dxa"/>
            <w:bottom w:w="0" w:type="dxa"/>
            <w:right w:w="108" w:type="dxa"/>
          </w:tblCellMar>
        </w:tblPrEx>
        <w:trPr>
          <w:trHeight w:val="560" w:hRule="atLeast"/>
        </w:trPr>
        <w:tc>
          <w:tcPr>
            <w:tcW w:w="437" w:type="pct"/>
            <w:tcBorders>
              <w:top w:val="single" w:color="000000" w:sz="4" w:space="0"/>
              <w:left w:val="single" w:color="000000" w:sz="4" w:space="0"/>
              <w:bottom w:val="single" w:color="000000" w:sz="4" w:space="0"/>
              <w:right w:val="single" w:color="000000" w:sz="4" w:space="0"/>
            </w:tcBorders>
            <w:vAlign w:val="center"/>
          </w:tcPr>
          <w:p w14:paraId="012D9830">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w:t>
            </w:r>
          </w:p>
        </w:tc>
        <w:tc>
          <w:tcPr>
            <w:tcW w:w="682" w:type="pct"/>
            <w:tcBorders>
              <w:top w:val="single" w:color="000000" w:sz="4" w:space="0"/>
              <w:left w:val="single" w:color="000000" w:sz="4" w:space="0"/>
              <w:bottom w:val="single" w:color="000000" w:sz="4" w:space="0"/>
              <w:right w:val="single" w:color="000000" w:sz="4" w:space="0"/>
            </w:tcBorders>
            <w:vAlign w:val="center"/>
          </w:tcPr>
          <w:p w14:paraId="388FF7B1">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吊装通风系统模块</w:t>
            </w:r>
          </w:p>
        </w:tc>
        <w:tc>
          <w:tcPr>
            <w:tcW w:w="2935" w:type="pct"/>
            <w:tcBorders>
              <w:top w:val="single" w:color="000000" w:sz="4" w:space="0"/>
              <w:left w:val="single" w:color="000000" w:sz="4" w:space="0"/>
              <w:bottom w:val="single" w:color="000000" w:sz="4" w:space="0"/>
              <w:right w:val="single" w:color="000000" w:sz="4" w:space="0"/>
            </w:tcBorders>
            <w:vAlign w:val="center"/>
          </w:tcPr>
          <w:p w14:paraId="0A909D39">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由伸缩式吸风罩、主风管、风管三通连接腔体构成。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一、伸缩式吸风罩：</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吸风管：采用两段式设计，管道外筒≥Φ85mm，壁厚1.2mm（±0.2mm），采用铝合金材质，表面经电泳、静电环氧树脂粉末喷涂固化处理；内部管道≥Φ70mm，壁厚4mm（±0.2mm），采用PVC材质，旋转伸缩结构，旋紧状态可拉出范围0-650mm，旋松状态可拉出范围0-700mm，能够自由弯曲和拉伸；</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吸风罩：规格≥Φ85mm×100mm，采用聚丙烯一体化注塑成型，设置不少于立式及侧式两个吸风口；立式主吸风口：≥Φ85mm，圆形吸风口设计，吸风口表面采用环形多孔布局，吸风口中央设有内凹式拉手；侧式吸风口：规格≥70mm×40mm，椭圆形吸风口设计，吸风口表面采用多孔布局。</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二、主风管：规格≥Φ90mm，伸缩范围0-600mm；采用聚氨酯塑料一体注塑成型，耐磨、耐化学气体腐蚀，管壁内置弹性镀铜钢丝，直径≥1.5mm。主风管接口：内径≥100mm，采用工程塑料一体注塑成型，按压式卡扣连接结构，与功能柱本体通过快装卡扣接口连接。</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三、风管三通连接腔体：规格≥380mm×130mm×100mm，采用聚丙烯一体化注塑成型，三通腔体结构，设有三个连接口，分别为一个中心口和两个侧口，中心口内径≥100mm，两侧口内径≥85mm。腔体与底座通过密封胶密封连接，各连接口接入风管后，能够实现吊装主风管与两侧风管之间的密封连接与气流分配。</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带★的条款</w:t>
            </w:r>
            <w:r>
              <w:rPr>
                <w:rFonts w:hint="eastAsia" w:ascii="宋体" w:hAnsi="宋体" w:eastAsia="宋体" w:cs="宋体"/>
                <w:color w:val="auto"/>
                <w:kern w:val="0"/>
                <w:sz w:val="21"/>
                <w:szCs w:val="21"/>
                <w:lang w:val="en-US" w:eastAsia="zh-CN" w:bidi="ar"/>
              </w:rPr>
              <w:t>供应商</w:t>
            </w:r>
            <w:r>
              <w:rPr>
                <w:rFonts w:hint="eastAsia" w:ascii="宋体" w:hAnsi="宋体" w:eastAsia="宋体" w:cs="宋体"/>
                <w:color w:val="auto"/>
                <w:kern w:val="0"/>
                <w:sz w:val="21"/>
                <w:szCs w:val="21"/>
                <w:lang w:bidi="ar"/>
              </w:rPr>
              <w:t>须提供符合参数的产品的实物照片予以佐证，并加盖</w:t>
            </w:r>
            <w:r>
              <w:rPr>
                <w:rFonts w:hint="eastAsia" w:ascii="宋体" w:hAnsi="宋体" w:eastAsia="宋体" w:cs="宋体"/>
                <w:color w:val="auto"/>
                <w:kern w:val="0"/>
                <w:sz w:val="21"/>
                <w:szCs w:val="21"/>
                <w:lang w:val="en-US" w:eastAsia="zh-CN" w:bidi="ar"/>
              </w:rPr>
              <w:t>供应商</w:t>
            </w:r>
            <w:r>
              <w:rPr>
                <w:rFonts w:hint="eastAsia" w:ascii="宋体" w:hAnsi="宋体" w:eastAsia="宋体" w:cs="宋体"/>
                <w:color w:val="auto"/>
                <w:kern w:val="0"/>
                <w:sz w:val="21"/>
                <w:szCs w:val="21"/>
                <w:lang w:bidi="ar"/>
              </w:rPr>
              <w:t>公章。</w:t>
            </w:r>
          </w:p>
        </w:tc>
        <w:tc>
          <w:tcPr>
            <w:tcW w:w="448" w:type="pct"/>
            <w:tcBorders>
              <w:top w:val="single" w:color="000000" w:sz="4" w:space="0"/>
              <w:left w:val="single" w:color="000000" w:sz="4" w:space="0"/>
              <w:bottom w:val="single" w:color="000000" w:sz="4" w:space="0"/>
              <w:right w:val="single" w:color="000000" w:sz="4" w:space="0"/>
            </w:tcBorders>
            <w:vAlign w:val="center"/>
          </w:tcPr>
          <w:p w14:paraId="4AC6F340">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w:t>
            </w:r>
          </w:p>
        </w:tc>
        <w:tc>
          <w:tcPr>
            <w:tcW w:w="495" w:type="pct"/>
            <w:tcBorders>
              <w:top w:val="single" w:color="000000" w:sz="4" w:space="0"/>
              <w:left w:val="single" w:color="000000" w:sz="4" w:space="0"/>
              <w:bottom w:val="single" w:color="000000" w:sz="4" w:space="0"/>
              <w:right w:val="single" w:color="000000" w:sz="4" w:space="0"/>
            </w:tcBorders>
            <w:vAlign w:val="center"/>
          </w:tcPr>
          <w:p w14:paraId="35979E00">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组</w:t>
            </w:r>
          </w:p>
        </w:tc>
      </w:tr>
      <w:tr w14:paraId="048D9863">
        <w:tblPrEx>
          <w:tblCellMar>
            <w:top w:w="0" w:type="dxa"/>
            <w:left w:w="108" w:type="dxa"/>
            <w:bottom w:w="0" w:type="dxa"/>
            <w:right w:w="108" w:type="dxa"/>
          </w:tblCellMar>
        </w:tblPrEx>
        <w:trPr>
          <w:trHeight w:val="560" w:hRule="atLeast"/>
        </w:trPr>
        <w:tc>
          <w:tcPr>
            <w:tcW w:w="437" w:type="pct"/>
            <w:tcBorders>
              <w:top w:val="single" w:color="000000" w:sz="4" w:space="0"/>
              <w:left w:val="single" w:color="000000" w:sz="4" w:space="0"/>
              <w:bottom w:val="single" w:color="000000" w:sz="4" w:space="0"/>
              <w:right w:val="single" w:color="000000" w:sz="4" w:space="0"/>
            </w:tcBorders>
            <w:vAlign w:val="center"/>
          </w:tcPr>
          <w:p w14:paraId="3BC452D1">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6</w:t>
            </w:r>
          </w:p>
        </w:tc>
        <w:tc>
          <w:tcPr>
            <w:tcW w:w="682" w:type="pct"/>
            <w:tcBorders>
              <w:top w:val="single" w:color="000000" w:sz="4" w:space="0"/>
              <w:left w:val="single" w:color="000000" w:sz="4" w:space="0"/>
              <w:bottom w:val="single" w:color="000000" w:sz="4" w:space="0"/>
              <w:right w:val="single" w:color="000000" w:sz="4" w:space="0"/>
            </w:tcBorders>
            <w:vAlign w:val="center"/>
          </w:tcPr>
          <w:p w14:paraId="6DDB77CF">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状态监测系统模块</w:t>
            </w:r>
          </w:p>
        </w:tc>
        <w:tc>
          <w:tcPr>
            <w:tcW w:w="2935" w:type="pct"/>
            <w:tcBorders>
              <w:top w:val="single" w:color="000000" w:sz="4" w:space="0"/>
              <w:left w:val="single" w:color="000000" w:sz="4" w:space="0"/>
              <w:bottom w:val="single" w:color="000000" w:sz="4" w:space="0"/>
              <w:right w:val="single" w:color="000000" w:sz="4" w:space="0"/>
            </w:tcBorders>
            <w:vAlign w:val="center"/>
          </w:tcPr>
          <w:p w14:paraId="65D509D8">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由设备状态指示单元、设备状态检测单元构成。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一、设备状态指示单元：配置≥90mm×60mm显示屏，以图形化界面+数字信息方式，实时显示各个功能模块工作状态，包含以下状态指示：</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★1、环境监测信息显示：显示当前环境温度（℃）、湿度（%RH），精度分别不低于±0.5℃和±3%RH；</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★2、给水状态指示：显示给水系统当前启/停状态；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★3、排水状态指示：显示排水系统当前启/停状态；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★4、通风状态指示：显示通风系统运行状态及当前风速百分比，分辨率≥1%；</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★5、照明状态指示：显示照明开关及照明亮度百分比，分辨率≥1%；</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★6、信号线连接指示：显示信号线连接状态（连接/未连接）；</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★7、网络线连接指示：显示网络连接状态（连接/未连接）；</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★8、故障信息显示：支持多项功能模块的故障代码显示。</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二、设备状态检测单元：配置≥130mm×3mm全彩LED状态指示灯，支持通过不同颜色实时显示设备当前运行状态，具备三种基本状态识别逻辑：</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1、绿色指示灯常亮：设备处于待机状态，当前无功能模块运行；</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2、蓝色指示灯常亮：设备任意功能模块运行中；</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3、红色指示灯闪烁：设备检测到任意故障，提示维护或停止运行。</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带★的条款</w:t>
            </w:r>
            <w:r>
              <w:rPr>
                <w:rFonts w:hint="eastAsia" w:ascii="宋体" w:hAnsi="宋体" w:eastAsia="宋体" w:cs="宋体"/>
                <w:color w:val="auto"/>
                <w:kern w:val="0"/>
                <w:sz w:val="21"/>
                <w:szCs w:val="21"/>
                <w:lang w:val="en-US" w:eastAsia="zh-CN" w:bidi="ar"/>
              </w:rPr>
              <w:t>供应商</w:t>
            </w:r>
            <w:r>
              <w:rPr>
                <w:rFonts w:hint="eastAsia" w:ascii="宋体" w:hAnsi="宋体" w:eastAsia="宋体" w:cs="宋体"/>
                <w:color w:val="auto"/>
                <w:kern w:val="0"/>
                <w:sz w:val="21"/>
                <w:szCs w:val="21"/>
                <w:lang w:bidi="ar"/>
              </w:rPr>
              <w:t>须提供符合参数的产品的实物照片予以佐证，并加盖</w:t>
            </w:r>
            <w:r>
              <w:rPr>
                <w:rFonts w:hint="eastAsia" w:ascii="宋体" w:hAnsi="宋体" w:eastAsia="宋体" w:cs="宋体"/>
                <w:color w:val="auto"/>
                <w:kern w:val="0"/>
                <w:sz w:val="21"/>
                <w:szCs w:val="21"/>
                <w:lang w:val="en-US" w:eastAsia="zh-CN" w:bidi="ar"/>
              </w:rPr>
              <w:t>供应商</w:t>
            </w:r>
            <w:r>
              <w:rPr>
                <w:rFonts w:hint="eastAsia" w:ascii="宋体" w:hAnsi="宋体" w:eastAsia="宋体" w:cs="宋体"/>
                <w:color w:val="auto"/>
                <w:kern w:val="0"/>
                <w:sz w:val="21"/>
                <w:szCs w:val="21"/>
                <w:lang w:bidi="ar"/>
              </w:rPr>
              <w:t>公章。</w:t>
            </w:r>
          </w:p>
        </w:tc>
        <w:tc>
          <w:tcPr>
            <w:tcW w:w="448" w:type="pct"/>
            <w:tcBorders>
              <w:top w:val="single" w:color="000000" w:sz="4" w:space="0"/>
              <w:left w:val="single" w:color="000000" w:sz="4" w:space="0"/>
              <w:bottom w:val="single" w:color="000000" w:sz="4" w:space="0"/>
              <w:right w:val="single" w:color="000000" w:sz="4" w:space="0"/>
            </w:tcBorders>
            <w:vAlign w:val="center"/>
          </w:tcPr>
          <w:p w14:paraId="6150D94E">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w:t>
            </w:r>
          </w:p>
        </w:tc>
        <w:tc>
          <w:tcPr>
            <w:tcW w:w="495" w:type="pct"/>
            <w:tcBorders>
              <w:top w:val="single" w:color="000000" w:sz="4" w:space="0"/>
              <w:left w:val="single" w:color="000000" w:sz="4" w:space="0"/>
              <w:bottom w:val="single" w:color="000000" w:sz="4" w:space="0"/>
              <w:right w:val="single" w:color="000000" w:sz="4" w:space="0"/>
            </w:tcBorders>
            <w:vAlign w:val="center"/>
          </w:tcPr>
          <w:p w14:paraId="3259967F">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组</w:t>
            </w:r>
          </w:p>
        </w:tc>
      </w:tr>
      <w:tr w14:paraId="6189204A">
        <w:tblPrEx>
          <w:tblCellMar>
            <w:top w:w="0" w:type="dxa"/>
            <w:left w:w="108" w:type="dxa"/>
            <w:bottom w:w="0" w:type="dxa"/>
            <w:right w:w="108" w:type="dxa"/>
          </w:tblCellMar>
        </w:tblPrEx>
        <w:trPr>
          <w:trHeight w:val="560" w:hRule="atLeast"/>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14:paraId="7B3EEF0A">
            <w:pPr>
              <w:rPr>
                <w:rFonts w:hint="eastAsia" w:ascii="宋体" w:hAnsi="宋体" w:eastAsia="宋体" w:cs="宋体"/>
                <w:b/>
                <w:bCs/>
                <w:color w:val="auto"/>
                <w:sz w:val="21"/>
                <w:szCs w:val="21"/>
              </w:rPr>
            </w:pPr>
            <w:r>
              <w:rPr>
                <w:rFonts w:hint="eastAsia" w:ascii="宋体" w:hAnsi="宋体" w:eastAsia="宋体" w:cs="宋体"/>
                <w:b/>
                <w:bCs/>
                <w:color w:val="auto"/>
                <w:kern w:val="0"/>
                <w:sz w:val="21"/>
                <w:szCs w:val="21"/>
                <w:lang w:bidi="ar"/>
              </w:rPr>
              <w:t>四、给排水设备</w:t>
            </w:r>
          </w:p>
        </w:tc>
      </w:tr>
      <w:tr w14:paraId="65C91894">
        <w:tblPrEx>
          <w:tblCellMar>
            <w:top w:w="0" w:type="dxa"/>
            <w:left w:w="108" w:type="dxa"/>
            <w:bottom w:w="0" w:type="dxa"/>
            <w:right w:w="108" w:type="dxa"/>
          </w:tblCellMar>
        </w:tblPrEx>
        <w:trPr>
          <w:trHeight w:val="560" w:hRule="atLeast"/>
        </w:trPr>
        <w:tc>
          <w:tcPr>
            <w:tcW w:w="437" w:type="pct"/>
            <w:tcBorders>
              <w:top w:val="single" w:color="000000" w:sz="4" w:space="0"/>
              <w:left w:val="single" w:color="000000" w:sz="4" w:space="0"/>
              <w:bottom w:val="single" w:color="000000" w:sz="4" w:space="0"/>
              <w:right w:val="single" w:color="000000" w:sz="4" w:space="0"/>
            </w:tcBorders>
            <w:vAlign w:val="center"/>
          </w:tcPr>
          <w:p w14:paraId="3A8C7A5A">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682" w:type="pct"/>
            <w:tcBorders>
              <w:top w:val="single" w:color="000000" w:sz="4" w:space="0"/>
              <w:left w:val="single" w:color="000000" w:sz="4" w:space="0"/>
              <w:bottom w:val="single" w:color="000000" w:sz="4" w:space="0"/>
              <w:right w:val="single" w:color="000000" w:sz="4" w:space="0"/>
            </w:tcBorders>
            <w:vAlign w:val="center"/>
          </w:tcPr>
          <w:p w14:paraId="1DF48D7F">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双口洗眼器</w:t>
            </w:r>
          </w:p>
        </w:tc>
        <w:tc>
          <w:tcPr>
            <w:tcW w:w="2935" w:type="pct"/>
            <w:tcBorders>
              <w:top w:val="single" w:color="000000" w:sz="4" w:space="0"/>
              <w:left w:val="single" w:color="000000" w:sz="4" w:space="0"/>
              <w:bottom w:val="single" w:color="000000" w:sz="4" w:space="0"/>
              <w:right w:val="single" w:color="000000" w:sz="4" w:space="0"/>
            </w:tcBorders>
            <w:vAlign w:val="center"/>
          </w:tcPr>
          <w:p w14:paraId="0BC76F66">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1、主体：加厚铜质；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2、表面处理：高亮度电镀层，耐腐蚀、耐热，附着力强；</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3、防尘盖：PP材质，双喷头均配置防尘盖，通水时自动冲开；</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4、开关手柄：杠杆式结构，铜质按压阀芯配塑料操作手柄，启闭快速、响应灵敏；</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5、供水软管：配置长度≥1.4米柔性软管，采用不锈钢编织增强层，耐磨、防扭结、防老化；</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6、耐压性能：最大承受水压0.6MPa（6bar）；</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7、洗眼喷头：一体注塑成型，软性橡胶材质，内置缓冲滤网，出水柔和均匀，有效过滤杂质，避免冲击伤害眼睛；双口总流量≥3.0L/min，持续供水≥15分钟；</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8、控水阀：配置止回阀，具备自动复位、自动关闭功能。</w:t>
            </w:r>
          </w:p>
        </w:tc>
        <w:tc>
          <w:tcPr>
            <w:tcW w:w="448" w:type="pct"/>
            <w:tcBorders>
              <w:top w:val="single" w:color="000000" w:sz="4" w:space="0"/>
              <w:left w:val="single" w:color="000000" w:sz="4" w:space="0"/>
              <w:bottom w:val="single" w:color="000000" w:sz="4" w:space="0"/>
              <w:right w:val="single" w:color="000000" w:sz="4" w:space="0"/>
            </w:tcBorders>
            <w:vAlign w:val="center"/>
          </w:tcPr>
          <w:p w14:paraId="3B580799">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495" w:type="pct"/>
            <w:tcBorders>
              <w:top w:val="single" w:color="000000" w:sz="4" w:space="0"/>
              <w:left w:val="single" w:color="000000" w:sz="4" w:space="0"/>
              <w:bottom w:val="single" w:color="000000" w:sz="4" w:space="0"/>
              <w:right w:val="single" w:color="000000" w:sz="4" w:space="0"/>
            </w:tcBorders>
            <w:vAlign w:val="center"/>
          </w:tcPr>
          <w:p w14:paraId="5E6C8143">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个</w:t>
            </w:r>
          </w:p>
        </w:tc>
      </w:tr>
      <w:tr w14:paraId="293805ED">
        <w:tblPrEx>
          <w:tblCellMar>
            <w:top w:w="0" w:type="dxa"/>
            <w:left w:w="108" w:type="dxa"/>
            <w:bottom w:w="0" w:type="dxa"/>
            <w:right w:w="108" w:type="dxa"/>
          </w:tblCellMar>
        </w:tblPrEx>
        <w:trPr>
          <w:trHeight w:val="560" w:hRule="atLeast"/>
        </w:trPr>
        <w:tc>
          <w:tcPr>
            <w:tcW w:w="437" w:type="pct"/>
            <w:tcBorders>
              <w:top w:val="single" w:color="000000" w:sz="4" w:space="0"/>
              <w:left w:val="single" w:color="000000" w:sz="4" w:space="0"/>
              <w:bottom w:val="single" w:color="000000" w:sz="4" w:space="0"/>
              <w:right w:val="single" w:color="000000" w:sz="4" w:space="0"/>
            </w:tcBorders>
            <w:vAlign w:val="center"/>
          </w:tcPr>
          <w:p w14:paraId="5DA3957E">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w:t>
            </w:r>
          </w:p>
        </w:tc>
        <w:tc>
          <w:tcPr>
            <w:tcW w:w="682" w:type="pct"/>
            <w:tcBorders>
              <w:top w:val="single" w:color="000000" w:sz="4" w:space="0"/>
              <w:left w:val="single" w:color="000000" w:sz="4" w:space="0"/>
              <w:bottom w:val="single" w:color="000000" w:sz="4" w:space="0"/>
              <w:right w:val="single" w:color="000000" w:sz="4" w:space="0"/>
            </w:tcBorders>
            <w:vAlign w:val="center"/>
          </w:tcPr>
          <w:p w14:paraId="5F16A436">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多功能水槽台</w:t>
            </w:r>
          </w:p>
        </w:tc>
        <w:tc>
          <w:tcPr>
            <w:tcW w:w="2935" w:type="pct"/>
            <w:tcBorders>
              <w:top w:val="single" w:color="000000" w:sz="4" w:space="0"/>
              <w:left w:val="single" w:color="000000" w:sz="4" w:space="0"/>
              <w:bottom w:val="single" w:color="000000" w:sz="4" w:space="0"/>
              <w:right w:val="single" w:color="000000" w:sz="4" w:space="0"/>
            </w:tcBorders>
            <w:vAlign w:val="center"/>
          </w:tcPr>
          <w:p w14:paraId="545AF695">
            <w:pPr>
              <w:widowControl/>
              <w:jc w:val="left"/>
              <w:textAlignment w:val="center"/>
              <w:rPr>
                <w:rFonts w:hint="eastAsia" w:ascii="宋体" w:hAnsi="宋体" w:eastAsia="宋体" w:cs="宋体"/>
                <w:color w:val="auto"/>
                <w:sz w:val="21"/>
                <w:szCs w:val="21"/>
              </w:rPr>
            </w:pPr>
            <w:r>
              <w:rPr>
                <w:rStyle w:val="44"/>
                <w:rFonts w:hint="eastAsia" w:ascii="宋体" w:hAnsi="宋体" w:eastAsia="宋体" w:cs="宋体"/>
                <w:color w:val="auto"/>
                <w:sz w:val="21"/>
                <w:szCs w:val="21"/>
                <w:lang w:bidi="ar"/>
              </w:rPr>
              <w:t>1、整体规格：≥440mm（</w:t>
            </w:r>
            <w:r>
              <w:rPr>
                <w:rStyle w:val="44"/>
                <w:rFonts w:hint="eastAsia" w:ascii="宋体" w:hAnsi="宋体" w:eastAsia="宋体" w:cs="宋体"/>
                <w:color w:val="auto"/>
                <w:sz w:val="21"/>
                <w:szCs w:val="21"/>
                <w:lang w:eastAsia="zh-CN" w:bidi="ar"/>
              </w:rPr>
              <w:t>长</w:t>
            </w:r>
            <w:r>
              <w:rPr>
                <w:rStyle w:val="44"/>
                <w:rFonts w:hint="eastAsia" w:ascii="宋体" w:hAnsi="宋体" w:eastAsia="宋体" w:cs="宋体"/>
                <w:color w:val="auto"/>
                <w:sz w:val="21"/>
                <w:szCs w:val="21"/>
                <w:lang w:bidi="ar"/>
              </w:rPr>
              <w:t>）×600mm（</w:t>
            </w:r>
            <w:r>
              <w:rPr>
                <w:rStyle w:val="44"/>
                <w:rFonts w:hint="eastAsia" w:ascii="宋体" w:hAnsi="宋体" w:eastAsia="宋体" w:cs="宋体"/>
                <w:color w:val="auto"/>
                <w:sz w:val="21"/>
                <w:szCs w:val="21"/>
                <w:lang w:eastAsia="zh-CN" w:bidi="ar"/>
              </w:rPr>
              <w:t>宽</w:t>
            </w:r>
            <w:r>
              <w:rPr>
                <w:rStyle w:val="44"/>
                <w:rFonts w:hint="eastAsia" w:ascii="宋体" w:hAnsi="宋体" w:eastAsia="宋体" w:cs="宋体"/>
                <w:color w:val="auto"/>
                <w:sz w:val="21"/>
                <w:szCs w:val="21"/>
                <w:lang w:bidi="ar"/>
              </w:rPr>
              <w:t>）×820mm（</w:t>
            </w:r>
            <w:r>
              <w:rPr>
                <w:rStyle w:val="44"/>
                <w:rFonts w:hint="eastAsia" w:ascii="宋体" w:hAnsi="宋体" w:eastAsia="宋体" w:cs="宋体"/>
                <w:color w:val="auto"/>
                <w:sz w:val="21"/>
                <w:szCs w:val="21"/>
                <w:lang w:eastAsia="zh-CN" w:bidi="ar"/>
              </w:rPr>
              <w:t>高</w:t>
            </w:r>
            <w:r>
              <w:rPr>
                <w:rStyle w:val="44"/>
                <w:rFonts w:hint="eastAsia" w:ascii="宋体" w:hAnsi="宋体" w:eastAsia="宋体" w:cs="宋体"/>
                <w:color w:val="auto"/>
                <w:sz w:val="21"/>
                <w:szCs w:val="21"/>
                <w:lang w:bidi="ar"/>
              </w:rPr>
              <w:t>）；由槽体和柜体构成。</w:t>
            </w:r>
            <w:r>
              <w:rPr>
                <w:rStyle w:val="44"/>
                <w:rFonts w:hint="eastAsia" w:ascii="宋体" w:hAnsi="宋体" w:eastAsia="宋体" w:cs="宋体"/>
                <w:color w:val="auto"/>
                <w:sz w:val="21"/>
                <w:szCs w:val="21"/>
                <w:lang w:bidi="ar"/>
              </w:rPr>
              <w:br w:type="textWrapping"/>
            </w:r>
            <w:r>
              <w:rPr>
                <w:rStyle w:val="44"/>
                <w:rFonts w:hint="eastAsia" w:ascii="宋体" w:hAnsi="宋体" w:eastAsia="宋体" w:cs="宋体"/>
                <w:color w:val="auto"/>
                <w:sz w:val="21"/>
                <w:szCs w:val="21"/>
                <w:lang w:bidi="ar"/>
              </w:rPr>
              <w:t>2、槽体：≥440mm（</w:t>
            </w:r>
            <w:r>
              <w:rPr>
                <w:rStyle w:val="44"/>
                <w:rFonts w:hint="eastAsia" w:ascii="宋体" w:hAnsi="宋体" w:eastAsia="宋体" w:cs="宋体"/>
                <w:color w:val="auto"/>
                <w:sz w:val="21"/>
                <w:szCs w:val="21"/>
                <w:lang w:eastAsia="zh-CN" w:bidi="ar"/>
              </w:rPr>
              <w:t>长</w:t>
            </w:r>
            <w:r>
              <w:rPr>
                <w:rStyle w:val="44"/>
                <w:rFonts w:hint="eastAsia" w:ascii="宋体" w:hAnsi="宋体" w:eastAsia="宋体" w:cs="宋体"/>
                <w:color w:val="auto"/>
                <w:sz w:val="21"/>
                <w:szCs w:val="21"/>
                <w:lang w:bidi="ar"/>
              </w:rPr>
              <w:t>）×600mm（</w:t>
            </w:r>
            <w:r>
              <w:rPr>
                <w:rStyle w:val="44"/>
                <w:rFonts w:hint="eastAsia" w:ascii="宋体" w:hAnsi="宋体" w:eastAsia="宋体" w:cs="宋体"/>
                <w:color w:val="auto"/>
                <w:sz w:val="21"/>
                <w:szCs w:val="21"/>
                <w:lang w:eastAsia="zh-CN" w:bidi="ar"/>
              </w:rPr>
              <w:t>宽</w:t>
            </w:r>
            <w:r>
              <w:rPr>
                <w:rStyle w:val="44"/>
                <w:rFonts w:hint="eastAsia" w:ascii="宋体" w:hAnsi="宋体" w:eastAsia="宋体" w:cs="宋体"/>
                <w:color w:val="auto"/>
                <w:sz w:val="21"/>
                <w:szCs w:val="21"/>
                <w:lang w:bidi="ar"/>
              </w:rPr>
              <w:t>）×250mm（</w:t>
            </w:r>
            <w:r>
              <w:rPr>
                <w:rStyle w:val="44"/>
                <w:rFonts w:hint="eastAsia" w:ascii="宋体" w:hAnsi="宋体" w:eastAsia="宋体" w:cs="宋体"/>
                <w:color w:val="auto"/>
                <w:sz w:val="21"/>
                <w:szCs w:val="21"/>
                <w:lang w:eastAsia="zh-CN" w:bidi="ar"/>
              </w:rPr>
              <w:t>高</w:t>
            </w:r>
            <w:r>
              <w:rPr>
                <w:rStyle w:val="44"/>
                <w:rFonts w:hint="eastAsia" w:ascii="宋体" w:hAnsi="宋体" w:eastAsia="宋体" w:cs="宋体"/>
                <w:color w:val="auto"/>
                <w:sz w:val="21"/>
                <w:szCs w:val="21"/>
                <w:lang w:bidi="ar"/>
              </w:rPr>
              <w:t>），采用聚丙烯一体化注塑成型；由功能区和洗涤区组成；</w:t>
            </w:r>
            <w:r>
              <w:rPr>
                <w:rStyle w:val="44"/>
                <w:rFonts w:hint="eastAsia" w:ascii="宋体" w:hAnsi="宋体" w:eastAsia="宋体" w:cs="宋体"/>
                <w:color w:val="auto"/>
                <w:sz w:val="21"/>
                <w:szCs w:val="21"/>
                <w:lang w:bidi="ar"/>
              </w:rPr>
              <w:br w:type="textWrapping"/>
            </w:r>
            <w:r>
              <w:rPr>
                <w:rStyle w:val="44"/>
                <w:rFonts w:hint="eastAsia" w:ascii="宋体" w:hAnsi="宋体" w:eastAsia="宋体" w:cs="宋体"/>
                <w:color w:val="auto"/>
                <w:sz w:val="21"/>
                <w:szCs w:val="21"/>
                <w:lang w:bidi="ar"/>
              </w:rPr>
              <w:t>2.1功能区配置内冲洗喷淋装置、出水装置、综合给排水接口。内置洗眼器安装孔、伸缩式吸风罩孔位及吊装主风管孔位；</w:t>
            </w:r>
            <w:r>
              <w:rPr>
                <w:rStyle w:val="44"/>
                <w:rFonts w:hint="eastAsia" w:ascii="宋体" w:hAnsi="宋体" w:eastAsia="宋体" w:cs="宋体"/>
                <w:color w:val="auto"/>
                <w:sz w:val="21"/>
                <w:szCs w:val="21"/>
                <w:lang w:bidi="ar"/>
              </w:rPr>
              <w:br w:type="textWrapping"/>
            </w:r>
            <w:r>
              <w:rPr>
                <w:rStyle w:val="44"/>
                <w:rFonts w:hint="eastAsia" w:ascii="宋体" w:hAnsi="宋体" w:eastAsia="宋体" w:cs="宋体"/>
                <w:color w:val="auto"/>
                <w:sz w:val="21"/>
                <w:szCs w:val="21"/>
                <w:lang w:bidi="ar"/>
              </w:rPr>
              <w:t>2.1.1内冲洗喷淋装置：直径≥100mm，采用聚丙烯一体化注塑成型；支持单手按压出水，松手即止水，按压行程≥3mm。喷头设计≥10孔，不同角度均匀出水。飞轮上设置≥2档定位卡槽，适配不同直径容器口径；</w:t>
            </w:r>
            <w:r>
              <w:rPr>
                <w:rStyle w:val="44"/>
                <w:rFonts w:hint="eastAsia" w:ascii="宋体" w:hAnsi="宋体" w:eastAsia="宋体" w:cs="宋体"/>
                <w:color w:val="auto"/>
                <w:sz w:val="21"/>
                <w:szCs w:val="21"/>
                <w:lang w:bidi="ar"/>
              </w:rPr>
              <w:br w:type="textWrapping"/>
            </w:r>
            <w:r>
              <w:rPr>
                <w:rStyle w:val="44"/>
                <w:rFonts w:hint="eastAsia" w:ascii="宋体" w:hAnsi="宋体" w:eastAsia="宋体" w:cs="宋体"/>
                <w:color w:val="auto"/>
                <w:sz w:val="21"/>
                <w:szCs w:val="21"/>
                <w:lang w:bidi="ar"/>
              </w:rPr>
              <w:t>2.1.2出水装置：一高二低出水口，管体部分为黄铜合金制，陶瓷阀芯，表面经环氧树脂静电喷涂处理。出水口为铜质瓷芯尖嘴型，可拆卸清洗阻塞；</w:t>
            </w:r>
            <w:r>
              <w:rPr>
                <w:rStyle w:val="44"/>
                <w:rFonts w:hint="eastAsia" w:ascii="宋体" w:hAnsi="宋体" w:eastAsia="宋体" w:cs="宋体"/>
                <w:color w:val="auto"/>
                <w:sz w:val="21"/>
                <w:szCs w:val="21"/>
                <w:lang w:bidi="ar"/>
              </w:rPr>
              <w:br w:type="textWrapping"/>
            </w:r>
            <w:r>
              <w:rPr>
                <w:rStyle w:val="44"/>
                <w:rFonts w:hint="eastAsia" w:ascii="宋体" w:hAnsi="宋体" w:eastAsia="宋体" w:cs="宋体"/>
                <w:color w:val="auto"/>
                <w:sz w:val="21"/>
                <w:szCs w:val="21"/>
                <w:lang w:bidi="ar"/>
              </w:rPr>
              <w:t>2.1.3综合给排水接口：供水接口、排水接口采用≥4分快速水管接口，自动锁紧，带有止水功能；信号供电接口采用≥9Pin快接防水航空插头，每Pin通流能力≥10A；配置手动排水按钮，采用持续按压排水方式，松手即停。</w:t>
            </w:r>
            <w:r>
              <w:rPr>
                <w:rStyle w:val="44"/>
                <w:rFonts w:hint="eastAsia" w:ascii="宋体" w:hAnsi="宋体" w:eastAsia="宋体" w:cs="宋体"/>
                <w:color w:val="auto"/>
                <w:sz w:val="21"/>
                <w:szCs w:val="21"/>
                <w:lang w:bidi="ar"/>
              </w:rPr>
              <w:br w:type="textWrapping"/>
            </w:r>
            <w:r>
              <w:rPr>
                <w:rStyle w:val="44"/>
                <w:rFonts w:hint="eastAsia" w:ascii="宋体" w:hAnsi="宋体" w:eastAsia="宋体" w:cs="宋体"/>
                <w:color w:val="auto"/>
                <w:sz w:val="21"/>
                <w:szCs w:val="21"/>
                <w:lang w:bidi="ar"/>
              </w:rPr>
              <w:t>2.2洗涤区：内壁规格≥320mm（</w:t>
            </w:r>
            <w:r>
              <w:rPr>
                <w:rStyle w:val="44"/>
                <w:rFonts w:hint="eastAsia" w:ascii="宋体" w:hAnsi="宋体" w:eastAsia="宋体" w:cs="宋体"/>
                <w:color w:val="auto"/>
                <w:sz w:val="21"/>
                <w:szCs w:val="21"/>
                <w:lang w:eastAsia="zh-CN" w:bidi="ar"/>
              </w:rPr>
              <w:t>长</w:t>
            </w:r>
            <w:r>
              <w:rPr>
                <w:rStyle w:val="44"/>
                <w:rFonts w:hint="eastAsia" w:ascii="宋体" w:hAnsi="宋体" w:eastAsia="宋体" w:cs="宋体"/>
                <w:color w:val="auto"/>
                <w:sz w:val="21"/>
                <w:szCs w:val="21"/>
                <w:lang w:bidi="ar"/>
              </w:rPr>
              <w:t>）×250mm（</w:t>
            </w:r>
            <w:r>
              <w:rPr>
                <w:rStyle w:val="44"/>
                <w:rFonts w:hint="eastAsia" w:ascii="宋体" w:hAnsi="宋体" w:eastAsia="宋体" w:cs="宋体"/>
                <w:color w:val="auto"/>
                <w:sz w:val="21"/>
                <w:szCs w:val="21"/>
                <w:lang w:eastAsia="zh-CN" w:bidi="ar"/>
              </w:rPr>
              <w:t>宽</w:t>
            </w:r>
            <w:r>
              <w:rPr>
                <w:rStyle w:val="44"/>
                <w:rFonts w:hint="eastAsia" w:ascii="宋体" w:hAnsi="宋体" w:eastAsia="宋体" w:cs="宋体"/>
                <w:color w:val="auto"/>
                <w:sz w:val="21"/>
                <w:szCs w:val="21"/>
                <w:lang w:bidi="ar"/>
              </w:rPr>
              <w:t>）×190mm（</w:t>
            </w:r>
            <w:r>
              <w:rPr>
                <w:rStyle w:val="44"/>
                <w:rFonts w:hint="eastAsia" w:ascii="宋体" w:hAnsi="宋体" w:eastAsia="宋体" w:cs="宋体"/>
                <w:color w:val="auto"/>
                <w:sz w:val="21"/>
                <w:szCs w:val="21"/>
                <w:lang w:eastAsia="zh-CN" w:bidi="ar"/>
              </w:rPr>
              <w:t>高</w:t>
            </w:r>
            <w:r>
              <w:rPr>
                <w:rStyle w:val="44"/>
                <w:rFonts w:hint="eastAsia" w:ascii="宋体" w:hAnsi="宋体" w:eastAsia="宋体" w:cs="宋体"/>
                <w:color w:val="auto"/>
                <w:sz w:val="21"/>
                <w:szCs w:val="21"/>
                <w:lang w:bidi="ar"/>
              </w:rPr>
              <w:t>），内壁左右两侧内置卡槽，支持放置洗涤框。配置折叠式滴水架、过滤装置。内壁整体及所有配件均采用聚丙烯一体化注塑成型；</w:t>
            </w:r>
            <w:r>
              <w:rPr>
                <w:rStyle w:val="44"/>
                <w:rFonts w:hint="eastAsia" w:ascii="宋体" w:hAnsi="宋体" w:eastAsia="宋体" w:cs="宋体"/>
                <w:color w:val="auto"/>
                <w:sz w:val="21"/>
                <w:szCs w:val="21"/>
                <w:lang w:bidi="ar"/>
              </w:rPr>
              <w:br w:type="textWrapping"/>
            </w:r>
            <w:r>
              <w:rPr>
                <w:rStyle w:val="44"/>
                <w:rFonts w:hint="eastAsia" w:ascii="宋体" w:hAnsi="宋体" w:eastAsia="宋体" w:cs="宋体"/>
                <w:color w:val="auto"/>
                <w:sz w:val="21"/>
                <w:szCs w:val="21"/>
                <w:lang w:bidi="ar"/>
              </w:rPr>
              <w:t>2.2.1折叠式滴水架：规格≥290mm（</w:t>
            </w:r>
            <w:r>
              <w:rPr>
                <w:rStyle w:val="44"/>
                <w:rFonts w:hint="eastAsia" w:ascii="宋体" w:hAnsi="宋体" w:eastAsia="宋体" w:cs="宋体"/>
                <w:color w:val="auto"/>
                <w:sz w:val="21"/>
                <w:szCs w:val="21"/>
                <w:lang w:eastAsia="zh-CN" w:bidi="ar"/>
              </w:rPr>
              <w:t>长</w:t>
            </w:r>
            <w:r>
              <w:rPr>
                <w:rStyle w:val="44"/>
                <w:rFonts w:hint="eastAsia" w:ascii="宋体" w:hAnsi="宋体" w:eastAsia="宋体" w:cs="宋体"/>
                <w:color w:val="auto"/>
                <w:sz w:val="21"/>
                <w:szCs w:val="21"/>
                <w:lang w:bidi="ar"/>
              </w:rPr>
              <w:t>）×15mm（</w:t>
            </w:r>
            <w:r>
              <w:rPr>
                <w:rStyle w:val="44"/>
                <w:rFonts w:hint="eastAsia" w:ascii="宋体" w:hAnsi="宋体" w:eastAsia="宋体" w:cs="宋体"/>
                <w:color w:val="auto"/>
                <w:sz w:val="21"/>
                <w:szCs w:val="21"/>
                <w:lang w:eastAsia="zh-CN" w:bidi="ar"/>
              </w:rPr>
              <w:t>宽</w:t>
            </w:r>
            <w:r>
              <w:rPr>
                <w:rStyle w:val="44"/>
                <w:rFonts w:hint="eastAsia" w:ascii="宋体" w:hAnsi="宋体" w:eastAsia="宋体" w:cs="宋体"/>
                <w:color w:val="auto"/>
                <w:sz w:val="21"/>
                <w:szCs w:val="21"/>
                <w:lang w:bidi="ar"/>
              </w:rPr>
              <w:t>）×170mm（</w:t>
            </w:r>
            <w:r>
              <w:rPr>
                <w:rStyle w:val="44"/>
                <w:rFonts w:hint="eastAsia" w:ascii="宋体" w:hAnsi="宋体" w:eastAsia="宋体" w:cs="宋体"/>
                <w:color w:val="auto"/>
                <w:sz w:val="21"/>
                <w:szCs w:val="21"/>
                <w:lang w:eastAsia="zh-CN" w:bidi="ar"/>
              </w:rPr>
              <w:t>高</w:t>
            </w:r>
            <w:r>
              <w:rPr>
                <w:rStyle w:val="44"/>
                <w:rFonts w:hint="eastAsia" w:ascii="宋体" w:hAnsi="宋体" w:eastAsia="宋体" w:cs="宋体"/>
                <w:color w:val="auto"/>
                <w:sz w:val="21"/>
                <w:szCs w:val="21"/>
                <w:lang w:bidi="ar"/>
              </w:rPr>
              <w:t>），壁挂式设计，安装于水槽内部，配置≥5支滴水棒，长≥80mm，滴水棒通过转轴与固定板连接。每根滴水棒收起时，两侧均设有卡扣，能够实现滴水棒的稳固固定；</w:t>
            </w:r>
            <w:r>
              <w:rPr>
                <w:rStyle w:val="44"/>
                <w:rFonts w:hint="eastAsia" w:ascii="宋体" w:hAnsi="宋体" w:eastAsia="宋体" w:cs="宋体"/>
                <w:color w:val="auto"/>
                <w:sz w:val="21"/>
                <w:szCs w:val="21"/>
                <w:lang w:bidi="ar"/>
              </w:rPr>
              <w:br w:type="textWrapping"/>
            </w:r>
            <w:r>
              <w:rPr>
                <w:rStyle w:val="44"/>
                <w:rFonts w:hint="eastAsia" w:ascii="宋体" w:hAnsi="宋体" w:eastAsia="宋体" w:cs="宋体"/>
                <w:color w:val="auto"/>
                <w:sz w:val="21"/>
                <w:szCs w:val="21"/>
                <w:lang w:bidi="ar"/>
              </w:rPr>
              <w:t>2.2.2过滤装置：过滤板规格≥250mm（</w:t>
            </w:r>
            <w:r>
              <w:rPr>
                <w:rStyle w:val="44"/>
                <w:rFonts w:hint="eastAsia" w:ascii="宋体" w:hAnsi="宋体" w:eastAsia="宋体" w:cs="宋体"/>
                <w:color w:val="auto"/>
                <w:sz w:val="21"/>
                <w:szCs w:val="21"/>
                <w:lang w:eastAsia="zh-CN" w:bidi="ar"/>
              </w:rPr>
              <w:t>长</w:t>
            </w:r>
            <w:r>
              <w:rPr>
                <w:rStyle w:val="44"/>
                <w:rFonts w:hint="eastAsia" w:ascii="宋体" w:hAnsi="宋体" w:eastAsia="宋体" w:cs="宋体"/>
                <w:color w:val="auto"/>
                <w:sz w:val="21"/>
                <w:szCs w:val="21"/>
                <w:lang w:bidi="ar"/>
              </w:rPr>
              <w:t>）×140mm（</w:t>
            </w:r>
            <w:r>
              <w:rPr>
                <w:rStyle w:val="44"/>
                <w:rFonts w:hint="eastAsia" w:ascii="宋体" w:hAnsi="宋体" w:eastAsia="宋体" w:cs="宋体"/>
                <w:color w:val="auto"/>
                <w:sz w:val="21"/>
                <w:szCs w:val="21"/>
                <w:lang w:eastAsia="zh-CN" w:bidi="ar"/>
              </w:rPr>
              <w:t>宽</w:t>
            </w:r>
            <w:r>
              <w:rPr>
                <w:rStyle w:val="44"/>
                <w:rFonts w:hint="eastAsia" w:ascii="宋体" w:hAnsi="宋体" w:eastAsia="宋体" w:cs="宋体"/>
                <w:color w:val="auto"/>
                <w:sz w:val="21"/>
                <w:szCs w:val="21"/>
                <w:lang w:bidi="ar"/>
              </w:rPr>
              <w:t>）×7mm（</w:t>
            </w:r>
            <w:r>
              <w:rPr>
                <w:rStyle w:val="44"/>
                <w:rFonts w:hint="eastAsia" w:ascii="宋体" w:hAnsi="宋体" w:eastAsia="宋体" w:cs="宋体"/>
                <w:color w:val="auto"/>
                <w:sz w:val="21"/>
                <w:szCs w:val="21"/>
                <w:lang w:eastAsia="zh-CN" w:bidi="ar"/>
              </w:rPr>
              <w:t>高</w:t>
            </w:r>
            <w:r>
              <w:rPr>
                <w:rStyle w:val="44"/>
                <w:rFonts w:hint="eastAsia" w:ascii="宋体" w:hAnsi="宋体" w:eastAsia="宋体" w:cs="宋体"/>
                <w:color w:val="auto"/>
                <w:sz w:val="21"/>
                <w:szCs w:val="21"/>
                <w:lang w:bidi="ar"/>
              </w:rPr>
              <w:t>）</w:t>
            </w:r>
            <w:r>
              <w:rPr>
                <w:rStyle w:val="44"/>
                <w:rFonts w:hint="eastAsia" w:ascii="宋体" w:hAnsi="宋体" w:eastAsia="宋体" w:cs="宋体"/>
                <w:color w:val="auto"/>
                <w:sz w:val="21"/>
                <w:szCs w:val="21"/>
                <w:lang w:eastAsia="zh-CN" w:bidi="ar"/>
              </w:rPr>
              <w:t>。</w:t>
            </w:r>
            <w:r>
              <w:rPr>
                <w:rStyle w:val="44"/>
                <w:rFonts w:hint="eastAsia" w:ascii="宋体" w:hAnsi="宋体" w:eastAsia="宋体" w:cs="宋体"/>
                <w:color w:val="auto"/>
                <w:sz w:val="21"/>
                <w:szCs w:val="21"/>
                <w:lang w:bidi="ar"/>
              </w:rPr>
              <w:t>安装于水槽底部，可单独拆卸，表面分布有大量过滤孔。过滤网外径≥80mm，不锈钢材质，放置于排水口。</w:t>
            </w:r>
            <w:r>
              <w:rPr>
                <w:rStyle w:val="44"/>
                <w:rFonts w:hint="eastAsia" w:ascii="宋体" w:hAnsi="宋体" w:eastAsia="宋体" w:cs="宋体"/>
                <w:color w:val="auto"/>
                <w:sz w:val="21"/>
                <w:szCs w:val="21"/>
                <w:lang w:bidi="ar"/>
              </w:rPr>
              <w:br w:type="textWrapping"/>
            </w:r>
            <w:r>
              <w:rPr>
                <w:rStyle w:val="44"/>
                <w:rFonts w:hint="eastAsia" w:ascii="宋体" w:hAnsi="宋体" w:eastAsia="宋体" w:cs="宋体"/>
                <w:color w:val="auto"/>
                <w:sz w:val="21"/>
                <w:szCs w:val="21"/>
                <w:lang w:bidi="ar"/>
              </w:rPr>
              <w:t>3、柜体：≥440mm（</w:t>
            </w:r>
            <w:r>
              <w:rPr>
                <w:rStyle w:val="44"/>
                <w:rFonts w:hint="eastAsia" w:ascii="宋体" w:hAnsi="宋体" w:eastAsia="宋体" w:cs="宋体"/>
                <w:color w:val="auto"/>
                <w:sz w:val="21"/>
                <w:szCs w:val="21"/>
                <w:lang w:eastAsia="zh-CN" w:bidi="ar"/>
              </w:rPr>
              <w:t>长</w:t>
            </w:r>
            <w:r>
              <w:rPr>
                <w:rStyle w:val="44"/>
                <w:rFonts w:hint="eastAsia" w:ascii="宋体" w:hAnsi="宋体" w:eastAsia="宋体" w:cs="宋体"/>
                <w:color w:val="auto"/>
                <w:sz w:val="21"/>
                <w:szCs w:val="21"/>
                <w:lang w:bidi="ar"/>
              </w:rPr>
              <w:t>）×600mm（</w:t>
            </w:r>
            <w:r>
              <w:rPr>
                <w:rStyle w:val="44"/>
                <w:rFonts w:hint="eastAsia" w:ascii="宋体" w:hAnsi="宋体" w:eastAsia="宋体" w:cs="宋体"/>
                <w:color w:val="auto"/>
                <w:sz w:val="21"/>
                <w:szCs w:val="21"/>
                <w:lang w:eastAsia="zh-CN" w:bidi="ar"/>
              </w:rPr>
              <w:t>宽</w:t>
            </w:r>
            <w:r>
              <w:rPr>
                <w:rStyle w:val="44"/>
                <w:rFonts w:hint="eastAsia" w:ascii="宋体" w:hAnsi="宋体" w:eastAsia="宋体" w:cs="宋体"/>
                <w:color w:val="auto"/>
                <w:sz w:val="21"/>
                <w:szCs w:val="21"/>
                <w:lang w:bidi="ar"/>
              </w:rPr>
              <w:t>）×690mm（</w:t>
            </w:r>
            <w:r>
              <w:rPr>
                <w:rStyle w:val="44"/>
                <w:rFonts w:hint="eastAsia" w:ascii="宋体" w:hAnsi="宋体" w:eastAsia="宋体" w:cs="宋体"/>
                <w:color w:val="auto"/>
                <w:sz w:val="21"/>
                <w:szCs w:val="21"/>
                <w:lang w:eastAsia="zh-CN" w:bidi="ar"/>
              </w:rPr>
              <w:t>高</w:t>
            </w:r>
            <w:r>
              <w:rPr>
                <w:rStyle w:val="44"/>
                <w:rFonts w:hint="eastAsia" w:ascii="宋体" w:hAnsi="宋体" w:eastAsia="宋体" w:cs="宋体"/>
                <w:color w:val="auto"/>
                <w:sz w:val="21"/>
                <w:szCs w:val="21"/>
                <w:lang w:bidi="ar"/>
              </w:rPr>
              <w:t>）；由柜门和柜身组成；</w:t>
            </w:r>
            <w:r>
              <w:rPr>
                <w:rStyle w:val="44"/>
                <w:rFonts w:hint="eastAsia" w:ascii="宋体" w:hAnsi="宋体" w:eastAsia="宋体" w:cs="宋体"/>
                <w:color w:val="auto"/>
                <w:sz w:val="21"/>
                <w:szCs w:val="21"/>
                <w:lang w:bidi="ar"/>
              </w:rPr>
              <w:br w:type="textWrapping"/>
            </w:r>
            <w:r>
              <w:rPr>
                <w:rStyle w:val="44"/>
                <w:rFonts w:hint="eastAsia" w:ascii="宋体" w:hAnsi="宋体" w:eastAsia="宋体" w:cs="宋体"/>
                <w:color w:val="auto"/>
                <w:sz w:val="21"/>
                <w:szCs w:val="21"/>
                <w:lang w:bidi="ar"/>
              </w:rPr>
              <w:t>3.1柜门：≥430mm（</w:t>
            </w:r>
            <w:r>
              <w:rPr>
                <w:rStyle w:val="44"/>
                <w:rFonts w:hint="eastAsia" w:ascii="宋体" w:hAnsi="宋体" w:eastAsia="宋体" w:cs="宋体"/>
                <w:color w:val="auto"/>
                <w:sz w:val="21"/>
                <w:szCs w:val="21"/>
                <w:lang w:eastAsia="zh-CN" w:bidi="ar"/>
              </w:rPr>
              <w:t>长</w:t>
            </w:r>
            <w:r>
              <w:rPr>
                <w:rStyle w:val="44"/>
                <w:rFonts w:hint="eastAsia" w:ascii="宋体" w:hAnsi="宋体" w:eastAsia="宋体" w:cs="宋体"/>
                <w:color w:val="auto"/>
                <w:sz w:val="21"/>
                <w:szCs w:val="21"/>
                <w:lang w:bidi="ar"/>
              </w:rPr>
              <w:t>）×30mm（</w:t>
            </w:r>
            <w:r>
              <w:rPr>
                <w:rStyle w:val="44"/>
                <w:rFonts w:hint="eastAsia" w:ascii="宋体" w:hAnsi="宋体" w:eastAsia="宋体" w:cs="宋体"/>
                <w:color w:val="auto"/>
                <w:sz w:val="21"/>
                <w:szCs w:val="21"/>
                <w:lang w:eastAsia="zh-CN" w:bidi="ar"/>
              </w:rPr>
              <w:t>宽</w:t>
            </w:r>
            <w:r>
              <w:rPr>
                <w:rStyle w:val="44"/>
                <w:rFonts w:hint="eastAsia" w:ascii="宋体" w:hAnsi="宋体" w:eastAsia="宋体" w:cs="宋体"/>
                <w:color w:val="auto"/>
                <w:sz w:val="21"/>
                <w:szCs w:val="21"/>
                <w:lang w:bidi="ar"/>
              </w:rPr>
              <w:t>）×430mm（</w:t>
            </w:r>
            <w:r>
              <w:rPr>
                <w:rStyle w:val="44"/>
                <w:rFonts w:hint="eastAsia" w:ascii="宋体" w:hAnsi="宋体" w:eastAsia="宋体" w:cs="宋体"/>
                <w:color w:val="auto"/>
                <w:sz w:val="21"/>
                <w:szCs w:val="21"/>
                <w:lang w:eastAsia="zh-CN" w:bidi="ar"/>
              </w:rPr>
              <w:t>高</w:t>
            </w:r>
            <w:r>
              <w:rPr>
                <w:rStyle w:val="44"/>
                <w:rFonts w:hint="eastAsia" w:ascii="宋体" w:hAnsi="宋体" w:eastAsia="宋体" w:cs="宋体"/>
                <w:color w:val="auto"/>
                <w:sz w:val="21"/>
                <w:szCs w:val="21"/>
                <w:lang w:bidi="ar"/>
              </w:rPr>
              <w:t>），壁厚3mm（±0.2mm），采用工程塑料一体注塑成型，前后开门设计。柜门与柜身采用上下插轴旋转式结构连接，实现无金属铰链的开合与转动；柜门设有定位与防松结构；</w:t>
            </w:r>
            <w:r>
              <w:rPr>
                <w:rStyle w:val="44"/>
                <w:rFonts w:hint="eastAsia" w:ascii="宋体" w:hAnsi="宋体" w:eastAsia="宋体" w:cs="宋体"/>
                <w:color w:val="auto"/>
                <w:sz w:val="21"/>
                <w:szCs w:val="21"/>
                <w:lang w:bidi="ar"/>
              </w:rPr>
              <w:br w:type="textWrapping"/>
            </w:r>
            <w:r>
              <w:rPr>
                <w:rStyle w:val="44"/>
                <w:rFonts w:hint="eastAsia" w:ascii="宋体" w:hAnsi="宋体" w:eastAsia="宋体" w:cs="宋体"/>
                <w:color w:val="auto"/>
                <w:sz w:val="21"/>
                <w:szCs w:val="21"/>
                <w:lang w:bidi="ar"/>
              </w:rPr>
              <w:t>3.2柜身：由前后两块侧板组装而成，壁厚3mm（±0.2mm），采用工程塑料一体化注塑成型，柜身左右两侧分别设置≥5条加强筋；柜身设置内凹式扣手。柜身两侧安装≥2个防水高压插座。</w:t>
            </w:r>
          </w:p>
        </w:tc>
        <w:tc>
          <w:tcPr>
            <w:tcW w:w="448" w:type="pct"/>
            <w:tcBorders>
              <w:top w:val="single" w:color="000000" w:sz="4" w:space="0"/>
              <w:left w:val="single" w:color="000000" w:sz="4" w:space="0"/>
              <w:bottom w:val="single" w:color="000000" w:sz="4" w:space="0"/>
              <w:right w:val="single" w:color="000000" w:sz="4" w:space="0"/>
            </w:tcBorders>
            <w:vAlign w:val="center"/>
          </w:tcPr>
          <w:p w14:paraId="45156194">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w:t>
            </w:r>
          </w:p>
        </w:tc>
        <w:tc>
          <w:tcPr>
            <w:tcW w:w="495" w:type="pct"/>
            <w:tcBorders>
              <w:top w:val="single" w:color="000000" w:sz="4" w:space="0"/>
              <w:left w:val="single" w:color="000000" w:sz="4" w:space="0"/>
              <w:bottom w:val="single" w:color="000000" w:sz="4" w:space="0"/>
              <w:right w:val="single" w:color="000000" w:sz="4" w:space="0"/>
            </w:tcBorders>
            <w:vAlign w:val="center"/>
          </w:tcPr>
          <w:p w14:paraId="633DC1A3">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个</w:t>
            </w:r>
          </w:p>
        </w:tc>
      </w:tr>
      <w:tr w14:paraId="3A174D28">
        <w:tblPrEx>
          <w:tblCellMar>
            <w:top w:w="0" w:type="dxa"/>
            <w:left w:w="108" w:type="dxa"/>
            <w:bottom w:w="0" w:type="dxa"/>
            <w:right w:w="108" w:type="dxa"/>
          </w:tblCellMar>
        </w:tblPrEx>
        <w:trPr>
          <w:trHeight w:val="560" w:hRule="atLeast"/>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14:paraId="4C1EB7D1">
            <w:pPr>
              <w:rPr>
                <w:rFonts w:hint="eastAsia" w:ascii="宋体" w:hAnsi="宋体" w:eastAsia="宋体" w:cs="宋体"/>
                <w:b/>
                <w:bCs/>
                <w:color w:val="auto"/>
                <w:sz w:val="21"/>
                <w:szCs w:val="21"/>
              </w:rPr>
            </w:pPr>
            <w:r>
              <w:rPr>
                <w:rFonts w:hint="eastAsia" w:ascii="宋体" w:hAnsi="宋体" w:eastAsia="宋体" w:cs="宋体"/>
                <w:b/>
                <w:bCs/>
                <w:color w:val="auto"/>
                <w:kern w:val="0"/>
                <w:sz w:val="21"/>
                <w:szCs w:val="21"/>
                <w:lang w:bidi="ar"/>
              </w:rPr>
              <w:t>五、通风设备</w:t>
            </w:r>
          </w:p>
        </w:tc>
      </w:tr>
      <w:tr w14:paraId="0309A1CC">
        <w:tblPrEx>
          <w:tblCellMar>
            <w:top w:w="0" w:type="dxa"/>
            <w:left w:w="108" w:type="dxa"/>
            <w:bottom w:w="0" w:type="dxa"/>
            <w:right w:w="108" w:type="dxa"/>
          </w:tblCellMar>
        </w:tblPrEx>
        <w:trPr>
          <w:trHeight w:val="682" w:hRule="atLeast"/>
        </w:trPr>
        <w:tc>
          <w:tcPr>
            <w:tcW w:w="437" w:type="pct"/>
            <w:tcBorders>
              <w:top w:val="single" w:color="000000" w:sz="4" w:space="0"/>
              <w:left w:val="single" w:color="000000" w:sz="4" w:space="0"/>
              <w:bottom w:val="single" w:color="000000" w:sz="4" w:space="0"/>
              <w:right w:val="single" w:color="000000" w:sz="4" w:space="0"/>
            </w:tcBorders>
            <w:vAlign w:val="center"/>
          </w:tcPr>
          <w:p w14:paraId="01B29975">
            <w:pPr>
              <w:widowControl/>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kern w:val="0"/>
                <w:sz w:val="21"/>
                <w:szCs w:val="21"/>
                <w:lang w:val="en-US" w:eastAsia="zh-CN" w:bidi="ar"/>
              </w:rPr>
              <w:t>1</w:t>
            </w:r>
          </w:p>
        </w:tc>
        <w:tc>
          <w:tcPr>
            <w:tcW w:w="682" w:type="pct"/>
            <w:tcBorders>
              <w:top w:val="single" w:color="000000" w:sz="4" w:space="0"/>
              <w:left w:val="single" w:color="000000" w:sz="4" w:space="0"/>
              <w:bottom w:val="single" w:color="000000" w:sz="4" w:space="0"/>
              <w:right w:val="single" w:color="000000" w:sz="4" w:space="0"/>
            </w:tcBorders>
            <w:vAlign w:val="center"/>
          </w:tcPr>
          <w:p w14:paraId="3D4130C9">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离心风机</w:t>
            </w:r>
          </w:p>
        </w:tc>
        <w:tc>
          <w:tcPr>
            <w:tcW w:w="2935" w:type="pct"/>
            <w:tcBorders>
              <w:top w:val="single" w:color="000000" w:sz="4" w:space="0"/>
              <w:left w:val="single" w:color="000000" w:sz="4" w:space="0"/>
              <w:bottom w:val="single" w:color="000000" w:sz="4" w:space="0"/>
              <w:right w:val="single" w:color="000000" w:sz="4" w:space="0"/>
            </w:tcBorders>
            <w:vAlign w:val="center"/>
          </w:tcPr>
          <w:p w14:paraId="60E67189">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1.风机：选用防腐蚀的PP工程塑料风机，电机功率≥5.5kW，根据室内环境可随意调风量大小，风量可达6840～12700m³/h；</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2.风机减振器：橡胶胶垫≥Φ120mm；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3.防雨帽：化工工程塑料PP或PVC，≥φ480mm。</w:t>
            </w:r>
          </w:p>
        </w:tc>
        <w:tc>
          <w:tcPr>
            <w:tcW w:w="448" w:type="pct"/>
            <w:tcBorders>
              <w:top w:val="single" w:color="000000" w:sz="4" w:space="0"/>
              <w:left w:val="single" w:color="000000" w:sz="4" w:space="0"/>
              <w:bottom w:val="single" w:color="000000" w:sz="4" w:space="0"/>
              <w:right w:val="single" w:color="000000" w:sz="4" w:space="0"/>
            </w:tcBorders>
            <w:vAlign w:val="center"/>
          </w:tcPr>
          <w:p w14:paraId="3D6D2E65">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495" w:type="pct"/>
            <w:tcBorders>
              <w:top w:val="single" w:color="000000" w:sz="4" w:space="0"/>
              <w:left w:val="single" w:color="000000" w:sz="4" w:space="0"/>
              <w:bottom w:val="single" w:color="000000" w:sz="4" w:space="0"/>
              <w:right w:val="single" w:color="000000" w:sz="4" w:space="0"/>
            </w:tcBorders>
            <w:vAlign w:val="center"/>
          </w:tcPr>
          <w:p w14:paraId="55420A8C">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r>
      <w:tr w14:paraId="27F059DA">
        <w:tblPrEx>
          <w:tblCellMar>
            <w:top w:w="0" w:type="dxa"/>
            <w:left w:w="108" w:type="dxa"/>
            <w:bottom w:w="0" w:type="dxa"/>
            <w:right w:w="108" w:type="dxa"/>
          </w:tblCellMar>
        </w:tblPrEx>
        <w:trPr>
          <w:trHeight w:val="560" w:hRule="atLeast"/>
        </w:trPr>
        <w:tc>
          <w:tcPr>
            <w:tcW w:w="437" w:type="pct"/>
            <w:tcBorders>
              <w:top w:val="single" w:color="000000" w:sz="4" w:space="0"/>
              <w:left w:val="single" w:color="000000" w:sz="4" w:space="0"/>
              <w:bottom w:val="single" w:color="000000" w:sz="4" w:space="0"/>
              <w:right w:val="single" w:color="000000" w:sz="4" w:space="0"/>
            </w:tcBorders>
            <w:vAlign w:val="center"/>
          </w:tcPr>
          <w:p w14:paraId="2D736D27">
            <w:pPr>
              <w:widowControl/>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kern w:val="0"/>
                <w:sz w:val="21"/>
                <w:szCs w:val="21"/>
                <w:lang w:val="en-US" w:eastAsia="zh-CN" w:bidi="ar"/>
              </w:rPr>
              <w:t>2</w:t>
            </w:r>
          </w:p>
        </w:tc>
        <w:tc>
          <w:tcPr>
            <w:tcW w:w="682" w:type="pct"/>
            <w:tcBorders>
              <w:top w:val="single" w:color="000000" w:sz="4" w:space="0"/>
              <w:left w:val="single" w:color="000000" w:sz="4" w:space="0"/>
              <w:bottom w:val="single" w:color="000000" w:sz="4" w:space="0"/>
              <w:right w:val="single" w:color="000000" w:sz="4" w:space="0"/>
            </w:tcBorders>
            <w:vAlign w:val="center"/>
          </w:tcPr>
          <w:p w14:paraId="28491D81">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风机变频控制器</w:t>
            </w:r>
          </w:p>
        </w:tc>
        <w:tc>
          <w:tcPr>
            <w:tcW w:w="2935" w:type="pct"/>
            <w:tcBorders>
              <w:top w:val="single" w:color="000000" w:sz="4" w:space="0"/>
              <w:left w:val="single" w:color="000000" w:sz="4" w:space="0"/>
              <w:bottom w:val="single" w:color="000000" w:sz="4" w:space="0"/>
              <w:right w:val="single" w:color="000000" w:sz="4" w:space="0"/>
            </w:tcBorders>
            <w:vAlign w:val="center"/>
          </w:tcPr>
          <w:p w14:paraId="02E1D5F2">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1.适配多种电机功率;</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2.面板频率:无极编码器;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3.输出:AC 0-380V 13A;</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4.模拟输出:2路(A01.A02)0-10V/0-20MA;</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5.模拟输入:1路(AI2)0-10V/0-20MA，1路(AI3)0-10V;</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6.控制方式:V/F控制;</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7.过载能力:150%额定电流60s;180%额定电流3s;</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8.控制电源+24V:最大输出电流200mA;</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9.运行方式:键盘、端子、RS485通讯;</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10.可实现紧急停机，转速跟踪;</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11.输入端子:8路数字量输入端子;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12.继电器输出:两路可编程继电器输出;</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13.可显示运行信息、故障信息。具备过流、过压、模块故障保护、欠压、过热、过载、外部故障保护、EEPROM故障保护、接地保护、缺相等变频器保护及报警功能;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14.能适应-10℃~40℃的使用环境温度和-20℃~65℃储存温度,最大 90%RH。要求能适应高度1000m以下，振动5.8m/秒²(=0.6g)以下使用环境;</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15.冷却方式采用强制风冷。</w:t>
            </w:r>
          </w:p>
        </w:tc>
        <w:tc>
          <w:tcPr>
            <w:tcW w:w="448" w:type="pct"/>
            <w:tcBorders>
              <w:top w:val="single" w:color="000000" w:sz="4" w:space="0"/>
              <w:left w:val="single" w:color="000000" w:sz="4" w:space="0"/>
              <w:bottom w:val="single" w:color="000000" w:sz="4" w:space="0"/>
              <w:right w:val="single" w:color="000000" w:sz="4" w:space="0"/>
            </w:tcBorders>
            <w:noWrap/>
            <w:vAlign w:val="center"/>
          </w:tcPr>
          <w:p w14:paraId="2C3B111A">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495" w:type="pct"/>
            <w:tcBorders>
              <w:top w:val="single" w:color="000000" w:sz="4" w:space="0"/>
              <w:left w:val="single" w:color="000000" w:sz="4" w:space="0"/>
              <w:bottom w:val="single" w:color="000000" w:sz="4" w:space="0"/>
              <w:right w:val="single" w:color="000000" w:sz="4" w:space="0"/>
            </w:tcBorders>
            <w:vAlign w:val="center"/>
          </w:tcPr>
          <w:p w14:paraId="7FABC2F2">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r>
      <w:tr w14:paraId="58C6F0D8">
        <w:tblPrEx>
          <w:tblCellMar>
            <w:top w:w="0" w:type="dxa"/>
            <w:left w:w="108" w:type="dxa"/>
            <w:bottom w:w="0" w:type="dxa"/>
            <w:right w:w="108" w:type="dxa"/>
          </w:tblCellMar>
        </w:tblPrEx>
        <w:trPr>
          <w:trHeight w:val="560" w:hRule="atLeast"/>
        </w:trPr>
        <w:tc>
          <w:tcPr>
            <w:tcW w:w="437" w:type="pct"/>
            <w:tcBorders>
              <w:top w:val="single" w:color="000000" w:sz="4" w:space="0"/>
              <w:left w:val="single" w:color="000000" w:sz="4" w:space="0"/>
              <w:bottom w:val="single" w:color="000000" w:sz="4" w:space="0"/>
              <w:right w:val="single" w:color="000000" w:sz="4" w:space="0"/>
            </w:tcBorders>
            <w:vAlign w:val="center"/>
          </w:tcPr>
          <w:p w14:paraId="74FA7E3F">
            <w:pPr>
              <w:widowControl/>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kern w:val="0"/>
                <w:sz w:val="21"/>
                <w:szCs w:val="21"/>
                <w:lang w:val="en-US" w:eastAsia="zh-CN" w:bidi="ar"/>
              </w:rPr>
              <w:t>3</w:t>
            </w:r>
          </w:p>
        </w:tc>
        <w:tc>
          <w:tcPr>
            <w:tcW w:w="682" w:type="pct"/>
            <w:tcBorders>
              <w:top w:val="single" w:color="000000" w:sz="4" w:space="0"/>
              <w:left w:val="single" w:color="000000" w:sz="4" w:space="0"/>
              <w:bottom w:val="single" w:color="000000" w:sz="4" w:space="0"/>
              <w:right w:val="single" w:color="000000" w:sz="4" w:space="0"/>
            </w:tcBorders>
            <w:vAlign w:val="center"/>
          </w:tcPr>
          <w:p w14:paraId="655E0C8E">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室内风管及配件</w:t>
            </w:r>
          </w:p>
        </w:tc>
        <w:tc>
          <w:tcPr>
            <w:tcW w:w="2935" w:type="pct"/>
            <w:tcBorders>
              <w:top w:val="single" w:color="000000" w:sz="4" w:space="0"/>
              <w:left w:val="single" w:color="000000" w:sz="4" w:space="0"/>
              <w:bottom w:val="single" w:color="000000" w:sz="4" w:space="0"/>
              <w:right w:val="single" w:color="000000" w:sz="4" w:space="0"/>
            </w:tcBorders>
            <w:vAlign w:val="center"/>
          </w:tcPr>
          <w:p w14:paraId="3D83992F">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室内风管及配件</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1.主通风管规格：φ160mm/200mm，PVC成品管道；</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2.支管道规格：φ110mm/160mm，PVC成品管道；</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3.管道配件：管道三通、弯头、变径、直接；</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（实际管径视现场情况需可适当调整）   </w:t>
            </w:r>
          </w:p>
        </w:tc>
        <w:tc>
          <w:tcPr>
            <w:tcW w:w="448" w:type="pct"/>
            <w:tcBorders>
              <w:top w:val="single" w:color="000000" w:sz="4" w:space="0"/>
              <w:left w:val="single" w:color="000000" w:sz="4" w:space="0"/>
              <w:bottom w:val="single" w:color="000000" w:sz="4" w:space="0"/>
              <w:right w:val="single" w:color="000000" w:sz="4" w:space="0"/>
            </w:tcBorders>
            <w:vAlign w:val="center"/>
          </w:tcPr>
          <w:p w14:paraId="5312EB2B">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495" w:type="pct"/>
            <w:tcBorders>
              <w:top w:val="single" w:color="000000" w:sz="4" w:space="0"/>
              <w:left w:val="single" w:color="000000" w:sz="4" w:space="0"/>
              <w:bottom w:val="single" w:color="000000" w:sz="4" w:space="0"/>
              <w:right w:val="single" w:color="000000" w:sz="4" w:space="0"/>
            </w:tcBorders>
            <w:vAlign w:val="center"/>
          </w:tcPr>
          <w:p w14:paraId="055215F4">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r>
      <w:tr w14:paraId="710D8464">
        <w:tblPrEx>
          <w:tblCellMar>
            <w:top w:w="0" w:type="dxa"/>
            <w:left w:w="108" w:type="dxa"/>
            <w:bottom w:w="0" w:type="dxa"/>
            <w:right w:w="108" w:type="dxa"/>
          </w:tblCellMar>
        </w:tblPrEx>
        <w:trPr>
          <w:trHeight w:val="560" w:hRule="atLeast"/>
        </w:trPr>
        <w:tc>
          <w:tcPr>
            <w:tcW w:w="437" w:type="pct"/>
            <w:tcBorders>
              <w:top w:val="single" w:color="000000" w:sz="4" w:space="0"/>
              <w:left w:val="single" w:color="000000" w:sz="4" w:space="0"/>
              <w:bottom w:val="single" w:color="000000" w:sz="4" w:space="0"/>
              <w:right w:val="single" w:color="000000" w:sz="4" w:space="0"/>
            </w:tcBorders>
            <w:vAlign w:val="center"/>
          </w:tcPr>
          <w:p w14:paraId="01953BD9">
            <w:pPr>
              <w:widowControl/>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kern w:val="0"/>
                <w:sz w:val="21"/>
                <w:szCs w:val="21"/>
                <w:lang w:val="en-US" w:eastAsia="zh-CN" w:bidi="ar"/>
              </w:rPr>
              <w:t>4</w:t>
            </w:r>
          </w:p>
        </w:tc>
        <w:tc>
          <w:tcPr>
            <w:tcW w:w="682" w:type="pct"/>
            <w:tcBorders>
              <w:top w:val="single" w:color="000000" w:sz="4" w:space="0"/>
              <w:left w:val="single" w:color="000000" w:sz="4" w:space="0"/>
              <w:bottom w:val="single" w:color="000000" w:sz="4" w:space="0"/>
              <w:right w:val="single" w:color="000000" w:sz="4" w:space="0"/>
            </w:tcBorders>
            <w:vAlign w:val="center"/>
          </w:tcPr>
          <w:p w14:paraId="12B9E4EB">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室外风管及配件</w:t>
            </w:r>
          </w:p>
        </w:tc>
        <w:tc>
          <w:tcPr>
            <w:tcW w:w="2935" w:type="pct"/>
            <w:tcBorders>
              <w:top w:val="single" w:color="000000" w:sz="4" w:space="0"/>
              <w:left w:val="single" w:color="000000" w:sz="4" w:space="0"/>
              <w:bottom w:val="single" w:color="000000" w:sz="4" w:space="0"/>
              <w:right w:val="single" w:color="000000" w:sz="4" w:space="0"/>
            </w:tcBorders>
            <w:vAlign w:val="center"/>
          </w:tcPr>
          <w:p w14:paraId="7DB9D16C">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室外风管及配件</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1.主通风管规格：φ400mm/φ315mm，优质PVC成品管道；因现场环境因素，主通风管也可以用两趟φ200mm风管代替；</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2.管道配件：管道三通、弯头、变径、直接；</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3.安装附件：固定铁卡。 </w:t>
            </w:r>
          </w:p>
        </w:tc>
        <w:tc>
          <w:tcPr>
            <w:tcW w:w="448" w:type="pct"/>
            <w:tcBorders>
              <w:top w:val="single" w:color="000000" w:sz="4" w:space="0"/>
              <w:left w:val="single" w:color="000000" w:sz="4" w:space="0"/>
              <w:bottom w:val="single" w:color="000000" w:sz="4" w:space="0"/>
              <w:right w:val="single" w:color="000000" w:sz="4" w:space="0"/>
            </w:tcBorders>
            <w:vAlign w:val="center"/>
          </w:tcPr>
          <w:p w14:paraId="18444375">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495" w:type="pct"/>
            <w:tcBorders>
              <w:top w:val="single" w:color="000000" w:sz="4" w:space="0"/>
              <w:left w:val="single" w:color="000000" w:sz="4" w:space="0"/>
              <w:bottom w:val="single" w:color="000000" w:sz="4" w:space="0"/>
              <w:right w:val="single" w:color="000000" w:sz="4" w:space="0"/>
            </w:tcBorders>
            <w:vAlign w:val="center"/>
          </w:tcPr>
          <w:p w14:paraId="50EFE1B9">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r>
      <w:tr w14:paraId="2A04F887">
        <w:tblPrEx>
          <w:tblCellMar>
            <w:top w:w="0" w:type="dxa"/>
            <w:left w:w="108" w:type="dxa"/>
            <w:bottom w:w="0" w:type="dxa"/>
            <w:right w:w="108" w:type="dxa"/>
          </w:tblCellMar>
        </w:tblPrEx>
        <w:trPr>
          <w:trHeight w:val="560" w:hRule="atLeast"/>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14:paraId="3A4D4F22">
            <w:pPr>
              <w:rPr>
                <w:rFonts w:hint="eastAsia" w:ascii="宋体" w:hAnsi="宋体" w:eastAsia="宋体" w:cs="宋体"/>
                <w:b/>
                <w:bCs/>
                <w:color w:val="auto"/>
                <w:sz w:val="21"/>
                <w:szCs w:val="21"/>
              </w:rPr>
            </w:pPr>
            <w:r>
              <w:rPr>
                <w:rFonts w:hint="eastAsia" w:ascii="宋体" w:hAnsi="宋体" w:eastAsia="宋体" w:cs="宋体"/>
                <w:b/>
                <w:bCs/>
                <w:color w:val="auto"/>
                <w:kern w:val="0"/>
                <w:sz w:val="21"/>
                <w:szCs w:val="21"/>
                <w:lang w:bidi="ar"/>
              </w:rPr>
              <w:t>六、安装附件部分</w:t>
            </w:r>
          </w:p>
        </w:tc>
      </w:tr>
      <w:tr w14:paraId="1BCEB600">
        <w:tblPrEx>
          <w:tblCellMar>
            <w:top w:w="0" w:type="dxa"/>
            <w:left w:w="108" w:type="dxa"/>
            <w:bottom w:w="0" w:type="dxa"/>
            <w:right w:w="108" w:type="dxa"/>
          </w:tblCellMar>
        </w:tblPrEx>
        <w:trPr>
          <w:trHeight w:val="560" w:hRule="atLeast"/>
        </w:trPr>
        <w:tc>
          <w:tcPr>
            <w:tcW w:w="437" w:type="pct"/>
            <w:tcBorders>
              <w:top w:val="single" w:color="000000" w:sz="4" w:space="0"/>
              <w:left w:val="single" w:color="000000" w:sz="4" w:space="0"/>
              <w:bottom w:val="single" w:color="000000" w:sz="4" w:space="0"/>
              <w:right w:val="single" w:color="000000" w:sz="4" w:space="0"/>
            </w:tcBorders>
            <w:vAlign w:val="center"/>
          </w:tcPr>
          <w:p w14:paraId="730EEA24">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682" w:type="pct"/>
            <w:tcBorders>
              <w:top w:val="single" w:color="000000" w:sz="4" w:space="0"/>
              <w:left w:val="single" w:color="000000" w:sz="4" w:space="0"/>
              <w:bottom w:val="single" w:color="000000" w:sz="4" w:space="0"/>
              <w:right w:val="single" w:color="000000" w:sz="4" w:space="0"/>
            </w:tcBorders>
            <w:vAlign w:val="center"/>
          </w:tcPr>
          <w:p w14:paraId="432D7D15">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电源布线耗材</w:t>
            </w:r>
          </w:p>
        </w:tc>
        <w:tc>
          <w:tcPr>
            <w:tcW w:w="2935" w:type="pct"/>
            <w:tcBorders>
              <w:top w:val="single" w:color="000000" w:sz="4" w:space="0"/>
              <w:left w:val="single" w:color="000000" w:sz="4" w:space="0"/>
              <w:bottom w:val="single" w:color="000000" w:sz="4" w:space="0"/>
              <w:right w:val="single" w:color="000000" w:sz="4" w:space="0"/>
            </w:tcBorders>
            <w:vAlign w:val="center"/>
          </w:tcPr>
          <w:p w14:paraId="50F58B95">
            <w:pPr>
              <w:widowControl/>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电源主线采用4.0mm²BVR铜软线铺设；选用Ф20或Ф25PVC阻燃线管，每桌采用软铜质电线与主线对接取电；选用合适规格的线管包裹取电连接线。</w:t>
            </w:r>
          </w:p>
        </w:tc>
        <w:tc>
          <w:tcPr>
            <w:tcW w:w="448" w:type="pct"/>
            <w:tcBorders>
              <w:top w:val="single" w:color="000000" w:sz="4" w:space="0"/>
              <w:left w:val="single" w:color="000000" w:sz="4" w:space="0"/>
              <w:bottom w:val="single" w:color="000000" w:sz="4" w:space="0"/>
              <w:right w:val="single" w:color="000000" w:sz="4" w:space="0"/>
            </w:tcBorders>
            <w:vAlign w:val="center"/>
          </w:tcPr>
          <w:p w14:paraId="39093699">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495" w:type="pct"/>
            <w:tcBorders>
              <w:top w:val="single" w:color="000000" w:sz="4" w:space="0"/>
              <w:left w:val="single" w:color="000000" w:sz="4" w:space="0"/>
              <w:bottom w:val="single" w:color="000000" w:sz="4" w:space="0"/>
              <w:right w:val="single" w:color="000000" w:sz="4" w:space="0"/>
            </w:tcBorders>
            <w:vAlign w:val="center"/>
          </w:tcPr>
          <w:p w14:paraId="6D9BC5C4">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室</w:t>
            </w:r>
          </w:p>
        </w:tc>
      </w:tr>
      <w:tr w14:paraId="7B4C5C5A">
        <w:tblPrEx>
          <w:tblCellMar>
            <w:top w:w="0" w:type="dxa"/>
            <w:left w:w="108" w:type="dxa"/>
            <w:bottom w:w="0" w:type="dxa"/>
            <w:right w:w="108" w:type="dxa"/>
          </w:tblCellMar>
        </w:tblPrEx>
        <w:trPr>
          <w:trHeight w:val="560" w:hRule="atLeast"/>
        </w:trPr>
        <w:tc>
          <w:tcPr>
            <w:tcW w:w="437" w:type="pct"/>
            <w:tcBorders>
              <w:top w:val="single" w:color="000000" w:sz="4" w:space="0"/>
              <w:left w:val="single" w:color="000000" w:sz="4" w:space="0"/>
              <w:bottom w:val="single" w:color="000000" w:sz="4" w:space="0"/>
              <w:right w:val="single" w:color="000000" w:sz="4" w:space="0"/>
            </w:tcBorders>
            <w:vAlign w:val="center"/>
          </w:tcPr>
          <w:p w14:paraId="23BF3ABE">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w:t>
            </w:r>
          </w:p>
        </w:tc>
        <w:tc>
          <w:tcPr>
            <w:tcW w:w="682" w:type="pct"/>
            <w:tcBorders>
              <w:top w:val="single" w:color="000000" w:sz="4" w:space="0"/>
              <w:left w:val="single" w:color="000000" w:sz="4" w:space="0"/>
              <w:bottom w:val="single" w:color="000000" w:sz="4" w:space="0"/>
              <w:right w:val="single" w:color="000000" w:sz="4" w:space="0"/>
            </w:tcBorders>
            <w:vAlign w:val="center"/>
          </w:tcPr>
          <w:p w14:paraId="099523A8">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风机布线耗材</w:t>
            </w:r>
          </w:p>
        </w:tc>
        <w:tc>
          <w:tcPr>
            <w:tcW w:w="2935" w:type="pct"/>
            <w:tcBorders>
              <w:top w:val="single" w:color="000000" w:sz="4" w:space="0"/>
              <w:left w:val="single" w:color="000000" w:sz="4" w:space="0"/>
              <w:bottom w:val="single" w:color="000000" w:sz="4" w:space="0"/>
              <w:right w:val="single" w:color="000000" w:sz="4" w:space="0"/>
            </w:tcBorders>
            <w:vAlign w:val="center"/>
          </w:tcPr>
          <w:p w14:paraId="6BA5D02D">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风机专用线电源主线需采用4mm²RVV塑铜线铺设经教师电源控制台至风机。</w:t>
            </w:r>
          </w:p>
        </w:tc>
        <w:tc>
          <w:tcPr>
            <w:tcW w:w="448" w:type="pct"/>
            <w:tcBorders>
              <w:top w:val="single" w:color="000000" w:sz="4" w:space="0"/>
              <w:left w:val="single" w:color="000000" w:sz="4" w:space="0"/>
              <w:bottom w:val="single" w:color="000000" w:sz="4" w:space="0"/>
              <w:right w:val="single" w:color="000000" w:sz="4" w:space="0"/>
            </w:tcBorders>
            <w:vAlign w:val="center"/>
          </w:tcPr>
          <w:p w14:paraId="6897A6DC">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495" w:type="pct"/>
            <w:tcBorders>
              <w:top w:val="single" w:color="000000" w:sz="4" w:space="0"/>
              <w:left w:val="single" w:color="000000" w:sz="4" w:space="0"/>
              <w:bottom w:val="single" w:color="000000" w:sz="4" w:space="0"/>
              <w:right w:val="single" w:color="000000" w:sz="4" w:space="0"/>
            </w:tcBorders>
            <w:vAlign w:val="center"/>
          </w:tcPr>
          <w:p w14:paraId="3E5F5B00">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室</w:t>
            </w:r>
          </w:p>
        </w:tc>
      </w:tr>
      <w:tr w14:paraId="23B0DFAD">
        <w:tblPrEx>
          <w:tblCellMar>
            <w:top w:w="0" w:type="dxa"/>
            <w:left w:w="108" w:type="dxa"/>
            <w:bottom w:w="0" w:type="dxa"/>
            <w:right w:w="108" w:type="dxa"/>
          </w:tblCellMar>
        </w:tblPrEx>
        <w:trPr>
          <w:trHeight w:val="560" w:hRule="atLeast"/>
        </w:trPr>
        <w:tc>
          <w:tcPr>
            <w:tcW w:w="437" w:type="pct"/>
            <w:tcBorders>
              <w:top w:val="single" w:color="000000" w:sz="4" w:space="0"/>
              <w:left w:val="single" w:color="000000" w:sz="4" w:space="0"/>
              <w:bottom w:val="single" w:color="000000" w:sz="4" w:space="0"/>
              <w:right w:val="single" w:color="000000" w:sz="4" w:space="0"/>
            </w:tcBorders>
            <w:vAlign w:val="center"/>
          </w:tcPr>
          <w:p w14:paraId="2CFE4850">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w:t>
            </w:r>
          </w:p>
        </w:tc>
        <w:tc>
          <w:tcPr>
            <w:tcW w:w="682" w:type="pct"/>
            <w:tcBorders>
              <w:top w:val="single" w:color="000000" w:sz="4" w:space="0"/>
              <w:left w:val="single" w:color="000000" w:sz="4" w:space="0"/>
              <w:bottom w:val="single" w:color="000000" w:sz="4" w:space="0"/>
              <w:right w:val="single" w:color="000000" w:sz="4" w:space="0"/>
            </w:tcBorders>
            <w:vAlign w:val="center"/>
          </w:tcPr>
          <w:p w14:paraId="7F2873AE">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给/排水全套装置</w:t>
            </w:r>
          </w:p>
        </w:tc>
        <w:tc>
          <w:tcPr>
            <w:tcW w:w="2935" w:type="pct"/>
            <w:tcBorders>
              <w:top w:val="single" w:color="000000" w:sz="4" w:space="0"/>
              <w:left w:val="single" w:color="000000" w:sz="4" w:space="0"/>
              <w:bottom w:val="single" w:color="000000" w:sz="4" w:space="0"/>
              <w:right w:val="single" w:color="000000" w:sz="4" w:space="0"/>
            </w:tcBorders>
            <w:vAlign w:val="center"/>
          </w:tcPr>
          <w:p w14:paraId="1F2F0016">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1.PPR材质水管，上水管和进水管为Ф25mm；UPVC材质排水管为Ф75mm。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2.开关阀门，外丝连接件、PVC胶水等。</w:t>
            </w:r>
          </w:p>
        </w:tc>
        <w:tc>
          <w:tcPr>
            <w:tcW w:w="448" w:type="pct"/>
            <w:tcBorders>
              <w:top w:val="single" w:color="000000" w:sz="4" w:space="0"/>
              <w:left w:val="single" w:color="000000" w:sz="4" w:space="0"/>
              <w:bottom w:val="single" w:color="000000" w:sz="4" w:space="0"/>
              <w:right w:val="single" w:color="000000" w:sz="4" w:space="0"/>
            </w:tcBorders>
            <w:vAlign w:val="center"/>
          </w:tcPr>
          <w:p w14:paraId="11676AEF">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495" w:type="pct"/>
            <w:tcBorders>
              <w:top w:val="single" w:color="000000" w:sz="4" w:space="0"/>
              <w:left w:val="single" w:color="000000" w:sz="4" w:space="0"/>
              <w:bottom w:val="single" w:color="000000" w:sz="4" w:space="0"/>
              <w:right w:val="single" w:color="000000" w:sz="4" w:space="0"/>
            </w:tcBorders>
            <w:vAlign w:val="center"/>
          </w:tcPr>
          <w:p w14:paraId="363A2302">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r>
      <w:tr w14:paraId="086AA6FE">
        <w:tblPrEx>
          <w:tblCellMar>
            <w:top w:w="0" w:type="dxa"/>
            <w:left w:w="108" w:type="dxa"/>
            <w:bottom w:w="0" w:type="dxa"/>
            <w:right w:w="108" w:type="dxa"/>
          </w:tblCellMar>
        </w:tblPrEx>
        <w:trPr>
          <w:trHeight w:val="560" w:hRule="atLeast"/>
        </w:trPr>
        <w:tc>
          <w:tcPr>
            <w:tcW w:w="437" w:type="pct"/>
            <w:tcBorders>
              <w:top w:val="single" w:color="000000" w:sz="4" w:space="0"/>
              <w:left w:val="single" w:color="000000" w:sz="4" w:space="0"/>
              <w:bottom w:val="single" w:color="000000" w:sz="4" w:space="0"/>
              <w:right w:val="single" w:color="000000" w:sz="4" w:space="0"/>
            </w:tcBorders>
            <w:vAlign w:val="center"/>
          </w:tcPr>
          <w:p w14:paraId="43957EA1">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w:t>
            </w:r>
          </w:p>
        </w:tc>
        <w:tc>
          <w:tcPr>
            <w:tcW w:w="682" w:type="pct"/>
            <w:tcBorders>
              <w:top w:val="single" w:color="000000" w:sz="4" w:space="0"/>
              <w:left w:val="single" w:color="000000" w:sz="4" w:space="0"/>
              <w:bottom w:val="single" w:color="000000" w:sz="4" w:space="0"/>
              <w:right w:val="single" w:color="000000" w:sz="4" w:space="0"/>
            </w:tcBorders>
            <w:vAlign w:val="center"/>
          </w:tcPr>
          <w:p w14:paraId="6441808E">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系统安装辅件</w:t>
            </w:r>
          </w:p>
        </w:tc>
        <w:tc>
          <w:tcPr>
            <w:tcW w:w="2935" w:type="pct"/>
            <w:tcBorders>
              <w:top w:val="single" w:color="000000" w:sz="4" w:space="0"/>
              <w:left w:val="single" w:color="000000" w:sz="4" w:space="0"/>
              <w:bottom w:val="single" w:color="000000" w:sz="4" w:space="0"/>
              <w:right w:val="single" w:color="000000" w:sz="4" w:space="0"/>
            </w:tcBorders>
            <w:vAlign w:val="center"/>
          </w:tcPr>
          <w:p w14:paraId="729898BC">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采用固定横梁吊装方式，减少楼板承重，防止左右晃动，可进行上下、左右的平衡调节。</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吊装两头采用端盖密封，防止灰尘进入。</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主要辅件有：矩形钢、三角构件、直角座、龙骨架连接件、吊装挂件、安装连接板、ABS端盖等。</w:t>
            </w:r>
          </w:p>
        </w:tc>
        <w:tc>
          <w:tcPr>
            <w:tcW w:w="448" w:type="pct"/>
            <w:tcBorders>
              <w:top w:val="single" w:color="000000" w:sz="4" w:space="0"/>
              <w:left w:val="single" w:color="000000" w:sz="4" w:space="0"/>
              <w:bottom w:val="single" w:color="000000" w:sz="4" w:space="0"/>
              <w:right w:val="single" w:color="000000" w:sz="4" w:space="0"/>
            </w:tcBorders>
            <w:noWrap/>
            <w:vAlign w:val="center"/>
          </w:tcPr>
          <w:p w14:paraId="00887C08">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495" w:type="pct"/>
            <w:tcBorders>
              <w:top w:val="single" w:color="000000" w:sz="4" w:space="0"/>
              <w:left w:val="single" w:color="000000" w:sz="4" w:space="0"/>
              <w:bottom w:val="single" w:color="000000" w:sz="4" w:space="0"/>
              <w:right w:val="single" w:color="000000" w:sz="4" w:space="0"/>
            </w:tcBorders>
            <w:vAlign w:val="center"/>
          </w:tcPr>
          <w:p w14:paraId="5EDD7A37">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r>
      <w:tr w14:paraId="0CF9802C">
        <w:tblPrEx>
          <w:tblCellMar>
            <w:top w:w="0" w:type="dxa"/>
            <w:left w:w="108" w:type="dxa"/>
            <w:bottom w:w="0" w:type="dxa"/>
            <w:right w:w="108" w:type="dxa"/>
          </w:tblCellMar>
        </w:tblPrEx>
        <w:trPr>
          <w:trHeight w:val="560" w:hRule="atLeast"/>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14:paraId="20DAF7E2">
            <w:pPr>
              <w:jc w:val="left"/>
              <w:rPr>
                <w:rFonts w:hint="eastAsia" w:ascii="宋体" w:hAnsi="宋体" w:eastAsia="宋体" w:cs="宋体"/>
                <w:color w:val="auto"/>
                <w:sz w:val="21"/>
                <w:szCs w:val="21"/>
              </w:rPr>
            </w:pPr>
            <w:r>
              <w:rPr>
                <w:rFonts w:hint="eastAsia" w:ascii="宋体" w:hAnsi="宋体" w:cs="宋体"/>
                <w:b/>
                <w:bCs/>
                <w:color w:val="auto"/>
                <w:kern w:val="0"/>
                <w:sz w:val="21"/>
                <w:szCs w:val="21"/>
                <w:lang w:eastAsia="zh-CN" w:bidi="ar"/>
              </w:rPr>
              <w:t>七</w:t>
            </w:r>
            <w:r>
              <w:rPr>
                <w:rFonts w:hint="eastAsia" w:ascii="宋体" w:hAnsi="宋体" w:eastAsia="宋体" w:cs="宋体"/>
                <w:b/>
                <w:bCs/>
                <w:color w:val="auto"/>
                <w:kern w:val="0"/>
                <w:sz w:val="21"/>
                <w:szCs w:val="21"/>
                <w:lang w:eastAsia="zh-CN" w:bidi="ar"/>
              </w:rPr>
              <w:t>、</w:t>
            </w:r>
            <w:r>
              <w:rPr>
                <w:rFonts w:hint="eastAsia" w:ascii="宋体" w:hAnsi="宋体" w:eastAsia="宋体" w:cs="宋体"/>
                <w:b/>
                <w:bCs/>
                <w:color w:val="auto"/>
                <w:kern w:val="0"/>
                <w:sz w:val="21"/>
                <w:szCs w:val="21"/>
                <w:lang w:bidi="ar"/>
              </w:rPr>
              <w:t>其他</w:t>
            </w:r>
          </w:p>
        </w:tc>
      </w:tr>
      <w:tr w14:paraId="1BB27A0D">
        <w:tblPrEx>
          <w:tblCellMar>
            <w:top w:w="0" w:type="dxa"/>
            <w:left w:w="108" w:type="dxa"/>
            <w:bottom w:w="0" w:type="dxa"/>
            <w:right w:w="108" w:type="dxa"/>
          </w:tblCellMar>
        </w:tblPrEx>
        <w:trPr>
          <w:trHeight w:val="560" w:hRule="atLeast"/>
        </w:trPr>
        <w:tc>
          <w:tcPr>
            <w:tcW w:w="437" w:type="pct"/>
            <w:tcBorders>
              <w:top w:val="single" w:color="000000" w:sz="4" w:space="0"/>
              <w:left w:val="single" w:color="000000" w:sz="4" w:space="0"/>
              <w:bottom w:val="single" w:color="000000" w:sz="4" w:space="0"/>
              <w:right w:val="single" w:color="000000" w:sz="4" w:space="0"/>
            </w:tcBorders>
            <w:noWrap/>
            <w:vAlign w:val="center"/>
          </w:tcPr>
          <w:p w14:paraId="4557C4A9">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682" w:type="pct"/>
            <w:tcBorders>
              <w:top w:val="single" w:color="000000" w:sz="4" w:space="0"/>
              <w:left w:val="single" w:color="000000" w:sz="4" w:space="0"/>
              <w:bottom w:val="single" w:color="000000" w:sz="4" w:space="0"/>
              <w:right w:val="single" w:color="000000" w:sz="4" w:space="0"/>
            </w:tcBorders>
            <w:vAlign w:val="center"/>
          </w:tcPr>
          <w:p w14:paraId="3CF80403">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86寸一体机</w:t>
            </w:r>
          </w:p>
        </w:tc>
        <w:tc>
          <w:tcPr>
            <w:tcW w:w="2935" w:type="pct"/>
            <w:tcBorders>
              <w:top w:val="single" w:color="000000" w:sz="4" w:space="0"/>
              <w:left w:val="single" w:color="000000" w:sz="4" w:space="0"/>
              <w:bottom w:val="single" w:color="000000" w:sz="4" w:space="0"/>
              <w:right w:val="single" w:color="000000" w:sz="4" w:space="0"/>
            </w:tcBorders>
            <w:vAlign w:val="center"/>
          </w:tcPr>
          <w:p w14:paraId="23385BE0">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b/>
                <w:bCs/>
                <w:color w:val="auto"/>
                <w:kern w:val="0"/>
                <w:sz w:val="21"/>
                <w:szCs w:val="21"/>
                <w:lang w:bidi="ar"/>
              </w:rPr>
              <w:t>智慧黑板</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一、整机硬件功能</w:t>
            </w:r>
          </w:p>
          <w:p w14:paraId="047906D4">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1、整机屏幕采用86英寸液晶显示器，显示比例16:9，分辨率3840×2160。</w:t>
            </w:r>
          </w:p>
          <w:p w14:paraId="7851F129">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2、屏幕采⽤≤3mm钢化玻璃保护，表⾯硬度≥石墨硬度9H或莫氏硬度7级，透光率不低于91%，雾度≤8%。</w:t>
            </w:r>
          </w:p>
          <w:p w14:paraId="46A7ED26">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3、整机接口：侧置输入接口具备2路HDMI、1路RS232、1路USB接口，侧置输出接口具备1路音频输出、1路触控USB输出，前置输入接口3路USB接口（包含1路Type-C、2路USB）。</w:t>
            </w:r>
          </w:p>
          <w:p w14:paraId="7B2F4F2B">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4、整机采用≥12核国产化嵌入式芯片，CPU≥8核，整机嵌入式系统版本≥Android 15，主频≥1.6GHz，内存≥2GB，存储空间≥32GB。（需提供具有CMA标识的检验检测报告复印件）</w:t>
            </w:r>
          </w:p>
          <w:p w14:paraId="6E6685F6">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5、整机采用红外触控技术，Windows系统和Android系统均支持≥50点触控。（需提供具有CMA标识的检验检测报告复印件）</w:t>
            </w:r>
          </w:p>
          <w:p w14:paraId="0C914599">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6、整机设备内置2.2声道扬声器，前朝向发声，12W高音扬声器2个，上朝向30W中低音扬声器2个，最大功率≥84W。（需提供具有CMA标识的检验检测报告复印件）</w:t>
            </w:r>
          </w:p>
          <w:p w14:paraId="173E82BE">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7、整机听力模式下具备AI人声语言增强功能，支持三挡强弱调节，通过AI算法提取视频/音频中的语言进行效果增强，在不增加音量的情况下提升语言清晰度，扩声系统语言传输指数（STIPA）≥0.75。</w:t>
            </w:r>
          </w:p>
          <w:p w14:paraId="44C34B02">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8、整机内置非独立外扩展的4阵列麦克风，可用于对教室环境音频进行采集，麦克风拾音距离≥12米。</w:t>
            </w:r>
          </w:p>
          <w:p w14:paraId="034881CB">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9、整机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需提供具有CMA标识的检验检测报告复印件）</w:t>
            </w:r>
          </w:p>
          <w:p w14:paraId="6DC602F0">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10、支持标准、听力、观影和AI空间感知音效模式，AI空间感知音效模式可通过内置麦克风采集教室物理环境声音，自动生成符合当前教室物理环境的频段、音量、音效。（需提供具有CMA标识的检验检测报告复印件）</w:t>
            </w:r>
          </w:p>
          <w:p w14:paraId="127F90D7">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11、整机系统支持手势上滑调出人工智能画质调节模式（AI-PQ），在安卓通道下可根据屏幕内容自动调节画质参数，当屏幕出现人物、建筑、夜景等元素时，自动调整对比度、饱和度、锐利度、色调色相值、高光/阴影。（需提供具有CMA标识的检验检测报告复印件）</w:t>
            </w:r>
          </w:p>
          <w:p w14:paraId="6A1FD467">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12、整机具备前置物理按键，可实现开关机、音量＋－、护眼、录屏、设置功能。前置接口与按键在设备同一侧。</w:t>
            </w:r>
          </w:p>
          <w:p w14:paraId="23A401F1">
            <w:pPr>
              <w:widowControl/>
              <w:textAlignment w:val="center"/>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bidi="ar"/>
              </w:rPr>
              <w:t>13、整机支持蓝牙Bluetooth 5.4标准。Wi-Fi制式支持IEEE 802.11 a/b/g/n/ac/ax</w:t>
            </w:r>
            <w:r>
              <w:rPr>
                <w:rFonts w:hint="eastAsia" w:ascii="宋体" w:hAnsi="宋体" w:eastAsia="宋体" w:cs="宋体"/>
                <w:color w:val="auto"/>
                <w:kern w:val="0"/>
                <w:sz w:val="21"/>
                <w:szCs w:val="21"/>
                <w:lang w:eastAsia="zh-CN" w:bidi="ar"/>
              </w:rPr>
              <w:t>。</w:t>
            </w:r>
          </w:p>
          <w:p w14:paraId="59E70B44">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14、支持版本Wi-Fi6。</w:t>
            </w:r>
          </w:p>
          <w:p w14:paraId="6692E484">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15、整机配套教学应用APP可通过wifi直连技术，近场发现附近教学大屏设备，无需扫码、账号密码输入步骤，即可直接连接并登录教学大屏设备，基于统一身份认证机制可实现其他教学软件免登录操作。（需提供具有CMA标识的检验检测报告复印件）</w:t>
            </w:r>
          </w:p>
          <w:p w14:paraId="651CD02E">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16、整机PC通道及安卓通道各具备一颗WiFi6无线芯片，PC和安卓通道均可通过大屏发送WiFi6热点以及连接WiFi6的路由器。</w:t>
            </w:r>
          </w:p>
          <w:p w14:paraId="758B2CCD">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17、整机上边框内置非独立摄像头，采用一体化集成设计，⽀持输出4:3、16:9⽐例的图⽚和视频，支持拍摄</w:t>
            </w:r>
            <w:r>
              <w:rPr>
                <w:rFonts w:hint="eastAsia"/>
                <w:color w:val="auto"/>
                <w:lang w:val="en-US" w:eastAsia="zh-CN"/>
              </w:rPr>
              <w:t>≥</w:t>
            </w:r>
            <w:r>
              <w:rPr>
                <w:rFonts w:hint="eastAsia" w:ascii="宋体" w:hAnsi="宋体" w:eastAsia="宋体" w:cs="宋体"/>
                <w:color w:val="auto"/>
                <w:kern w:val="0"/>
                <w:sz w:val="21"/>
                <w:szCs w:val="21"/>
                <w:lang w:bidi="ar"/>
              </w:rPr>
              <w:t>1600万像素数的照片和视频，支持输出4k分辨率的视频。</w:t>
            </w:r>
          </w:p>
          <w:p w14:paraId="41A0B52B">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18、整机摄像头对角线视场角≥120度，整机摄像头支持人脸识别、清点人数、随机抽人；识别所有学生，显示标记，然后随机抽选，同时显示标记不少于60人。</w:t>
            </w:r>
          </w:p>
          <w:p w14:paraId="3E2C8223">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19、整机摄像头支持环境色温判断，根据环境调节合适的显示图像效果。</w:t>
            </w:r>
          </w:p>
          <w:p w14:paraId="608FEB9B">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20、支持Windows 7、Windows 8、Windows 10、Windows11、Linux、Mac Os、UOS和麒麟系统外置电脑操作系统接入时，无需安装触摸驱动。</w:t>
            </w:r>
          </w:p>
          <w:p w14:paraId="262AF631">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21、整机支持提笔书写，在Windows系统下可实现无需点击任意功能入口，当检测到红外笔笔尖接触屏幕时，自动进入书写模式。（需提供具有CMA标识的检验检测报告复印件）</w:t>
            </w:r>
          </w:p>
          <w:p w14:paraId="3E1D8369">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22、整机具备屏体温度实时监控、高温预警及断电保护功能。</w:t>
            </w:r>
          </w:p>
          <w:p w14:paraId="14070F0B">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23、整机显示异常时屏幕会提示对应故障码，辅助问题诊断。</w:t>
            </w:r>
          </w:p>
          <w:p w14:paraId="36C17412">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24、整机设备支持多种身份识别方式，支持通过账号登录、手机扫码登录、人脸识别登录、声纹识别登录、近场发现登录，并支持账号安全登录检测。（需提供具有CMA标识的检验检测报告复印件）</w:t>
            </w:r>
          </w:p>
          <w:p w14:paraId="27C40221">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25、整机侧边栏内置自习工具，通过整机麦克风监测教室中学生音量大小，当学生音量大于阈值时，屏幕自动弹窗提醒进行自习纪律干预。（需提供具有CMA标识的检验检测报告复印件）</w:t>
            </w:r>
          </w:p>
          <w:p w14:paraId="7A98C520">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26、整机内置计算器应用，支持多项式复杂计算，对多项式进行积分、求导、多项式展开和多项式分解，支持对多项式进行绘制图像，展示绘制结果。（需提供具有CMA标识的检验检测报告复印件）</w:t>
            </w:r>
          </w:p>
          <w:p w14:paraId="7511ED7C">
            <w:pPr>
              <w:widowControl/>
              <w:textAlignment w:val="center"/>
              <w:rPr>
                <w:rFonts w:hint="eastAsia" w:ascii="宋体" w:hAnsi="宋体" w:eastAsia="宋体" w:cs="宋体"/>
                <w:color w:val="auto"/>
                <w:kern w:val="0"/>
                <w:sz w:val="21"/>
                <w:szCs w:val="21"/>
                <w:lang w:eastAsia="zh-CN" w:bidi="ar"/>
              </w:rPr>
            </w:pPr>
            <w:r>
              <w:rPr>
                <w:rFonts w:hint="eastAsia" w:ascii="宋体" w:hAnsi="宋体" w:cs="宋体"/>
                <w:color w:val="auto"/>
                <w:kern w:val="0"/>
                <w:sz w:val="21"/>
                <w:szCs w:val="21"/>
                <w:lang w:val="en-US" w:eastAsia="zh-CN" w:bidi="ar"/>
              </w:rPr>
              <w:t>27、</w:t>
            </w:r>
            <w:r>
              <w:rPr>
                <w:rFonts w:hint="eastAsia" w:ascii="宋体" w:hAnsi="宋体" w:eastAsia="宋体" w:cs="宋体"/>
                <w:color w:val="auto"/>
                <w:kern w:val="0"/>
                <w:sz w:val="21"/>
                <w:szCs w:val="21"/>
                <w:lang w:bidi="ar"/>
              </w:rPr>
              <w:t>OPS电脑模块</w:t>
            </w:r>
            <w:r>
              <w:rPr>
                <w:rFonts w:hint="eastAsia" w:ascii="宋体" w:hAnsi="宋体" w:eastAsia="宋体" w:cs="宋体"/>
                <w:color w:val="auto"/>
                <w:kern w:val="0"/>
                <w:sz w:val="21"/>
                <w:szCs w:val="21"/>
                <w:lang w:eastAsia="zh-CN" w:bidi="ar"/>
              </w:rPr>
              <w:t>：</w:t>
            </w:r>
          </w:p>
          <w:p w14:paraId="20BB2049">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w:t>
            </w:r>
            <w:r>
              <w:rPr>
                <w:rFonts w:hint="eastAsia" w:ascii="宋体" w:hAnsi="宋体" w:cs="宋体"/>
                <w:color w:val="auto"/>
                <w:kern w:val="0"/>
                <w:sz w:val="21"/>
                <w:szCs w:val="21"/>
                <w:lang w:val="en-US" w:eastAsia="zh-CN" w:bidi="ar"/>
              </w:rPr>
              <w:t>7.1</w:t>
            </w:r>
            <w:r>
              <w:rPr>
                <w:rFonts w:hint="eastAsia" w:ascii="宋体" w:hAnsi="宋体" w:eastAsia="宋体" w:cs="宋体"/>
                <w:color w:val="auto"/>
                <w:kern w:val="0"/>
                <w:sz w:val="21"/>
                <w:szCs w:val="21"/>
                <w:lang w:bidi="ar"/>
              </w:rPr>
              <w:t>采用抽拉内置式模块化电脑，抽拉内置式，PC模块可插入整机，可实现无单独接线的插拔。≥Intel i5十二代 CPU，内存≥8GB DDR4内存配置，硬盘≥256 GB SSD固态硬盘。</w:t>
            </w:r>
          </w:p>
          <w:p w14:paraId="7E6966DA">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w:t>
            </w:r>
            <w:r>
              <w:rPr>
                <w:rFonts w:hint="eastAsia" w:ascii="宋体" w:hAnsi="宋体" w:cs="宋体"/>
                <w:color w:val="auto"/>
                <w:kern w:val="0"/>
                <w:sz w:val="21"/>
                <w:szCs w:val="21"/>
                <w:lang w:val="en-US" w:eastAsia="zh-CN" w:bidi="ar"/>
              </w:rPr>
              <w:t>7.2</w:t>
            </w:r>
            <w:r>
              <w:rPr>
                <w:rFonts w:hint="eastAsia" w:ascii="宋体" w:hAnsi="宋体" w:eastAsia="宋体" w:cs="宋体"/>
                <w:color w:val="auto"/>
                <w:kern w:val="0"/>
                <w:sz w:val="21"/>
                <w:szCs w:val="21"/>
                <w:lang w:bidi="ar"/>
              </w:rPr>
              <w:t>模块化电脑采用按压式卡扣，无需工具就可拆卸电脑模块。具备标准PC防盗锁孔，传输速率≥10Gbps。</w:t>
            </w:r>
          </w:p>
          <w:p w14:paraId="56BA4553">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二、随机同品牌软件功能</w:t>
            </w:r>
          </w:p>
          <w:p w14:paraId="1E262795">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原厂备授课软件功能</w:t>
            </w:r>
          </w:p>
          <w:p w14:paraId="52D2ADA9">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1、支持为教师提供云存储空间，教师可在个人云空间上传存储互动课件、云教案和其他教学资源。</w:t>
            </w:r>
          </w:p>
          <w:p w14:paraId="53A3AF9B">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2、为全体教师配备个人账号，形成一体的信息化教学账号体系；根据教师账号信息将教师云空间匹配至对应学校、学科校本资源库。支持通过数字账号、微信二维码、硬件密钥方式登录教师个人账号。</w:t>
            </w:r>
          </w:p>
          <w:p w14:paraId="7E33CF68">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3、互动课件支持定向分享，分享者可将互动课件、课件组推送至指定接收方账号的云空间，接收方可在云空间接收并打开分享课件。</w:t>
            </w:r>
          </w:p>
          <w:p w14:paraId="6DF9944A">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4、互动课件支持开放式云分享，分享者可 将互动课件、课件组以公开或加密的web链接和二维码形式进行分享，分享链接可设置访问有效期。</w:t>
            </w:r>
          </w:p>
          <w:p w14:paraId="4B29A1BB">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5、AI智能备课助手：在备课场景中支持搜索课件库课件资源，具有不少于14.9万份的课件资源，支持整份课件或按照课件页插入课件中。</w:t>
            </w:r>
          </w:p>
          <w:p w14:paraId="3494E689">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6、采用备授课一体化框架设计，教师可根据教学场景自由切换类PPT界面的备课模式与触控交互教学模式，适用于教室、办公室等不同教学环境，便于教师教学使用。</w:t>
            </w:r>
          </w:p>
          <w:p w14:paraId="2BD971C1">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7、支持PPT的原生解析，教师可将pptx课件转化为互动教学课件，支持单份导入和批量文件夹导入两种导入方式，保留pptx原文件中的文字、图片、表格等对象及动画的可编辑性，并可为课件增加互动教学元素。</w:t>
            </w:r>
          </w:p>
          <w:p w14:paraId="55430657">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8、支持将互动课件导出为 pptx 、pdf、H5 或 web 链接。导出的课件支持在多终端进行二次编辑。</w:t>
            </w:r>
          </w:p>
          <w:p w14:paraId="03BEE251">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9、课件回收站功能：按照删除时间存储已删除课件，支持用户在3天内自主或彻底删除单份/多份/全部已删除课件</w:t>
            </w:r>
          </w:p>
          <w:p w14:paraId="709D24E7">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10、具备云端静默推送下载功能，无需用户手动下载即可实现应用的在线升级，升级具有信息验证机制，确保教学秩序不受干扰。</w:t>
            </w:r>
          </w:p>
          <w:p w14:paraId="0B97EA05">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11、胶囊式微课功能内置于交互式课件工具中，支持快速录制胶囊式微课，微课可录制保存音频和课件的互动操作。</w:t>
            </w:r>
          </w:p>
          <w:p w14:paraId="3F2F133A">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12、提供至少30种应用于文本、形状、图片等课件元素的触发动画，可对动画的设置触发条件、动画声效、动画时长、动画延迟和动画方向进行自定义设置。支持对任意课件元素自定义路径动画，可自由绘制动画移动轨迹使课件元素沿轨迹路径进行移动。一个课件元素支持同时设置多组出现、消失、路径动画。</w:t>
            </w:r>
          </w:p>
          <w:p w14:paraId="14AD721B">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13、课堂互动游戏支持云储存，编辑完成的活动可一键存储至教师云空间，便于在不同课件中直接调用，无需反复编辑。</w:t>
            </w:r>
          </w:p>
          <w:p w14:paraId="36DE6FB7">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14、AI智能生成课堂活动：具有课堂活动智能填写功能，支持选词填空、判断对错和趣味选择三大课堂活动，输入文本后可以一键解析，自动将文本内容结构化填充至题干和正确选项，完成课堂活动的制作。</w:t>
            </w:r>
          </w:p>
          <w:p w14:paraId="2A13E225">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15、智能手写识别：支持将手绘形状、中英文、公式转换为规范几何图形和文字</w:t>
            </w:r>
            <w:r>
              <w:rPr>
                <w:rFonts w:hint="eastAsia" w:ascii="宋体" w:hAnsi="宋体" w:eastAsia="宋体" w:cs="宋体"/>
                <w:color w:val="auto"/>
                <w:kern w:val="0"/>
                <w:sz w:val="21"/>
                <w:szCs w:val="21"/>
                <w:lang w:bidi="ar"/>
              </w:rPr>
              <w:br w:type="textWrapping"/>
            </w:r>
            <w:r>
              <w:rPr>
                <w:rFonts w:hint="eastAsia" w:ascii="宋体" w:hAnsi="宋体" w:eastAsia="宋体" w:cs="宋体"/>
                <w:b/>
                <w:bCs/>
                <w:color w:val="auto"/>
                <w:kern w:val="0"/>
                <w:sz w:val="21"/>
                <w:szCs w:val="21"/>
                <w:lang w:val="en-US" w:eastAsia="zh-CN" w:bidi="ar"/>
              </w:rPr>
              <w:t>二、</w:t>
            </w:r>
            <w:r>
              <w:rPr>
                <w:rFonts w:hint="eastAsia" w:ascii="宋体" w:hAnsi="宋体" w:eastAsia="宋体" w:cs="宋体"/>
                <w:b/>
                <w:bCs/>
                <w:color w:val="auto"/>
                <w:kern w:val="0"/>
                <w:sz w:val="21"/>
                <w:szCs w:val="21"/>
                <w:lang w:bidi="ar"/>
              </w:rPr>
              <w:t>光能黑板</w:t>
            </w:r>
          </w:p>
          <w:p w14:paraId="312BF7D4">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1、结构：产品整体结构上采取左、右柔性液晶光能黑板配合中间86寸液晶一体机的组合方式，单块光能黑板尺寸≥1100mm*1150mm。</w:t>
            </w:r>
          </w:p>
          <w:p w14:paraId="34293791">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2、无粉尘、无需专用耗材：采用多种笔杆均可在板面进行书写。</w:t>
            </w:r>
          </w:p>
          <w:p w14:paraId="675B20AD">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3、一键擦除：支持一键擦除，擦除应无断点、无死角等，擦除后应无明显残留痕迹。</w:t>
            </w:r>
          </w:p>
          <w:p w14:paraId="0C7C4E98">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4、可视距离：书写笔迹可视距离≥30米，可视角度≥140°。</w:t>
            </w:r>
          </w:p>
          <w:p w14:paraId="1A1B0932">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5、保护视力：自然光反射呈字，无电离辐射，长时间观看不刺激眼睛。</w:t>
            </w:r>
          </w:p>
          <w:p w14:paraId="58D8BF48">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6、局部擦除：可使用板擦和手势对板书进行局部擦除，局部擦除时间不大于0.4秒，擦除应无断点、无死角等。</w:t>
            </w:r>
          </w:p>
          <w:p w14:paraId="5F86006E">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7、书写：板面粗糙度Sa≤0.7um。</w:t>
            </w:r>
          </w:p>
          <w:p w14:paraId="31DA07E1">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8、同步传输保存：板书内容可以同步传输到光能板所配套显示设备中进行保存，方便后期的课件使用。</w:t>
            </w:r>
          </w:p>
          <w:p w14:paraId="1A1D62B1">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9、安全性：考虑黑板的边角安全因素，黑板四角应为圆角，且径向半径不小于4mm，法向半径不小于0.3mm。</w:t>
            </w:r>
          </w:p>
          <w:p w14:paraId="65C31674">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10、为让老师能够快速调取交互软件，方便使用功能，光能黑板具有触摸快捷键。</w:t>
            </w:r>
          </w:p>
          <w:p w14:paraId="7FA5F4B7">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11、软件要求：</w:t>
            </w:r>
          </w:p>
          <w:p w14:paraId="592DACDA">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11.1、左、右光能黑板可与触控一体机进行互动，将光能黑板的内容与触控一体机无缝连接，教师在光能黑板上的书写内容可同步显示在触控一体机上。</w:t>
            </w:r>
          </w:p>
          <w:p w14:paraId="3AF965F1">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11.2、可以通过触摸快捷键快速切换单页和多页显示：单板书写时，可单页面显示（此时只有一块黑板界面）；多板同时书写时，可多页面同时显示。</w:t>
            </w:r>
          </w:p>
          <w:p w14:paraId="18B86C7B">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11.3、当不需要板书传输到软件显示界面时，可以使用分屏功能，断开黑板与大屏的传输，使其成为互不影响的多块黑板。</w:t>
            </w:r>
          </w:p>
          <w:p w14:paraId="0E64F906">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11.4、设置不同的软件端笔迹颜色，可实现老师对于教学重点的标识及批注；</w:t>
            </w:r>
          </w:p>
          <w:p w14:paraId="50992297">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11.5、黑板上具有一键保存快捷键，支持一键将当前所有板书内容保存为PDF文件，方便老师进行课后保存分享。</w:t>
            </w:r>
          </w:p>
          <w:p w14:paraId="190B3B48">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b/>
                <w:bCs/>
                <w:color w:val="auto"/>
                <w:kern w:val="0"/>
                <w:sz w:val="21"/>
                <w:szCs w:val="21"/>
                <w:lang w:val="en-US" w:eastAsia="zh-CN" w:bidi="ar"/>
              </w:rPr>
              <w:t>三、视频展台</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1、采用≥800万像素摄像头。</w:t>
            </w:r>
          </w:p>
          <w:p w14:paraId="59F287FB">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2、A4大小拍摄幅面，1080P动态视频预览达到30帧/秒。</w:t>
            </w:r>
          </w:p>
          <w:p w14:paraId="7ACBDF63">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3、整机采用圆弧式设计，无锐角；托板可承重≥3kg，同时托板采用磁吸吸附式机构。</w:t>
            </w:r>
          </w:p>
          <w:p w14:paraId="56BD328E">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4、展示托板正上方具备LED补光灯补光灯开关采用触摸按键设计，同时可通过视频展台软件直接控制开关。</w:t>
            </w:r>
          </w:p>
          <w:p w14:paraId="1966DC24">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5、摄像头支持自动对焦。</w:t>
            </w:r>
          </w:p>
          <w:p w14:paraId="3AF1A86F">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6、支持展台画面实时批注，预设多种笔划粗细及颜色供选择，且支持对展台画面联同批注内容进行同步缩放、移动。</w:t>
            </w:r>
          </w:p>
          <w:p w14:paraId="560EA7C3">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7、二维码扫码：打开扫一扫功能后，将书本上的二维码放入扫描框内即可自动扫描，并进入系统浏览器获取二维码的链接内容，可获取电子教学资源。</w:t>
            </w:r>
          </w:p>
          <w:p w14:paraId="6C24A8F4">
            <w:pPr>
              <w:widowControl/>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8、支持故障自动检测，在软件无法出现展台拍摄画面时，自动出现检测链接，检测“无画面”的原因，并给出引导性解决方案。可判断硬件连接、显卡驱动、摄像头占用、软件版本等问题。</w:t>
            </w:r>
          </w:p>
        </w:tc>
        <w:tc>
          <w:tcPr>
            <w:tcW w:w="448" w:type="pct"/>
            <w:tcBorders>
              <w:top w:val="single" w:color="000000" w:sz="4" w:space="0"/>
              <w:left w:val="single" w:color="000000" w:sz="4" w:space="0"/>
              <w:bottom w:val="single" w:color="000000" w:sz="4" w:space="0"/>
              <w:right w:val="single" w:color="000000" w:sz="4" w:space="0"/>
            </w:tcBorders>
            <w:noWrap/>
            <w:vAlign w:val="center"/>
          </w:tcPr>
          <w:p w14:paraId="2B135410">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495" w:type="pct"/>
            <w:tcBorders>
              <w:top w:val="single" w:color="000000" w:sz="4" w:space="0"/>
              <w:left w:val="single" w:color="000000" w:sz="4" w:space="0"/>
              <w:bottom w:val="single" w:color="000000" w:sz="4" w:space="0"/>
              <w:right w:val="single" w:color="000000" w:sz="4" w:space="0"/>
            </w:tcBorders>
            <w:noWrap/>
            <w:vAlign w:val="center"/>
          </w:tcPr>
          <w:p w14:paraId="39CA4154">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r>
      <w:tr w14:paraId="40908AED">
        <w:tblPrEx>
          <w:tblCellMar>
            <w:top w:w="0" w:type="dxa"/>
            <w:left w:w="108" w:type="dxa"/>
            <w:bottom w:w="0" w:type="dxa"/>
            <w:right w:w="108" w:type="dxa"/>
          </w:tblCellMar>
        </w:tblPrEx>
        <w:trPr>
          <w:trHeight w:val="560" w:hRule="atLeast"/>
        </w:trPr>
        <w:tc>
          <w:tcPr>
            <w:tcW w:w="437" w:type="pct"/>
            <w:tcBorders>
              <w:top w:val="single" w:color="000000" w:sz="4" w:space="0"/>
              <w:left w:val="single" w:color="000000" w:sz="4" w:space="0"/>
              <w:bottom w:val="single" w:color="000000" w:sz="4" w:space="0"/>
              <w:right w:val="single" w:color="000000" w:sz="4" w:space="0"/>
            </w:tcBorders>
            <w:noWrap/>
            <w:vAlign w:val="center"/>
          </w:tcPr>
          <w:p w14:paraId="6315A84E">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w:t>
            </w:r>
          </w:p>
        </w:tc>
        <w:tc>
          <w:tcPr>
            <w:tcW w:w="682" w:type="pct"/>
            <w:tcBorders>
              <w:top w:val="single" w:color="000000" w:sz="4" w:space="0"/>
              <w:left w:val="single" w:color="000000" w:sz="4" w:space="0"/>
              <w:bottom w:val="single" w:color="000000" w:sz="4" w:space="0"/>
              <w:right w:val="single" w:color="000000" w:sz="4" w:space="0"/>
            </w:tcBorders>
            <w:vAlign w:val="center"/>
          </w:tcPr>
          <w:p w14:paraId="7044E132">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教育灯盘</w:t>
            </w:r>
          </w:p>
        </w:tc>
        <w:tc>
          <w:tcPr>
            <w:tcW w:w="2935" w:type="pct"/>
            <w:tcBorders>
              <w:top w:val="single" w:color="000000" w:sz="4" w:space="0"/>
              <w:left w:val="single" w:color="000000" w:sz="4" w:space="0"/>
              <w:bottom w:val="single" w:color="000000" w:sz="4" w:space="0"/>
              <w:right w:val="single" w:color="000000" w:sz="4" w:space="0"/>
            </w:tcBorders>
            <w:vAlign w:val="center"/>
          </w:tcPr>
          <w:p w14:paraId="08C3792B">
            <w:pPr>
              <w:widowControl/>
              <w:textAlignment w:val="center"/>
              <w:rPr>
                <w:rFonts w:hint="eastAsia" w:ascii="宋体" w:hAnsi="宋体" w:eastAsia="宋体" w:cs="宋体"/>
                <w:color w:val="auto"/>
                <w:sz w:val="21"/>
                <w:szCs w:val="21"/>
              </w:rPr>
            </w:pPr>
            <w:r>
              <w:rPr>
                <w:rFonts w:hint="eastAsia"/>
                <w:color w:val="auto"/>
                <w:lang w:val="en-US" w:eastAsia="zh-CN"/>
              </w:rPr>
              <w:t>1、</w:t>
            </w:r>
            <w:r>
              <w:rPr>
                <w:rFonts w:hint="eastAsia" w:ascii="宋体" w:hAnsi="宋体" w:eastAsia="宋体" w:cs="宋体"/>
                <w:color w:val="auto"/>
                <w:kern w:val="0"/>
                <w:sz w:val="21"/>
                <w:szCs w:val="21"/>
                <w:lang w:bidi="ar"/>
              </w:rPr>
              <w:t>尺寸：600*600*35mm嵌装</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cs="宋体"/>
                <w:color w:val="auto"/>
                <w:kern w:val="0"/>
                <w:sz w:val="21"/>
                <w:szCs w:val="21"/>
                <w:lang w:val="en-US" w:eastAsia="zh-CN" w:bidi="ar"/>
              </w:rPr>
              <w:t>2、</w:t>
            </w:r>
            <w:r>
              <w:rPr>
                <w:rFonts w:hint="eastAsia" w:ascii="宋体" w:hAnsi="宋体" w:eastAsia="宋体" w:cs="宋体"/>
                <w:color w:val="auto"/>
                <w:kern w:val="0"/>
                <w:sz w:val="21"/>
                <w:szCs w:val="21"/>
                <w:lang w:bidi="ar"/>
              </w:rPr>
              <w:t>功率32W</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cs="宋体"/>
                <w:color w:val="auto"/>
                <w:kern w:val="0"/>
                <w:sz w:val="21"/>
                <w:szCs w:val="21"/>
                <w:lang w:val="en-US" w:eastAsia="zh-CN" w:bidi="ar"/>
              </w:rPr>
              <w:t>3、</w:t>
            </w:r>
            <w:r>
              <w:rPr>
                <w:rFonts w:hint="eastAsia" w:ascii="宋体" w:hAnsi="宋体" w:eastAsia="宋体" w:cs="宋体"/>
                <w:color w:val="auto"/>
                <w:kern w:val="0"/>
                <w:sz w:val="21"/>
                <w:szCs w:val="21"/>
                <w:lang w:bidi="ar"/>
              </w:rPr>
              <w:t>流明110/W</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cs="宋体"/>
                <w:color w:val="auto"/>
                <w:kern w:val="0"/>
                <w:sz w:val="21"/>
                <w:szCs w:val="21"/>
                <w:lang w:val="en-US" w:eastAsia="zh-CN" w:bidi="ar"/>
              </w:rPr>
              <w:t>4、</w:t>
            </w:r>
            <w:r>
              <w:rPr>
                <w:rFonts w:hint="eastAsia" w:ascii="宋体" w:hAnsi="宋体" w:eastAsia="宋体" w:cs="宋体"/>
                <w:color w:val="auto"/>
                <w:kern w:val="0"/>
                <w:sz w:val="21"/>
                <w:szCs w:val="21"/>
                <w:lang w:bidi="ar"/>
              </w:rPr>
              <w:t>色温：4000K-5000K</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cs="宋体"/>
                <w:color w:val="auto"/>
                <w:kern w:val="0"/>
                <w:sz w:val="21"/>
                <w:szCs w:val="21"/>
                <w:lang w:val="en-US" w:eastAsia="zh-CN" w:bidi="ar"/>
              </w:rPr>
              <w:t>5、</w:t>
            </w:r>
            <w:r>
              <w:rPr>
                <w:rFonts w:hint="eastAsia" w:ascii="宋体" w:hAnsi="宋体" w:eastAsia="宋体" w:cs="宋体"/>
                <w:color w:val="auto"/>
                <w:kern w:val="0"/>
                <w:sz w:val="21"/>
                <w:szCs w:val="21"/>
                <w:lang w:bidi="ar"/>
              </w:rPr>
              <w:t>显色性≥90</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特殊显色指数R9≥40</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眩光等级≥19</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蓝光：RG0</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cs="宋体"/>
                <w:color w:val="auto"/>
                <w:kern w:val="0"/>
                <w:sz w:val="21"/>
                <w:szCs w:val="21"/>
                <w:lang w:val="en-US" w:eastAsia="zh-CN" w:bidi="ar"/>
              </w:rPr>
              <w:t>6、</w:t>
            </w:r>
            <w:r>
              <w:rPr>
                <w:rFonts w:hint="eastAsia" w:ascii="宋体" w:hAnsi="宋体" w:eastAsia="宋体" w:cs="宋体"/>
                <w:color w:val="auto"/>
                <w:kern w:val="0"/>
                <w:sz w:val="21"/>
                <w:szCs w:val="21"/>
                <w:lang w:bidi="ar"/>
              </w:rPr>
              <w:t>功率因数≥0.95</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cs="宋体"/>
                <w:color w:val="auto"/>
                <w:kern w:val="0"/>
                <w:sz w:val="21"/>
                <w:szCs w:val="21"/>
                <w:lang w:val="en-US" w:eastAsia="zh-CN" w:bidi="ar"/>
              </w:rPr>
              <w:t>7、</w:t>
            </w:r>
            <w:r>
              <w:rPr>
                <w:rFonts w:hint="eastAsia" w:ascii="宋体" w:hAnsi="宋体" w:eastAsia="宋体" w:cs="宋体"/>
                <w:color w:val="auto"/>
                <w:kern w:val="0"/>
                <w:sz w:val="21"/>
                <w:szCs w:val="21"/>
                <w:lang w:bidi="ar"/>
              </w:rPr>
              <w:t>频闪：无频闪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cs="宋体"/>
                <w:color w:val="auto"/>
                <w:kern w:val="0"/>
                <w:sz w:val="21"/>
                <w:szCs w:val="21"/>
                <w:lang w:val="en-US" w:eastAsia="zh-CN" w:bidi="ar"/>
              </w:rPr>
              <w:t>8、</w:t>
            </w:r>
            <w:r>
              <w:rPr>
                <w:rFonts w:hint="eastAsia" w:ascii="宋体" w:hAnsi="宋体" w:eastAsia="宋体" w:cs="宋体"/>
                <w:color w:val="auto"/>
                <w:kern w:val="0"/>
                <w:sz w:val="21"/>
                <w:szCs w:val="21"/>
                <w:lang w:bidi="ar"/>
              </w:rPr>
              <w:t>灯具寿命：≥50000hrs。</w:t>
            </w:r>
          </w:p>
        </w:tc>
        <w:tc>
          <w:tcPr>
            <w:tcW w:w="448" w:type="pct"/>
            <w:tcBorders>
              <w:top w:val="single" w:color="000000" w:sz="4" w:space="0"/>
              <w:left w:val="single" w:color="000000" w:sz="4" w:space="0"/>
              <w:bottom w:val="single" w:color="000000" w:sz="4" w:space="0"/>
              <w:right w:val="single" w:color="000000" w:sz="4" w:space="0"/>
            </w:tcBorders>
            <w:noWrap/>
            <w:vAlign w:val="center"/>
          </w:tcPr>
          <w:p w14:paraId="32594EAC">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w:t>
            </w:r>
          </w:p>
        </w:tc>
        <w:tc>
          <w:tcPr>
            <w:tcW w:w="495" w:type="pct"/>
            <w:tcBorders>
              <w:top w:val="single" w:color="000000" w:sz="4" w:space="0"/>
              <w:left w:val="single" w:color="000000" w:sz="4" w:space="0"/>
              <w:bottom w:val="single" w:color="000000" w:sz="4" w:space="0"/>
              <w:right w:val="single" w:color="000000" w:sz="4" w:space="0"/>
            </w:tcBorders>
            <w:noWrap/>
            <w:vAlign w:val="center"/>
          </w:tcPr>
          <w:p w14:paraId="1EE1F739">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个</w:t>
            </w:r>
          </w:p>
        </w:tc>
      </w:tr>
      <w:tr w14:paraId="424AA554">
        <w:tblPrEx>
          <w:tblCellMar>
            <w:top w:w="0" w:type="dxa"/>
            <w:left w:w="108" w:type="dxa"/>
            <w:bottom w:w="0" w:type="dxa"/>
            <w:right w:w="108" w:type="dxa"/>
          </w:tblCellMar>
        </w:tblPrEx>
        <w:trPr>
          <w:trHeight w:val="560" w:hRule="atLeast"/>
        </w:trPr>
        <w:tc>
          <w:tcPr>
            <w:tcW w:w="437" w:type="pct"/>
            <w:tcBorders>
              <w:top w:val="single" w:color="000000" w:sz="4" w:space="0"/>
              <w:left w:val="single" w:color="000000" w:sz="4" w:space="0"/>
              <w:bottom w:val="single" w:color="000000" w:sz="4" w:space="0"/>
              <w:right w:val="single" w:color="000000" w:sz="4" w:space="0"/>
            </w:tcBorders>
            <w:noWrap/>
            <w:vAlign w:val="center"/>
          </w:tcPr>
          <w:p w14:paraId="25349B9C">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w:t>
            </w:r>
          </w:p>
        </w:tc>
        <w:tc>
          <w:tcPr>
            <w:tcW w:w="682" w:type="pct"/>
            <w:tcBorders>
              <w:top w:val="single" w:color="000000" w:sz="4" w:space="0"/>
              <w:left w:val="single" w:color="000000" w:sz="4" w:space="0"/>
              <w:bottom w:val="single" w:color="000000" w:sz="4" w:space="0"/>
              <w:right w:val="single" w:color="000000" w:sz="4" w:space="0"/>
            </w:tcBorders>
            <w:vAlign w:val="center"/>
          </w:tcPr>
          <w:p w14:paraId="4ED49AD3">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学科窗帘</w:t>
            </w:r>
          </w:p>
        </w:tc>
        <w:tc>
          <w:tcPr>
            <w:tcW w:w="2935" w:type="pct"/>
            <w:tcBorders>
              <w:top w:val="single" w:color="000000" w:sz="4" w:space="0"/>
              <w:left w:val="single" w:color="000000" w:sz="4" w:space="0"/>
              <w:bottom w:val="single" w:color="000000" w:sz="4" w:space="0"/>
              <w:right w:val="single" w:color="000000" w:sz="4" w:space="0"/>
            </w:tcBorders>
            <w:vAlign w:val="center"/>
          </w:tcPr>
          <w:p w14:paraId="4B1F6B30">
            <w:pPr>
              <w:widowControl/>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1、窗帘采用双喷布喷绘印制，含窗帘卷管、下杆和拉珠。卷管采用铝合金加厚管，下杆采用 PVC 加厚扁杆。</w:t>
            </w:r>
            <w:r>
              <w:rPr>
                <w:rFonts w:hint="eastAsia" w:ascii="宋体" w:hAnsi="宋体" w:cs="宋体"/>
                <w:color w:val="auto"/>
                <w:kern w:val="0"/>
                <w:sz w:val="21"/>
                <w:szCs w:val="21"/>
                <w:lang w:val="en-US" w:eastAsia="zh-CN" w:bidi="ar"/>
              </w:rPr>
              <w:t>遮光率</w:t>
            </w: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val="en-US" w:eastAsia="zh-CN" w:bidi="ar"/>
              </w:rPr>
              <w:t>95%。</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2、尺寸</w:t>
            </w:r>
            <w:r>
              <w:rPr>
                <w:rFonts w:hint="eastAsia" w:ascii="宋体" w:hAnsi="宋体" w:cs="宋体"/>
                <w:color w:val="auto"/>
                <w:kern w:val="0"/>
                <w:sz w:val="21"/>
                <w:szCs w:val="21"/>
                <w:lang w:val="en-US" w:eastAsia="zh-CN" w:bidi="ar"/>
              </w:rPr>
              <w:t>按实验室具体情况</w:t>
            </w:r>
            <w:r>
              <w:rPr>
                <w:rFonts w:hint="eastAsia" w:ascii="宋体" w:hAnsi="宋体" w:eastAsia="宋体" w:cs="宋体"/>
                <w:color w:val="auto"/>
                <w:kern w:val="0"/>
                <w:sz w:val="21"/>
                <w:szCs w:val="21"/>
                <w:lang w:bidi="ar"/>
              </w:rPr>
              <w:t>订制，在窗帘上印制化学相关学科内容介绍或印制学校 Logo。</w:t>
            </w:r>
          </w:p>
        </w:tc>
        <w:tc>
          <w:tcPr>
            <w:tcW w:w="448" w:type="pct"/>
            <w:tcBorders>
              <w:top w:val="single" w:color="000000" w:sz="4" w:space="0"/>
              <w:left w:val="single" w:color="000000" w:sz="4" w:space="0"/>
              <w:bottom w:val="single" w:color="000000" w:sz="4" w:space="0"/>
              <w:right w:val="single" w:color="000000" w:sz="4" w:space="0"/>
            </w:tcBorders>
            <w:noWrap/>
            <w:vAlign w:val="center"/>
          </w:tcPr>
          <w:p w14:paraId="7D0BFF59">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495" w:type="pct"/>
            <w:tcBorders>
              <w:top w:val="single" w:color="000000" w:sz="4" w:space="0"/>
              <w:left w:val="single" w:color="000000" w:sz="4" w:space="0"/>
              <w:bottom w:val="single" w:color="000000" w:sz="4" w:space="0"/>
              <w:right w:val="single" w:color="000000" w:sz="4" w:space="0"/>
            </w:tcBorders>
            <w:noWrap/>
            <w:vAlign w:val="center"/>
          </w:tcPr>
          <w:p w14:paraId="4121B9AE">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r>
    </w:tbl>
    <w:p w14:paraId="4C451B1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3、生物智能吊装实验室</w:t>
      </w:r>
    </w:p>
    <w:tbl>
      <w:tblPr>
        <w:tblStyle w:val="21"/>
        <w:tblW w:w="4988" w:type="pct"/>
        <w:tblInd w:w="0" w:type="dxa"/>
        <w:tblLayout w:type="fixed"/>
        <w:tblCellMar>
          <w:top w:w="0" w:type="dxa"/>
          <w:left w:w="108" w:type="dxa"/>
          <w:bottom w:w="0" w:type="dxa"/>
          <w:right w:w="108" w:type="dxa"/>
        </w:tblCellMar>
      </w:tblPr>
      <w:tblGrid>
        <w:gridCol w:w="750"/>
        <w:gridCol w:w="1344"/>
        <w:gridCol w:w="5126"/>
        <w:gridCol w:w="834"/>
        <w:gridCol w:w="872"/>
      </w:tblGrid>
      <w:tr w14:paraId="4059BAF2">
        <w:tblPrEx>
          <w:tblCellMar>
            <w:top w:w="0" w:type="dxa"/>
            <w:left w:w="108" w:type="dxa"/>
            <w:bottom w:w="0" w:type="dxa"/>
            <w:right w:w="108" w:type="dxa"/>
          </w:tblCellMar>
        </w:tblPrEx>
        <w:trPr>
          <w:trHeight w:val="560" w:hRule="atLeast"/>
        </w:trPr>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49CDA">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序号</w:t>
            </w:r>
          </w:p>
        </w:tc>
        <w:tc>
          <w:tcPr>
            <w:tcW w:w="7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F9D94">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货物名称</w:t>
            </w:r>
          </w:p>
        </w:tc>
        <w:tc>
          <w:tcPr>
            <w:tcW w:w="2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F0DC5">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技术参数</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29197">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数量</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E171E">
            <w:pPr>
              <w:widowControl/>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bidi="ar"/>
              </w:rPr>
              <w:t>单位</w:t>
            </w:r>
          </w:p>
        </w:tc>
      </w:tr>
      <w:tr w14:paraId="0F43A2B1">
        <w:tblPrEx>
          <w:tblCellMar>
            <w:top w:w="0" w:type="dxa"/>
            <w:left w:w="108" w:type="dxa"/>
            <w:bottom w:w="0" w:type="dxa"/>
            <w:right w:w="108" w:type="dxa"/>
          </w:tblCellMar>
        </w:tblPrEx>
        <w:trPr>
          <w:trHeight w:val="560" w:hRule="atLeast"/>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14:paraId="48D4A93D">
            <w:pPr>
              <w:rPr>
                <w:rFonts w:hint="eastAsia" w:ascii="宋体" w:hAnsi="宋体" w:eastAsia="宋体" w:cs="宋体"/>
                <w:b/>
                <w:bCs/>
                <w:color w:val="auto"/>
                <w:sz w:val="21"/>
                <w:szCs w:val="21"/>
              </w:rPr>
            </w:pPr>
            <w:r>
              <w:rPr>
                <w:rFonts w:hint="eastAsia" w:ascii="宋体" w:hAnsi="宋体" w:eastAsia="宋体" w:cs="宋体"/>
                <w:b/>
                <w:bCs/>
                <w:color w:val="auto"/>
                <w:kern w:val="0"/>
                <w:sz w:val="21"/>
                <w:szCs w:val="21"/>
                <w:lang w:bidi="ar"/>
              </w:rPr>
              <w:t>一、教师控制演示区</w:t>
            </w:r>
          </w:p>
        </w:tc>
      </w:tr>
      <w:tr w14:paraId="0EE4F83C">
        <w:tblPrEx>
          <w:tblCellMar>
            <w:top w:w="0" w:type="dxa"/>
            <w:left w:w="108" w:type="dxa"/>
            <w:bottom w:w="0" w:type="dxa"/>
            <w:right w:w="108" w:type="dxa"/>
          </w:tblCellMar>
        </w:tblPrEx>
        <w:trPr>
          <w:trHeight w:val="560" w:hRule="atLeast"/>
        </w:trPr>
        <w:tc>
          <w:tcPr>
            <w:tcW w:w="420" w:type="pct"/>
            <w:tcBorders>
              <w:top w:val="single" w:color="000000" w:sz="4" w:space="0"/>
              <w:left w:val="single" w:color="000000" w:sz="4" w:space="0"/>
              <w:bottom w:val="single" w:color="000000" w:sz="4" w:space="0"/>
              <w:right w:val="single" w:color="000000" w:sz="4" w:space="0"/>
            </w:tcBorders>
            <w:noWrap/>
            <w:vAlign w:val="center"/>
          </w:tcPr>
          <w:p w14:paraId="018E0DDF">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752" w:type="pct"/>
            <w:tcBorders>
              <w:top w:val="single" w:color="000000" w:sz="4" w:space="0"/>
              <w:left w:val="single" w:color="000000" w:sz="4" w:space="0"/>
              <w:bottom w:val="single" w:color="000000" w:sz="4" w:space="0"/>
              <w:right w:val="single" w:color="000000" w:sz="4" w:space="0"/>
            </w:tcBorders>
            <w:vAlign w:val="center"/>
          </w:tcPr>
          <w:p w14:paraId="1076DA11">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实验桌</w:t>
            </w:r>
          </w:p>
          <w:p w14:paraId="503C88F4">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（装配式教师演示台）</w:t>
            </w:r>
          </w:p>
        </w:tc>
        <w:tc>
          <w:tcPr>
            <w:tcW w:w="2871" w:type="pct"/>
            <w:tcBorders>
              <w:top w:val="single" w:color="000000" w:sz="4" w:space="0"/>
              <w:left w:val="single" w:color="000000" w:sz="4" w:space="0"/>
              <w:bottom w:val="single" w:color="000000" w:sz="4" w:space="0"/>
              <w:right w:val="single" w:color="000000" w:sz="4" w:space="0"/>
            </w:tcBorders>
            <w:vAlign w:val="center"/>
          </w:tcPr>
          <w:p w14:paraId="2B8586C2">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整体规格：≥2500mm（</w:t>
            </w:r>
            <w:r>
              <w:rPr>
                <w:rFonts w:hint="eastAsia" w:ascii="宋体" w:hAnsi="宋体" w:eastAsia="宋体" w:cs="宋体"/>
                <w:color w:val="auto"/>
                <w:kern w:val="0"/>
                <w:sz w:val="21"/>
                <w:szCs w:val="21"/>
                <w:lang w:eastAsia="zh-CN" w:bidi="ar"/>
              </w:rPr>
              <w:t>长</w:t>
            </w:r>
            <w:r>
              <w:rPr>
                <w:rFonts w:hint="eastAsia" w:ascii="宋体" w:hAnsi="宋体" w:eastAsia="宋体" w:cs="宋体"/>
                <w:color w:val="auto"/>
                <w:kern w:val="0"/>
                <w:sz w:val="21"/>
                <w:szCs w:val="21"/>
                <w:lang w:bidi="ar"/>
              </w:rPr>
              <w:t>）×700mm（</w:t>
            </w:r>
            <w:r>
              <w:rPr>
                <w:rFonts w:hint="eastAsia" w:ascii="宋体" w:hAnsi="宋体" w:eastAsia="宋体" w:cs="宋体"/>
                <w:color w:val="auto"/>
                <w:kern w:val="0"/>
                <w:sz w:val="21"/>
                <w:szCs w:val="21"/>
                <w:lang w:eastAsia="zh-CN" w:bidi="ar"/>
              </w:rPr>
              <w:t>宽</w:t>
            </w:r>
            <w:r>
              <w:rPr>
                <w:rFonts w:hint="eastAsia" w:ascii="宋体" w:hAnsi="宋体" w:eastAsia="宋体" w:cs="宋体"/>
                <w:color w:val="auto"/>
                <w:kern w:val="0"/>
                <w:sz w:val="21"/>
                <w:szCs w:val="21"/>
                <w:lang w:bidi="ar"/>
              </w:rPr>
              <w:t>）×945mm（</w:t>
            </w:r>
            <w:r>
              <w:rPr>
                <w:rFonts w:hint="eastAsia" w:ascii="宋体" w:hAnsi="宋体" w:eastAsia="宋体" w:cs="宋体"/>
                <w:color w:val="auto"/>
                <w:kern w:val="0"/>
                <w:sz w:val="21"/>
                <w:szCs w:val="21"/>
                <w:lang w:eastAsia="zh-CN" w:bidi="ar"/>
              </w:rPr>
              <w:t>高</w:t>
            </w:r>
            <w:r>
              <w:rPr>
                <w:rFonts w:hint="eastAsia" w:ascii="宋体" w:hAnsi="宋体" w:eastAsia="宋体" w:cs="宋体"/>
                <w:color w:val="auto"/>
                <w:kern w:val="0"/>
                <w:sz w:val="21"/>
                <w:szCs w:val="21"/>
                <w:lang w:bidi="ar"/>
              </w:rPr>
              <w:t>）；</w:t>
            </w:r>
          </w:p>
          <w:p w14:paraId="1DA15C64">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整体由桌体、装配式采集终端组成。</w:t>
            </w:r>
          </w:p>
          <w:p w14:paraId="08A52C4B">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一、桌体：</w:t>
            </w:r>
          </w:p>
          <w:p w14:paraId="409F5460">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规格：≥2500mm（</w:t>
            </w:r>
            <w:r>
              <w:rPr>
                <w:rFonts w:hint="eastAsia" w:ascii="宋体" w:hAnsi="宋体" w:eastAsia="宋体" w:cs="宋体"/>
                <w:color w:val="auto"/>
                <w:kern w:val="0"/>
                <w:sz w:val="21"/>
                <w:szCs w:val="21"/>
                <w:lang w:eastAsia="zh-CN" w:bidi="ar"/>
              </w:rPr>
              <w:t>长</w:t>
            </w:r>
            <w:r>
              <w:rPr>
                <w:rFonts w:hint="eastAsia" w:ascii="宋体" w:hAnsi="宋体" w:eastAsia="宋体" w:cs="宋体"/>
                <w:color w:val="auto"/>
                <w:kern w:val="0"/>
                <w:sz w:val="21"/>
                <w:szCs w:val="21"/>
                <w:lang w:bidi="ar"/>
              </w:rPr>
              <w:t>）×700mm（</w:t>
            </w:r>
            <w:r>
              <w:rPr>
                <w:rFonts w:hint="eastAsia" w:ascii="宋体" w:hAnsi="宋体" w:eastAsia="宋体" w:cs="宋体"/>
                <w:color w:val="auto"/>
                <w:kern w:val="0"/>
                <w:sz w:val="21"/>
                <w:szCs w:val="21"/>
                <w:lang w:eastAsia="zh-CN" w:bidi="ar"/>
              </w:rPr>
              <w:t>宽</w:t>
            </w:r>
            <w:r>
              <w:rPr>
                <w:rFonts w:hint="eastAsia" w:ascii="宋体" w:hAnsi="宋体" w:eastAsia="宋体" w:cs="宋体"/>
                <w:color w:val="auto"/>
                <w:kern w:val="0"/>
                <w:sz w:val="21"/>
                <w:szCs w:val="21"/>
                <w:lang w:bidi="ar"/>
              </w:rPr>
              <w:t>）×900mm（</w:t>
            </w:r>
            <w:r>
              <w:rPr>
                <w:rFonts w:hint="eastAsia" w:ascii="宋体" w:hAnsi="宋体" w:eastAsia="宋体" w:cs="宋体"/>
                <w:color w:val="auto"/>
                <w:kern w:val="0"/>
                <w:sz w:val="21"/>
                <w:szCs w:val="21"/>
                <w:lang w:eastAsia="zh-CN" w:bidi="ar"/>
              </w:rPr>
              <w:t>高</w:t>
            </w:r>
            <w:r>
              <w:rPr>
                <w:rFonts w:hint="eastAsia" w:ascii="宋体" w:hAnsi="宋体" w:eastAsia="宋体" w:cs="宋体"/>
                <w:color w:val="auto"/>
                <w:kern w:val="0"/>
                <w:sz w:val="21"/>
                <w:szCs w:val="21"/>
                <w:lang w:bidi="ar"/>
              </w:rPr>
              <w:t>）；由台面、储物柜、键盘抽屉架、布线柜、可调脚组成；</w:t>
            </w:r>
          </w:p>
          <w:p w14:paraId="440CA240">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1、台面：规格：≥2395mm×645mm×12.7mm；采用实芯理化板；</w:t>
            </w:r>
          </w:p>
          <w:p w14:paraId="1B232244">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2、储物柜：配有2个储物柜；</w:t>
            </w:r>
          </w:p>
          <w:p w14:paraId="4677ADA2">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2.1储物柜1：≥550mm×700mm×900mm，由柜体、柜门、活动层板、抽屉组成；</w:t>
            </w:r>
          </w:p>
          <w:p w14:paraId="350C050C">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2.1.1柜体：全钢结构，采用≥1.0mm厚冷轧钢板；边缘做倒角设计，可防止磕碰；</w:t>
            </w:r>
          </w:p>
          <w:p w14:paraId="10493BD3">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2.1.2柜门：主体采用双层冷轧钢板装配成型，内附蜂窝状瓦楞纸防噪填充，门板面板内嵌ABS塑料拉手；</w:t>
            </w:r>
          </w:p>
          <w:p w14:paraId="7F8262DF">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 xml:space="preserve">2.1.3活动层板：柜体内设有活动层板，规格≥545mm×435mm×20mm，采用≥1.0mm厚冷轧钢板制作，配合至少4个塑料支撑扣调整上下高度，调节孔距≥65mm，承重≥20KG； </w:t>
            </w:r>
          </w:p>
          <w:p w14:paraId="2CB80FD8">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2.1.4抽屉：内置≥1个内部规格：≥310mm×350mm×125mm抽屉，采用≥1.0mm厚冷轧钢板制作，抽头为双层结构，内附蜂窝状瓦楞纸防噪填充，采用三节静音导轨，配备阻尼滑道，抽头内嵌塑料拉手；</w:t>
            </w:r>
          </w:p>
          <w:p w14:paraId="0C3B68E5">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2.2储物柜2：≥550mm×700mm×900mm，由柜体，柜门、活动层板组成；</w:t>
            </w:r>
          </w:p>
          <w:p w14:paraId="140A7E76">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2.2.1柜体：全钢结构，采用≥1.0mm厚冷轧钢板；边缘做倒角设计，可防止磕碰；</w:t>
            </w:r>
          </w:p>
          <w:p w14:paraId="15A12C24">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2.2.2柜门：主体采用双层冷轧钢板装配成型，内附蜂窝状瓦楞纸防噪填充，门板面板内嵌ABS塑料拉手；</w:t>
            </w:r>
          </w:p>
          <w:p w14:paraId="7C52A177">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 xml:space="preserve">2.2.3活动层板：柜体内设有活动层板，规格≥540mm×610mm×20mm，采用≥1.0mm厚冷轧钢板制作，配合至少4个塑料支撑扣调整上下高度，调节孔距≥65mm，承重≥20KG； </w:t>
            </w:r>
          </w:p>
          <w:p w14:paraId="46B78252">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3、键盘抽屉架：≥1400mm×510mm×90mm，由≥1.0mm厚冷轧钢板与ABS塑料组成。内置抽拉式托盘：采用ABS材料一体化注塑成型；内部设计有鼠标与键盘的定点定位槽位；托盘配备高强度静音滑轨。</w:t>
            </w:r>
          </w:p>
          <w:p w14:paraId="5CF58EDB">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val="en-US" w:eastAsia="zh-CN" w:bidi="ar"/>
              </w:rPr>
              <w:t>4、</w:t>
            </w:r>
            <w:r>
              <w:rPr>
                <w:rFonts w:hint="eastAsia" w:ascii="宋体" w:hAnsi="宋体" w:eastAsia="宋体" w:cs="宋体"/>
                <w:color w:val="auto"/>
                <w:kern w:val="0"/>
                <w:sz w:val="21"/>
                <w:szCs w:val="21"/>
                <w:lang w:bidi="ar"/>
              </w:rPr>
              <w:t>布线柜</w:t>
            </w:r>
            <w:r>
              <w:rPr>
                <w:rFonts w:hint="eastAsia" w:ascii="宋体" w:hAnsi="宋体" w:cs="宋体"/>
                <w:color w:val="auto"/>
                <w:kern w:val="0"/>
                <w:sz w:val="21"/>
                <w:szCs w:val="21"/>
                <w:lang w:eastAsia="zh-CN" w:bidi="ar"/>
              </w:rPr>
              <w:t>：</w:t>
            </w:r>
          </w:p>
          <w:p w14:paraId="4FAA6495">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4.1、柜体：全钢结构，采用≥1.0mm厚冷轧钢板，表面平整光滑，耐酸碱，防腐蚀。支持用于隐蔽式布线；</w:t>
            </w:r>
          </w:p>
          <w:p w14:paraId="4109D353">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4.2、柜门：采用≥1.0mm厚冷轧钢板折弯焊接成型，无铰链结构，采用卡扣方式固定，支持快速拆装，便于检修维护；</w:t>
            </w:r>
          </w:p>
          <w:p w14:paraId="7A1514DB">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4.3、层板：柜体内设有固定层板，规格≥695mm×135mm×20mm，采用≥1.0mm厚冷轧钢板制作，承重≥20KG；</w:t>
            </w:r>
          </w:p>
          <w:p w14:paraId="78FF34A7">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5、可调脚：桌体底部配备≥50mm高钢制PP注塑调节地脚。</w:t>
            </w:r>
          </w:p>
          <w:p w14:paraId="2999F62F">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二、装配式采集终端：由集成柜体模块、升降系统模块、视频采集模块、电源操作控制模块、交互终端模块组成。</w:t>
            </w:r>
          </w:p>
          <w:p w14:paraId="45A463B2">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1、集成柜体模块</w:t>
            </w:r>
          </w:p>
          <w:p w14:paraId="017C7997">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1.1柜体：≥1200mm×160mm×760mm，采用≥1.0mm冷轧钢板;柜体两侧设置提手，便于移动运输；</w:t>
            </w:r>
          </w:p>
          <w:p w14:paraId="5C531098">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1.2功能面板：≥1195mm×165mm×65mm，采用斜面设计，ABS一体化注塑成型；内置独立急停开关。</w:t>
            </w:r>
          </w:p>
          <w:p w14:paraId="5DA894BD">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1.3屏风：≥1120mm×495mm×5mm，采用PMMA材质；</w:t>
            </w:r>
          </w:p>
          <w:p w14:paraId="52CD40E8">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1.4脚垫：PP+不锈钢材质，直径规格≥35mm；高度可在0mm-10mm范围内调节；</w:t>
            </w:r>
          </w:p>
          <w:p w14:paraId="78AB6D31">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1.5设备供电：220V,50Hz。</w:t>
            </w:r>
          </w:p>
          <w:p w14:paraId="5D85A65F">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2、升降系统模块：包括电机控制单元、屏风升降单元、交互终端升降单元、摄像头升降单元。</w:t>
            </w:r>
          </w:p>
          <w:p w14:paraId="53E7CE1C">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2.1电机控制单元：配置6路减速电机，10路光电开关，2路限位开关，到位自动停止；配备1路CAN通讯，24V供电接口，6口带P</w:t>
            </w:r>
            <w:r>
              <w:rPr>
                <w:rFonts w:hint="eastAsia" w:ascii="宋体" w:hAnsi="宋体" w:eastAsia="宋体" w:cs="宋体"/>
                <w:color w:val="auto"/>
                <w:kern w:val="0"/>
                <w:sz w:val="21"/>
                <w:szCs w:val="21"/>
                <w:lang w:val="en-US" w:eastAsia="zh-CN" w:bidi="ar"/>
              </w:rPr>
              <w:t>O</w:t>
            </w:r>
            <w:r>
              <w:rPr>
                <w:rFonts w:hint="eastAsia" w:ascii="宋体" w:hAnsi="宋体" w:eastAsia="宋体" w:cs="宋体"/>
                <w:color w:val="auto"/>
                <w:kern w:val="0"/>
                <w:sz w:val="21"/>
                <w:szCs w:val="21"/>
                <w:lang w:bidi="ar"/>
              </w:rPr>
              <w:t>E网络接口；</w:t>
            </w:r>
          </w:p>
          <w:p w14:paraId="43BF174A">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2.2屏风升降单元：独立电动升降结构，屏风升降高度范围：0-300mm；</w:t>
            </w:r>
          </w:p>
          <w:p w14:paraId="39239A8B">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2.3交互终端升降单元：独立电动升降结构，支持教师端远程控制；</w:t>
            </w:r>
          </w:p>
          <w:p w14:paraId="627A424C">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2.4摄像头升降单元：四组独立升降机构，支持升降及旋转臂运动：</w:t>
            </w:r>
          </w:p>
          <w:p w14:paraId="74138167">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2.4.1顶视摄像头旋转臂展开角度范围：0-125°；顶视摄像头旋转臂展开高度：≥725mm（相对于桌面）；</w:t>
            </w:r>
          </w:p>
          <w:p w14:paraId="70282EC3">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2.4.2侧视摄像头旋转臂展开角度范围：0-90°；侧视摄像头旋转臂展开高度：≥480mm（相对于桌面）；</w:t>
            </w:r>
          </w:p>
          <w:p w14:paraId="67416A7D">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2.4.3旋转臂复位功能：旋转臂运行过程中遇阻能够自动复位，当累计复位次数达10次时，旋转臂将自动停止运动，进入保护模式。</w:t>
            </w:r>
          </w:p>
        </w:tc>
        <w:tc>
          <w:tcPr>
            <w:tcW w:w="467" w:type="pct"/>
            <w:tcBorders>
              <w:top w:val="single" w:color="000000" w:sz="4" w:space="0"/>
              <w:left w:val="single" w:color="000000" w:sz="4" w:space="0"/>
              <w:bottom w:val="single" w:color="000000" w:sz="4" w:space="0"/>
              <w:right w:val="single" w:color="000000" w:sz="4" w:space="0"/>
            </w:tcBorders>
            <w:vAlign w:val="center"/>
          </w:tcPr>
          <w:p w14:paraId="21FF5FFA">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488" w:type="pct"/>
            <w:tcBorders>
              <w:top w:val="single" w:color="000000" w:sz="4" w:space="0"/>
              <w:left w:val="single" w:color="000000" w:sz="4" w:space="0"/>
              <w:bottom w:val="single" w:color="000000" w:sz="4" w:space="0"/>
              <w:right w:val="single" w:color="000000" w:sz="4" w:space="0"/>
            </w:tcBorders>
            <w:vAlign w:val="center"/>
          </w:tcPr>
          <w:p w14:paraId="138F0930">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张</w:t>
            </w:r>
          </w:p>
        </w:tc>
      </w:tr>
      <w:tr w14:paraId="00C5756E">
        <w:tblPrEx>
          <w:tblCellMar>
            <w:top w:w="0" w:type="dxa"/>
            <w:left w:w="108" w:type="dxa"/>
            <w:bottom w:w="0" w:type="dxa"/>
            <w:right w:w="108" w:type="dxa"/>
          </w:tblCellMar>
        </w:tblPrEx>
        <w:trPr>
          <w:trHeight w:val="560" w:hRule="atLeast"/>
        </w:trPr>
        <w:tc>
          <w:tcPr>
            <w:tcW w:w="420" w:type="pct"/>
            <w:tcBorders>
              <w:top w:val="single" w:color="000000" w:sz="4" w:space="0"/>
              <w:left w:val="single" w:color="000000" w:sz="4" w:space="0"/>
              <w:bottom w:val="single" w:color="000000" w:sz="4" w:space="0"/>
              <w:right w:val="single" w:color="000000" w:sz="4" w:space="0"/>
            </w:tcBorders>
            <w:noWrap/>
            <w:vAlign w:val="center"/>
          </w:tcPr>
          <w:p w14:paraId="451FE11B">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w:t>
            </w:r>
          </w:p>
        </w:tc>
        <w:tc>
          <w:tcPr>
            <w:tcW w:w="752" w:type="pct"/>
            <w:tcBorders>
              <w:top w:val="single" w:color="000000" w:sz="4" w:space="0"/>
              <w:left w:val="single" w:color="000000" w:sz="4" w:space="0"/>
              <w:bottom w:val="single" w:color="000000" w:sz="4" w:space="0"/>
              <w:right w:val="single" w:color="000000" w:sz="4" w:space="0"/>
            </w:tcBorders>
            <w:vAlign w:val="center"/>
          </w:tcPr>
          <w:p w14:paraId="7D51B94E">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教师椅</w:t>
            </w:r>
          </w:p>
        </w:tc>
        <w:tc>
          <w:tcPr>
            <w:tcW w:w="2871" w:type="pct"/>
            <w:tcBorders>
              <w:top w:val="single" w:color="000000" w:sz="4" w:space="0"/>
              <w:left w:val="single" w:color="000000" w:sz="4" w:space="0"/>
              <w:bottom w:val="single" w:color="000000" w:sz="4" w:space="0"/>
              <w:right w:val="single" w:color="000000" w:sz="4" w:space="0"/>
            </w:tcBorders>
            <w:vAlign w:val="center"/>
          </w:tcPr>
          <w:p w14:paraId="3386FB51">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1.规格：≥550×500×1070mm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2.采用PU皮面，海绵坐垫；</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3.黑色PP加玻纤内外塑框；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4.一体成型PP固定扶手；</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5.中靠背46-49cm，人体工程学设计；</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6.≥1.0mm厚气杆；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7.PP加纤五星塑脚；</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8.φ50mm（偏差±5%）黑边尼龙万向轮。</w:t>
            </w:r>
          </w:p>
        </w:tc>
        <w:tc>
          <w:tcPr>
            <w:tcW w:w="467" w:type="pct"/>
            <w:tcBorders>
              <w:top w:val="single" w:color="000000" w:sz="4" w:space="0"/>
              <w:left w:val="single" w:color="000000" w:sz="4" w:space="0"/>
              <w:bottom w:val="single" w:color="000000" w:sz="4" w:space="0"/>
              <w:right w:val="single" w:color="000000" w:sz="4" w:space="0"/>
            </w:tcBorders>
            <w:vAlign w:val="center"/>
          </w:tcPr>
          <w:p w14:paraId="165E4071">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488" w:type="pct"/>
            <w:tcBorders>
              <w:top w:val="single" w:color="000000" w:sz="4" w:space="0"/>
              <w:left w:val="single" w:color="000000" w:sz="4" w:space="0"/>
              <w:bottom w:val="single" w:color="000000" w:sz="4" w:space="0"/>
              <w:right w:val="single" w:color="000000" w:sz="4" w:space="0"/>
            </w:tcBorders>
            <w:vAlign w:val="center"/>
          </w:tcPr>
          <w:p w14:paraId="0BE1DDAF">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张</w:t>
            </w:r>
          </w:p>
        </w:tc>
      </w:tr>
      <w:tr w14:paraId="025CC96E">
        <w:tblPrEx>
          <w:tblCellMar>
            <w:top w:w="0" w:type="dxa"/>
            <w:left w:w="108" w:type="dxa"/>
            <w:bottom w:w="0" w:type="dxa"/>
            <w:right w:w="108" w:type="dxa"/>
          </w:tblCellMar>
        </w:tblPrEx>
        <w:trPr>
          <w:trHeight w:val="560" w:hRule="atLeast"/>
        </w:trPr>
        <w:tc>
          <w:tcPr>
            <w:tcW w:w="420" w:type="pct"/>
            <w:tcBorders>
              <w:top w:val="single" w:color="000000" w:sz="4" w:space="0"/>
              <w:left w:val="single" w:color="000000" w:sz="4" w:space="0"/>
              <w:bottom w:val="single" w:color="000000" w:sz="4" w:space="0"/>
              <w:right w:val="single" w:color="000000" w:sz="4" w:space="0"/>
            </w:tcBorders>
            <w:noWrap/>
            <w:vAlign w:val="center"/>
          </w:tcPr>
          <w:p w14:paraId="32B20CD5">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w:t>
            </w:r>
          </w:p>
        </w:tc>
        <w:tc>
          <w:tcPr>
            <w:tcW w:w="752" w:type="pct"/>
            <w:tcBorders>
              <w:top w:val="single" w:color="000000" w:sz="4" w:space="0"/>
              <w:left w:val="single" w:color="000000" w:sz="4" w:space="0"/>
              <w:bottom w:val="single" w:color="000000" w:sz="4" w:space="0"/>
              <w:right w:val="single" w:color="000000" w:sz="4" w:space="0"/>
            </w:tcBorders>
            <w:vAlign w:val="center"/>
          </w:tcPr>
          <w:p w14:paraId="38D30938">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吊装系统交互控制终端</w:t>
            </w:r>
          </w:p>
        </w:tc>
        <w:tc>
          <w:tcPr>
            <w:tcW w:w="2871" w:type="pct"/>
            <w:tcBorders>
              <w:top w:val="single" w:color="000000" w:sz="4" w:space="0"/>
              <w:left w:val="single" w:color="000000" w:sz="4" w:space="0"/>
              <w:bottom w:val="single" w:color="000000" w:sz="4" w:space="0"/>
              <w:right w:val="single" w:color="000000" w:sz="4" w:space="0"/>
            </w:tcBorders>
            <w:vAlign w:val="center"/>
          </w:tcPr>
          <w:p w14:paraId="3AB523C8">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由交互操作单元、供电单元、数据交换单元、配电单元构成。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一、交互操作单元：壳体：≥330mm×170mm×150mm，壁厚3mm（±0.2mm），采用工程塑料注塑成型；配备15.6英寸（偏差±5%）电容触摸液晶屏；配备数据处理终端，采用≥8核处理器，主频≥2.4GHz，或采用同等及以上综合性能的处理平台，内存≥8GB；存储≥64GB；</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二、供电单元：由低压交流输出模块、低压直流输出模块、高压输出模块、拓展模块组成；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1、低压交流输出模块：配备≥1路直流输出接口，支持输出0-30V交流电压，额定电流≥2A，分辨率为0.1V，具备过载保护功能；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2、低压直流输出模块：配备≥1路交流输出接口，支持输出0-30V直流电压，额定电流≥2A，分辨率为0.1V，具备过载保护功能；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3、高压输出模块：配备≥2路220V高压插座，额定电流≥5A，带防触电保护门；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4、拓展模块：设置≥2个USB接口、≥1个RJ45网络接口，支持 ≥100Mbps有线网络通信；</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三、数据交换单元：配置 ≥24口千兆交换机，配置≥千兆网口无线路由器；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四、配电单元：由配电柜、环境监测模块、开关电源模块、工作指示模块组成；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1、配电柜：采用1.0mm（±0.1mm）镀锌钢板冷轧成型，表面经过防腐氧化处理和纯环氧树脂塑粉高温固化处理；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2、环境监测模块：配置环境温湿度数据监测传感器，温度检测范围： -20℃~+60℃；湿度检测范围：5%RH~95%RH；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3、开关电源模块：配置≥6组开关电源，其中不少于5组开关电源带漏电保护装置；</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4、工作指示模块：配置急停旋钮，可实现电源强制中断；支持手动复位。配置双色工作指示开关，可实时查看配电单元工作状态。</w:t>
            </w:r>
          </w:p>
        </w:tc>
        <w:tc>
          <w:tcPr>
            <w:tcW w:w="467" w:type="pct"/>
            <w:tcBorders>
              <w:top w:val="single" w:color="000000" w:sz="4" w:space="0"/>
              <w:left w:val="single" w:color="000000" w:sz="4" w:space="0"/>
              <w:bottom w:val="single" w:color="000000" w:sz="4" w:space="0"/>
              <w:right w:val="single" w:color="000000" w:sz="4" w:space="0"/>
            </w:tcBorders>
            <w:vAlign w:val="center"/>
          </w:tcPr>
          <w:p w14:paraId="11EBF9EB">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488" w:type="pct"/>
            <w:tcBorders>
              <w:top w:val="single" w:color="000000" w:sz="4" w:space="0"/>
              <w:left w:val="single" w:color="000000" w:sz="4" w:space="0"/>
              <w:bottom w:val="single" w:color="000000" w:sz="4" w:space="0"/>
              <w:right w:val="single" w:color="000000" w:sz="4" w:space="0"/>
            </w:tcBorders>
            <w:vAlign w:val="center"/>
          </w:tcPr>
          <w:p w14:paraId="46EBEA7A">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r>
      <w:tr w14:paraId="54872E1B">
        <w:tblPrEx>
          <w:tblCellMar>
            <w:top w:w="0" w:type="dxa"/>
            <w:left w:w="108" w:type="dxa"/>
            <w:bottom w:w="0" w:type="dxa"/>
            <w:right w:w="108" w:type="dxa"/>
          </w:tblCellMar>
        </w:tblPrEx>
        <w:trPr>
          <w:trHeight w:val="560" w:hRule="atLeast"/>
        </w:trPr>
        <w:tc>
          <w:tcPr>
            <w:tcW w:w="420" w:type="pct"/>
            <w:tcBorders>
              <w:top w:val="single" w:color="000000" w:sz="4" w:space="0"/>
              <w:left w:val="single" w:color="000000" w:sz="4" w:space="0"/>
              <w:bottom w:val="single" w:color="000000" w:sz="4" w:space="0"/>
              <w:right w:val="single" w:color="000000" w:sz="4" w:space="0"/>
            </w:tcBorders>
            <w:noWrap/>
            <w:vAlign w:val="center"/>
          </w:tcPr>
          <w:p w14:paraId="2EE564D0">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w:t>
            </w:r>
          </w:p>
        </w:tc>
        <w:tc>
          <w:tcPr>
            <w:tcW w:w="752" w:type="pct"/>
            <w:tcBorders>
              <w:top w:val="single" w:color="000000" w:sz="4" w:space="0"/>
              <w:left w:val="single" w:color="000000" w:sz="4" w:space="0"/>
              <w:bottom w:val="single" w:color="000000" w:sz="4" w:space="0"/>
              <w:right w:val="single" w:color="000000" w:sz="4" w:space="0"/>
            </w:tcBorders>
            <w:vAlign w:val="center"/>
          </w:tcPr>
          <w:p w14:paraId="77791B28">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智能吊装综合控制系统</w:t>
            </w:r>
          </w:p>
        </w:tc>
        <w:tc>
          <w:tcPr>
            <w:tcW w:w="2871" w:type="pct"/>
            <w:tcBorders>
              <w:top w:val="single" w:color="000000" w:sz="4" w:space="0"/>
              <w:left w:val="single" w:color="000000" w:sz="4" w:space="0"/>
              <w:bottom w:val="single" w:color="000000" w:sz="4" w:space="0"/>
              <w:right w:val="single" w:color="000000" w:sz="4" w:space="0"/>
            </w:tcBorders>
            <w:vAlign w:val="center"/>
          </w:tcPr>
          <w:p w14:paraId="35A5AC70">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由媒介互动区、功能设置区、系统设置区组成。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一、媒介互动区：</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采用3D可交互模型，对智能吊装系统各功能模块进行实时动态展示及交互控制，包括以下互动单元：</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给排水系统模块互动单元：集成给排水系统模块交互模型，模型界面实时显示给/排水管线、信号线连接动态效果；支持用户通过点击对应功能按键实现给排水功能开启与关闭，给排水功能开启后，模型界面支持实时显示给水/排水的动态效果；</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2、供电系统模块互动单元：集成电源控制系统模块交互模型，支持用户通过点击对应功能按键实现高压/低压电源功能开启与关闭，模型界面支持实时动态显示电源启停状态；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3、照明系统模块互动单元：集成照明控制系统模块交互模型，支持用户通过点击对应功能按键实现照明功能开启与关闭，模型界面支持实时动态显示照明开启/关闭状态；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4、功能柱升降系统模块互动单元：集成功能柱升降系统模块交互模型，支持用户通过点击对应功能按键实现功能柱的展开与收起，模型界面支持实时动态展示。</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二、功能设置区：</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支持对接入系统的所有设备进行全选/单选/反选操作，便于用户进行批量或定向控制；控制界面具备设备标记图层显示功能，通过不同颜色指示设备状态，实时反映设备当前状态（未运行/运行中/出故障）。包含以下模块设置：</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1、首页：支持完成设备的一键启动、全部关闭、全部复位。</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1.1一键启动：支持一键启动所选吊装设备供电、功能柱降下、照明系统等模块开启；</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1.2全部关闭：支持一键关闭所选吊装设备供水、照明、高低压电源等模块，并开启排水；</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1.3全部复位：支持一键完成所选吊装设备关闭供水、照明、排水、高低压电源等模块并收起功能柱；</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w:t>
            </w:r>
            <w:r>
              <w:rPr>
                <w:rFonts w:hint="eastAsia" w:ascii="宋体" w:hAnsi="宋体" w:eastAsia="宋体" w:cs="宋体"/>
                <w:color w:val="auto"/>
                <w:kern w:val="0"/>
                <w:sz w:val="21"/>
                <w:szCs w:val="21"/>
                <w:lang w:val="en-US" w:eastAsia="zh-CN" w:bidi="ar"/>
              </w:rPr>
              <w:t>4</w:t>
            </w:r>
            <w:r>
              <w:rPr>
                <w:rFonts w:hint="eastAsia" w:ascii="宋体" w:hAnsi="宋体" w:eastAsia="宋体" w:cs="宋体"/>
                <w:color w:val="auto"/>
                <w:kern w:val="0"/>
                <w:sz w:val="21"/>
                <w:szCs w:val="21"/>
                <w:lang w:bidi="ar"/>
              </w:rPr>
              <w:t>一键启动自定义设置：系统配备“一键启动自定义设置”功能，配备独立设置界面，支持用户根据需求自定义选择需一键启动的功能模块。可自定义的功能应包括功能柱展开、供水开启、照明开启、高压电开启。界面支持显示各功能的勾选状态，已勾选功能在执行一键启动指令时自动启动，未勾选功能保持关闭状态，以实现系统功能启动的灵活配置。</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2、给排水系统模块设置：</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2.1支持控制选中设备开启/关闭供水功能；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2.2支持控制选中设备启用一键排水功能；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2.3水位查看与管理：可实时查看污水桶水位，包括数值区间与状态识别。通过数值及图形方式显示当前污水桶水位，范围覆盖10%～90%；支持基于水位高度自动切换图标颜色来实时反映水位当前状态（低水位：0%～29%；正常水位：30%～69%；高水位：≥70%）；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3、供电系统模块设置：</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3.1支持控制选中设备开启/关闭AC220V高压电源输出；</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3.2支持对低压输出设备进行参数设置，包含不少于三种输出模式：</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3.2.1不限电压模式：输出电压可在量程范围内连续调节；</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3.2.2定值电压模式：根据用户设定的目标电压精准输出；</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3.2.3范围电压模式：支持由用户端设定电压上限，设定后只能在限定范围内输出电压；</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3.2.4当低压电源输入数值超过最大电压值时，进行超范围提示；</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3.3支持常用电压预设功能，不少于3个预设电压值，便于教学场景中快速调用；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3.4具备电压记忆功能，自动记忆上次设置参数，提升使用便捷性。</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4、照明系统模块设置：</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4.1支持控制所选设备的照明功能，包括照明的开启/关闭、亮度调节，照明亮度调节范围0%～100%；</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4.2支持护眼模式，实验模式以及其他模式自由选择，护眼及实验模式下支持实时查看对应功率、色温、显色指数、频闪波动深度。</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三、系统设置区:包含参数设置、密码设置、异常排查。</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1、参数设置：支持设置实验室名称/编号、定时关机时间、开机方式；</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2、密码管理：支持设置开机密码；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3、异常排查：支持查看设备异常日志、故障码手册；</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3.1设备异常日志：支持查看设备的异常信息，包含设备编号、异常信息及异常触发时间，支持按日期进行筛选；</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3.2故障码手册：支持查看对应故障码的异常原因及排查流程。</w:t>
            </w:r>
          </w:p>
        </w:tc>
        <w:tc>
          <w:tcPr>
            <w:tcW w:w="467" w:type="pct"/>
            <w:tcBorders>
              <w:top w:val="single" w:color="000000" w:sz="4" w:space="0"/>
              <w:left w:val="single" w:color="000000" w:sz="4" w:space="0"/>
              <w:bottom w:val="single" w:color="000000" w:sz="4" w:space="0"/>
              <w:right w:val="single" w:color="000000" w:sz="4" w:space="0"/>
            </w:tcBorders>
            <w:vAlign w:val="center"/>
          </w:tcPr>
          <w:p w14:paraId="3B49BBD7">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488" w:type="pct"/>
            <w:tcBorders>
              <w:top w:val="single" w:color="000000" w:sz="4" w:space="0"/>
              <w:left w:val="single" w:color="000000" w:sz="4" w:space="0"/>
              <w:bottom w:val="single" w:color="000000" w:sz="4" w:space="0"/>
              <w:right w:val="single" w:color="000000" w:sz="4" w:space="0"/>
            </w:tcBorders>
            <w:vAlign w:val="center"/>
          </w:tcPr>
          <w:p w14:paraId="02B571F7">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r>
      <w:tr w14:paraId="2B3E5465">
        <w:tblPrEx>
          <w:tblCellMar>
            <w:top w:w="0" w:type="dxa"/>
            <w:left w:w="108" w:type="dxa"/>
            <w:bottom w:w="0" w:type="dxa"/>
            <w:right w:w="108" w:type="dxa"/>
          </w:tblCellMar>
        </w:tblPrEx>
        <w:trPr>
          <w:trHeight w:val="560" w:hRule="atLeast"/>
        </w:trPr>
        <w:tc>
          <w:tcPr>
            <w:tcW w:w="420" w:type="pct"/>
            <w:tcBorders>
              <w:top w:val="single" w:color="000000" w:sz="4" w:space="0"/>
              <w:left w:val="single" w:color="000000" w:sz="4" w:space="0"/>
              <w:bottom w:val="single" w:color="000000" w:sz="4" w:space="0"/>
              <w:right w:val="single" w:color="000000" w:sz="4" w:space="0"/>
            </w:tcBorders>
            <w:noWrap/>
            <w:vAlign w:val="center"/>
          </w:tcPr>
          <w:p w14:paraId="172DF878">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w:t>
            </w:r>
          </w:p>
        </w:tc>
        <w:tc>
          <w:tcPr>
            <w:tcW w:w="752" w:type="pct"/>
            <w:tcBorders>
              <w:top w:val="single" w:color="000000" w:sz="4" w:space="0"/>
              <w:left w:val="single" w:color="000000" w:sz="4" w:space="0"/>
              <w:bottom w:val="single" w:color="000000" w:sz="4" w:space="0"/>
              <w:right w:val="single" w:color="000000" w:sz="4" w:space="0"/>
            </w:tcBorders>
            <w:vAlign w:val="center"/>
          </w:tcPr>
          <w:p w14:paraId="570C5E8C">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智能吊装综合监测系统</w:t>
            </w:r>
          </w:p>
        </w:tc>
        <w:tc>
          <w:tcPr>
            <w:tcW w:w="2871" w:type="pct"/>
            <w:tcBorders>
              <w:top w:val="single" w:color="000000" w:sz="4" w:space="0"/>
              <w:left w:val="single" w:color="000000" w:sz="4" w:space="0"/>
              <w:bottom w:val="single" w:color="000000" w:sz="4" w:space="0"/>
              <w:right w:val="single" w:color="000000" w:sz="4" w:space="0"/>
            </w:tcBorders>
            <w:vAlign w:val="center"/>
          </w:tcPr>
          <w:p w14:paraId="24F222F9">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1、统一展示系统运行过程中产生的各类状态信息，通过图形化界面与弹窗消息方式进行实时推送，提示设备数量、编号及状态；异常/故障提醒提供事故原因及排查建议。</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2、给排水系统模块包含以下提醒：</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2.1污水桶排水提醒：当任意设备污水桶水位达到≥70%时系统应自动触发提醒；支持点击跳转至水位查看与管理界面，实时查看污水桶水位信息，包括数值区间与状态识别。通过数值及图形方式显示当前污水桶水位，范围覆盖10%～90%；支持基于水位高度自动切换图标颜色来实时反映水位当前状态（低水位：0%～29%；正常水位：30%～69%；高水位：≥70%）；支持单选或全选设备，进行“一键排水”，对选中设备污水桶进行排水操作。</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2.2过滤网清洗提醒：单台设备累计排水次数超过200次时系统应自动触发提醒；支持跳转查看污水桶滤网清洗方法提示说明界面，提示说明以图文结合形式体现；</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2.3排水故障提醒：水位下降异常时系统应自动触发提醒；</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3、供电系统模块包含以下提醒：</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3.1高压过载提醒：检测到有设备电源高压过载时系统应自动触发提醒；支持选中过载设备一键自动复位；</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4、集成箱体模块包含以下提醒：</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4.1功能柱收展异常提醒：功能柱收展异常时系统应自动触发提醒；</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4.2设备通讯故障提醒：控制主机与吊装设备之间通讯异常时系统应自动触发提醒；</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5、系统集成报修机制：故障弹窗内集成“联系售后”按钮，点击后可查看售后电话，便于快速响应；所有故障记录支持查看。</w:t>
            </w:r>
          </w:p>
        </w:tc>
        <w:tc>
          <w:tcPr>
            <w:tcW w:w="467" w:type="pct"/>
            <w:tcBorders>
              <w:top w:val="single" w:color="000000" w:sz="4" w:space="0"/>
              <w:left w:val="single" w:color="000000" w:sz="4" w:space="0"/>
              <w:bottom w:val="single" w:color="000000" w:sz="4" w:space="0"/>
              <w:right w:val="single" w:color="000000" w:sz="4" w:space="0"/>
            </w:tcBorders>
            <w:vAlign w:val="center"/>
          </w:tcPr>
          <w:p w14:paraId="573C864B">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488" w:type="pct"/>
            <w:tcBorders>
              <w:top w:val="single" w:color="000000" w:sz="4" w:space="0"/>
              <w:left w:val="single" w:color="000000" w:sz="4" w:space="0"/>
              <w:bottom w:val="single" w:color="000000" w:sz="4" w:space="0"/>
              <w:right w:val="single" w:color="000000" w:sz="4" w:space="0"/>
            </w:tcBorders>
            <w:vAlign w:val="center"/>
          </w:tcPr>
          <w:p w14:paraId="1FBBF6A9">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r>
      <w:tr w14:paraId="47C4021F">
        <w:tblPrEx>
          <w:tblCellMar>
            <w:top w:w="0" w:type="dxa"/>
            <w:left w:w="108" w:type="dxa"/>
            <w:bottom w:w="0" w:type="dxa"/>
            <w:right w:w="108" w:type="dxa"/>
          </w:tblCellMar>
        </w:tblPrEx>
        <w:trPr>
          <w:trHeight w:val="560" w:hRule="atLeast"/>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14:paraId="1EB4293B">
            <w:pPr>
              <w:rPr>
                <w:rFonts w:hint="eastAsia" w:ascii="宋体" w:hAnsi="宋体" w:eastAsia="宋体" w:cs="宋体"/>
                <w:b/>
                <w:bCs/>
                <w:color w:val="auto"/>
                <w:sz w:val="21"/>
                <w:szCs w:val="21"/>
              </w:rPr>
            </w:pPr>
            <w:r>
              <w:rPr>
                <w:rFonts w:hint="eastAsia" w:ascii="宋体" w:hAnsi="宋体" w:eastAsia="宋体" w:cs="宋体"/>
                <w:b/>
                <w:bCs/>
                <w:color w:val="auto"/>
                <w:kern w:val="0"/>
                <w:sz w:val="21"/>
                <w:szCs w:val="21"/>
                <w:lang w:bidi="ar"/>
              </w:rPr>
              <w:t>二、学生实验学习区</w:t>
            </w:r>
          </w:p>
        </w:tc>
      </w:tr>
      <w:tr w14:paraId="1A5033EE">
        <w:tblPrEx>
          <w:tblCellMar>
            <w:top w:w="0" w:type="dxa"/>
            <w:left w:w="108" w:type="dxa"/>
            <w:bottom w:w="0" w:type="dxa"/>
            <w:right w:w="108" w:type="dxa"/>
          </w:tblCellMar>
        </w:tblPrEx>
        <w:trPr>
          <w:trHeight w:val="560" w:hRule="atLeast"/>
        </w:trPr>
        <w:tc>
          <w:tcPr>
            <w:tcW w:w="420" w:type="pct"/>
            <w:tcBorders>
              <w:top w:val="single" w:color="000000" w:sz="4" w:space="0"/>
              <w:left w:val="single" w:color="000000" w:sz="4" w:space="0"/>
              <w:bottom w:val="single" w:color="000000" w:sz="4" w:space="0"/>
              <w:right w:val="single" w:color="000000" w:sz="4" w:space="0"/>
            </w:tcBorders>
            <w:vAlign w:val="center"/>
          </w:tcPr>
          <w:p w14:paraId="07ED5C0E">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752" w:type="pct"/>
            <w:tcBorders>
              <w:top w:val="single" w:color="000000" w:sz="4" w:space="0"/>
              <w:left w:val="single" w:color="000000" w:sz="4" w:space="0"/>
              <w:bottom w:val="single" w:color="000000" w:sz="4" w:space="0"/>
              <w:right w:val="single" w:color="000000" w:sz="4" w:space="0"/>
            </w:tcBorders>
            <w:vAlign w:val="center"/>
          </w:tcPr>
          <w:p w14:paraId="45ED94C4">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实验桌</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（学生）</w:t>
            </w:r>
          </w:p>
        </w:tc>
        <w:tc>
          <w:tcPr>
            <w:tcW w:w="2871" w:type="pct"/>
            <w:tcBorders>
              <w:top w:val="single" w:color="000000" w:sz="4" w:space="0"/>
              <w:left w:val="single" w:color="000000" w:sz="4" w:space="0"/>
              <w:bottom w:val="single" w:color="000000" w:sz="4" w:space="0"/>
              <w:right w:val="single" w:color="000000" w:sz="4" w:space="0"/>
            </w:tcBorders>
            <w:vAlign w:val="center"/>
          </w:tcPr>
          <w:p w14:paraId="45F1E71B">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规格：≥1200mm（</w:t>
            </w:r>
            <w:r>
              <w:rPr>
                <w:rFonts w:hint="eastAsia" w:ascii="宋体" w:hAnsi="宋体" w:eastAsia="宋体" w:cs="宋体"/>
                <w:color w:val="auto"/>
                <w:kern w:val="0"/>
                <w:sz w:val="21"/>
                <w:szCs w:val="21"/>
                <w:lang w:eastAsia="zh-CN" w:bidi="ar"/>
              </w:rPr>
              <w:t>长</w:t>
            </w:r>
            <w:r>
              <w:rPr>
                <w:rFonts w:hint="eastAsia" w:ascii="宋体" w:hAnsi="宋体" w:eastAsia="宋体" w:cs="宋体"/>
                <w:color w:val="auto"/>
                <w:kern w:val="0"/>
                <w:sz w:val="21"/>
                <w:szCs w:val="21"/>
                <w:lang w:bidi="ar"/>
              </w:rPr>
              <w:t>）×600mm（</w:t>
            </w:r>
            <w:r>
              <w:rPr>
                <w:rFonts w:hint="eastAsia" w:ascii="宋体" w:hAnsi="宋体" w:eastAsia="宋体" w:cs="宋体"/>
                <w:color w:val="auto"/>
                <w:kern w:val="0"/>
                <w:sz w:val="21"/>
                <w:szCs w:val="21"/>
                <w:lang w:eastAsia="zh-CN" w:bidi="ar"/>
              </w:rPr>
              <w:t>宽</w:t>
            </w:r>
            <w:r>
              <w:rPr>
                <w:rFonts w:hint="eastAsia" w:ascii="宋体" w:hAnsi="宋体" w:eastAsia="宋体" w:cs="宋体"/>
                <w:color w:val="auto"/>
                <w:kern w:val="0"/>
                <w:sz w:val="21"/>
                <w:szCs w:val="21"/>
                <w:lang w:bidi="ar"/>
              </w:rPr>
              <w:t>）×780mm（</w:t>
            </w:r>
            <w:r>
              <w:rPr>
                <w:rFonts w:hint="eastAsia" w:ascii="宋体" w:hAnsi="宋体" w:eastAsia="宋体" w:cs="宋体"/>
                <w:color w:val="auto"/>
                <w:kern w:val="0"/>
                <w:sz w:val="21"/>
                <w:szCs w:val="21"/>
                <w:lang w:eastAsia="zh-CN" w:bidi="ar"/>
              </w:rPr>
              <w:t>高</w:t>
            </w: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台面：采用厚度≥12.7mm实芯理化板，整体为高温高压成型的均质实芯结构，耐酸碱、耐高温、耐磨、防潮；台面表层采用六边形蜂窝状压纹设计，单个六边形边长≥2.5mm，压纹深度0.2mm-0.3mm，整体压纹均匀一致，一体热压成型，具备防滑、耐磨功能；台面四周边缘经圆弧倒角处理，边角圆滑过渡，无毛刺。</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工艺：桌体采用ABS塑料，一体化注塑成型,具有耐化学腐蚀、耐热、电绝缘性、耐候性等性能。外表面和内表面可触及的隐蔽处，均无锐利的棱角、毛刺；五金配件露出的尖锐边角以及所有接触人体的边棱均为倒圆角。</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3.桌体结构：塑钢结构。</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4.桌体规格：≥1130mm（</w:t>
            </w:r>
            <w:r>
              <w:rPr>
                <w:rFonts w:hint="eastAsia" w:ascii="宋体" w:hAnsi="宋体" w:eastAsia="宋体" w:cs="宋体"/>
                <w:color w:val="auto"/>
                <w:kern w:val="0"/>
                <w:sz w:val="21"/>
                <w:szCs w:val="21"/>
                <w:lang w:eastAsia="zh-CN" w:bidi="ar"/>
              </w:rPr>
              <w:t>长</w:t>
            </w:r>
            <w:r>
              <w:rPr>
                <w:rFonts w:hint="eastAsia" w:ascii="宋体" w:hAnsi="宋体" w:eastAsia="宋体" w:cs="宋体"/>
                <w:color w:val="auto"/>
                <w:kern w:val="0"/>
                <w:sz w:val="21"/>
                <w:szCs w:val="21"/>
                <w:lang w:bidi="ar"/>
              </w:rPr>
              <w:t>）×555mm（</w:t>
            </w:r>
            <w:r>
              <w:rPr>
                <w:rFonts w:hint="eastAsia" w:ascii="宋体" w:hAnsi="宋体" w:eastAsia="宋体" w:cs="宋体"/>
                <w:color w:val="auto"/>
                <w:kern w:val="0"/>
                <w:sz w:val="21"/>
                <w:szCs w:val="21"/>
                <w:lang w:eastAsia="zh-CN" w:bidi="ar"/>
              </w:rPr>
              <w:t>宽</w:t>
            </w:r>
            <w:r>
              <w:rPr>
                <w:rFonts w:hint="eastAsia" w:ascii="宋体" w:hAnsi="宋体" w:eastAsia="宋体" w:cs="宋体"/>
                <w:color w:val="auto"/>
                <w:kern w:val="0"/>
                <w:sz w:val="21"/>
                <w:szCs w:val="21"/>
                <w:lang w:bidi="ar"/>
              </w:rPr>
              <w:t>）×735mm（</w:t>
            </w:r>
            <w:r>
              <w:rPr>
                <w:rFonts w:hint="eastAsia" w:ascii="宋体" w:hAnsi="宋体" w:eastAsia="宋体" w:cs="宋体"/>
                <w:color w:val="auto"/>
                <w:kern w:val="0"/>
                <w:sz w:val="21"/>
                <w:szCs w:val="21"/>
                <w:lang w:eastAsia="zh-CN" w:bidi="ar"/>
              </w:rPr>
              <w:t>高</w:t>
            </w:r>
            <w:r>
              <w:rPr>
                <w:rFonts w:hint="eastAsia" w:ascii="宋体" w:hAnsi="宋体" w:eastAsia="宋体" w:cs="宋体"/>
                <w:color w:val="auto"/>
                <w:kern w:val="0"/>
                <w:sz w:val="21"/>
                <w:szCs w:val="21"/>
                <w:lang w:bidi="ar"/>
              </w:rPr>
              <w:t>）,主体承重结构由桌体两侧规格为≥370mm×735mm的铁侧板与不少于2根规格为≥20mm×50mm×1150mm的铝合金型材支撑梁连接而成，承重设计需在减轻桌体整体重量的同时最大限度的保证桌体的最大承重性。桌身背面由背板组成，背板设置加强筋结构，通过五金件与铝合金支撑梁连接。桌身前部满足腿部延伸空间，符合人体工程学标准。桌身前立板上部与抽屉架连接，设有规格≥380mm×200mm×110mm的2个翻盖式书包斗，具有隐蔽性及防掉落功能。书包斗中间为抽屉斗。</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前立板下部设有规格≥300mm×470mm×3mm仓门，存储空间大，防潮湿性能优越。面板中部有管线检修口，方便管线的日常维修。</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5.可调脚：采用ABS与合金材质组成，高≥30mm，减震防滑。可延长设备的使用期限。</w:t>
            </w:r>
          </w:p>
        </w:tc>
        <w:tc>
          <w:tcPr>
            <w:tcW w:w="467" w:type="pct"/>
            <w:tcBorders>
              <w:top w:val="single" w:color="000000" w:sz="4" w:space="0"/>
              <w:left w:val="single" w:color="000000" w:sz="4" w:space="0"/>
              <w:bottom w:val="single" w:color="000000" w:sz="4" w:space="0"/>
              <w:right w:val="single" w:color="000000" w:sz="4" w:space="0"/>
            </w:tcBorders>
            <w:vAlign w:val="center"/>
          </w:tcPr>
          <w:p w14:paraId="78A3E30A">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28</w:t>
            </w:r>
          </w:p>
        </w:tc>
        <w:tc>
          <w:tcPr>
            <w:tcW w:w="488" w:type="pct"/>
            <w:tcBorders>
              <w:top w:val="single" w:color="000000" w:sz="4" w:space="0"/>
              <w:left w:val="single" w:color="000000" w:sz="4" w:space="0"/>
              <w:bottom w:val="single" w:color="000000" w:sz="4" w:space="0"/>
              <w:right w:val="single" w:color="000000" w:sz="4" w:space="0"/>
            </w:tcBorders>
            <w:vAlign w:val="center"/>
          </w:tcPr>
          <w:p w14:paraId="3719B300">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张</w:t>
            </w:r>
          </w:p>
        </w:tc>
      </w:tr>
      <w:tr w14:paraId="3EEA9E3C">
        <w:tblPrEx>
          <w:tblCellMar>
            <w:top w:w="0" w:type="dxa"/>
            <w:left w:w="108" w:type="dxa"/>
            <w:bottom w:w="0" w:type="dxa"/>
            <w:right w:w="108" w:type="dxa"/>
          </w:tblCellMar>
        </w:tblPrEx>
        <w:trPr>
          <w:trHeight w:val="560" w:hRule="atLeast"/>
        </w:trPr>
        <w:tc>
          <w:tcPr>
            <w:tcW w:w="420" w:type="pct"/>
            <w:tcBorders>
              <w:top w:val="single" w:color="000000" w:sz="4" w:space="0"/>
              <w:left w:val="single" w:color="000000" w:sz="4" w:space="0"/>
              <w:bottom w:val="single" w:color="000000" w:sz="4" w:space="0"/>
              <w:right w:val="single" w:color="000000" w:sz="4" w:space="0"/>
            </w:tcBorders>
            <w:vAlign w:val="center"/>
          </w:tcPr>
          <w:p w14:paraId="57EA2DF5">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w:t>
            </w:r>
          </w:p>
        </w:tc>
        <w:tc>
          <w:tcPr>
            <w:tcW w:w="752" w:type="pct"/>
            <w:tcBorders>
              <w:top w:val="single" w:color="000000" w:sz="4" w:space="0"/>
              <w:left w:val="single" w:color="000000" w:sz="4" w:space="0"/>
              <w:bottom w:val="single" w:color="000000" w:sz="4" w:space="0"/>
              <w:right w:val="single" w:color="000000" w:sz="4" w:space="0"/>
            </w:tcBorders>
            <w:vAlign w:val="center"/>
          </w:tcPr>
          <w:p w14:paraId="4D264E19">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学生凳</w:t>
            </w:r>
          </w:p>
        </w:tc>
        <w:tc>
          <w:tcPr>
            <w:tcW w:w="2871" w:type="pct"/>
            <w:tcBorders>
              <w:top w:val="single" w:color="000000" w:sz="4" w:space="0"/>
              <w:left w:val="single" w:color="000000" w:sz="4" w:space="0"/>
              <w:bottom w:val="single" w:color="000000" w:sz="4" w:space="0"/>
              <w:right w:val="single" w:color="000000" w:sz="4" w:space="0"/>
            </w:tcBorders>
            <w:vAlign w:val="center"/>
          </w:tcPr>
          <w:p w14:paraId="09232939">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1、规格：≥φ300mm×440mm；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2、凳面：采用ABS环保材质一体注塑成型，防摔耐磨。人体工程学设计，中间有内弧成型，深度≥8mm；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3、升降式螺杆：直径≥20mm螺纹碳钢，配合高强度钢制托盘于凳面底部固定；支持调节凳子高度，升降≥50mm；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val="en-US" w:eastAsia="zh-CN" w:bidi="ar"/>
              </w:rPr>
              <w:t>4</w:t>
            </w:r>
            <w:r>
              <w:rPr>
                <w:rFonts w:hint="eastAsia" w:ascii="宋体" w:hAnsi="宋体" w:eastAsia="宋体" w:cs="宋体"/>
                <w:color w:val="auto"/>
                <w:kern w:val="0"/>
                <w:sz w:val="21"/>
                <w:szCs w:val="21"/>
                <w:lang w:bidi="ar"/>
              </w:rPr>
              <w:t>、钢脚架：由壁厚≥1.2mm椭圆形钢管及壁厚≥1.5mm圆钢管焊接组成，表面经高温烤漆处理；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val="en-US" w:eastAsia="zh-CN" w:bidi="ar"/>
              </w:rPr>
              <w:t>5</w:t>
            </w:r>
            <w:r>
              <w:rPr>
                <w:rFonts w:hint="eastAsia" w:ascii="宋体" w:hAnsi="宋体" w:eastAsia="宋体" w:cs="宋体"/>
                <w:color w:val="auto"/>
                <w:kern w:val="0"/>
                <w:sz w:val="21"/>
                <w:szCs w:val="21"/>
                <w:lang w:bidi="ar"/>
              </w:rPr>
              <w:t>、脚垫：塑胶材质，采用PP加纤维制实心倒勾式一体注塑成型，防水防滑。</w:t>
            </w:r>
          </w:p>
        </w:tc>
        <w:tc>
          <w:tcPr>
            <w:tcW w:w="467" w:type="pct"/>
            <w:tcBorders>
              <w:top w:val="single" w:color="000000" w:sz="4" w:space="0"/>
              <w:left w:val="single" w:color="000000" w:sz="4" w:space="0"/>
              <w:bottom w:val="single" w:color="000000" w:sz="4" w:space="0"/>
              <w:right w:val="single" w:color="000000" w:sz="4" w:space="0"/>
            </w:tcBorders>
            <w:vAlign w:val="center"/>
          </w:tcPr>
          <w:p w14:paraId="355B77AA">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56</w:t>
            </w:r>
          </w:p>
        </w:tc>
        <w:tc>
          <w:tcPr>
            <w:tcW w:w="488" w:type="pct"/>
            <w:tcBorders>
              <w:top w:val="single" w:color="000000" w:sz="4" w:space="0"/>
              <w:left w:val="single" w:color="000000" w:sz="4" w:space="0"/>
              <w:bottom w:val="single" w:color="000000" w:sz="4" w:space="0"/>
              <w:right w:val="single" w:color="000000" w:sz="4" w:space="0"/>
            </w:tcBorders>
            <w:vAlign w:val="center"/>
          </w:tcPr>
          <w:p w14:paraId="4A509EE7">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个</w:t>
            </w:r>
          </w:p>
        </w:tc>
      </w:tr>
      <w:tr w14:paraId="0ECDA01F">
        <w:tblPrEx>
          <w:tblCellMar>
            <w:top w:w="0" w:type="dxa"/>
            <w:left w:w="108" w:type="dxa"/>
            <w:bottom w:w="0" w:type="dxa"/>
            <w:right w:w="108" w:type="dxa"/>
          </w:tblCellMar>
        </w:tblPrEx>
        <w:trPr>
          <w:trHeight w:val="560" w:hRule="atLeast"/>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14:paraId="3FD7B590">
            <w:pPr>
              <w:rPr>
                <w:rFonts w:hint="eastAsia" w:ascii="宋体" w:hAnsi="宋体" w:eastAsia="宋体" w:cs="宋体"/>
                <w:b/>
                <w:bCs/>
                <w:color w:val="auto"/>
                <w:sz w:val="21"/>
                <w:szCs w:val="21"/>
              </w:rPr>
            </w:pPr>
            <w:r>
              <w:rPr>
                <w:rFonts w:hint="eastAsia" w:ascii="宋体" w:hAnsi="宋体" w:eastAsia="宋体" w:cs="宋体"/>
                <w:b/>
                <w:bCs/>
                <w:color w:val="auto"/>
                <w:kern w:val="0"/>
                <w:sz w:val="21"/>
                <w:szCs w:val="21"/>
                <w:lang w:bidi="ar"/>
              </w:rPr>
              <w:t>三、智能吊装集成系统</w:t>
            </w:r>
          </w:p>
        </w:tc>
      </w:tr>
      <w:tr w14:paraId="37915FDE">
        <w:tblPrEx>
          <w:tblCellMar>
            <w:top w:w="0" w:type="dxa"/>
            <w:left w:w="108" w:type="dxa"/>
            <w:bottom w:w="0" w:type="dxa"/>
            <w:right w:w="108" w:type="dxa"/>
          </w:tblCellMar>
        </w:tblPrEx>
        <w:trPr>
          <w:trHeight w:val="560" w:hRule="atLeast"/>
        </w:trPr>
        <w:tc>
          <w:tcPr>
            <w:tcW w:w="420" w:type="pct"/>
            <w:tcBorders>
              <w:top w:val="single" w:color="000000" w:sz="4" w:space="0"/>
              <w:left w:val="single" w:color="000000" w:sz="4" w:space="0"/>
              <w:bottom w:val="single" w:color="000000" w:sz="4" w:space="0"/>
              <w:right w:val="single" w:color="000000" w:sz="4" w:space="0"/>
            </w:tcBorders>
            <w:vAlign w:val="center"/>
          </w:tcPr>
          <w:p w14:paraId="2923DD93">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752" w:type="pct"/>
            <w:tcBorders>
              <w:top w:val="single" w:color="000000" w:sz="4" w:space="0"/>
              <w:left w:val="single" w:color="000000" w:sz="4" w:space="0"/>
              <w:bottom w:val="single" w:color="000000" w:sz="4" w:space="0"/>
              <w:right w:val="single" w:color="000000" w:sz="4" w:space="0"/>
            </w:tcBorders>
            <w:vAlign w:val="center"/>
          </w:tcPr>
          <w:p w14:paraId="43E3917B">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集成箱体模块</w:t>
            </w:r>
          </w:p>
        </w:tc>
        <w:tc>
          <w:tcPr>
            <w:tcW w:w="2871" w:type="pct"/>
            <w:tcBorders>
              <w:top w:val="single" w:color="000000" w:sz="4" w:space="0"/>
              <w:left w:val="single" w:color="000000" w:sz="4" w:space="0"/>
              <w:bottom w:val="single" w:color="000000" w:sz="4" w:space="0"/>
              <w:right w:val="single" w:color="000000" w:sz="4" w:space="0"/>
            </w:tcBorders>
            <w:vAlign w:val="center"/>
          </w:tcPr>
          <w:p w14:paraId="65D15CA8">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构成：由箱体、功能柱构成。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一、箱体：整体规格≥1200mm×500mm×170mm，箱体采用铝合金挤出成型，壁厚1.5mm（±0.2mm）；防尘板、底板均采用镀锌板，壁厚0.8mm（±0.1mm）；各部件表面均经环氧树脂粉末喷涂并高温固化处理。配置转轴保护罩，规格≥280mm×250mm×130mm，采用工程塑料一体注塑成型。</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二、功能柱：整体规格≥180mm×170mm×950mm，由功能柱柱体、系统模块安装面板、介质连接组件组成。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1、功能柱柱体：≥180mm×100mm×950mm，采用铝合金材质挤出成型，壁厚2mm（±0.2mm），金属表面经环氧树脂粉末喷涂并高温固化处理。采用DC24V推杆电机升降，升降角度：0-90°，行程范围：0-250mm；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系统模块安装面板：规格≥180mm×70mm×830mm，由控制单元安装面板、状态监测系统模块安装面板、供电系统模块安装面板组成；控制单元安装面板、状态监测系统模块安装面板：≥180mm×70mm×200mm；供电系统模块安装面板≥180mm×70mm×400mm，支持嵌入式安装4.3英寸（偏差±5%）低压电源操作屏，支持安装不少于2个220V五孔插座、2个USB供电接口、2个RJ45网络接口、2对低压输出接口、1个急停按钮；所有模块安装面板均采用工程塑料一体注塑成型；</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3、介质连接组件：采用工程塑料一体注塑成型，安装于功能柱柱体底端。支持水路、电路、通信线路等多介质接口集成安装，并具备独立隔离布置结构。</w:t>
            </w:r>
          </w:p>
        </w:tc>
        <w:tc>
          <w:tcPr>
            <w:tcW w:w="467" w:type="pct"/>
            <w:tcBorders>
              <w:top w:val="single" w:color="000000" w:sz="4" w:space="0"/>
              <w:left w:val="single" w:color="000000" w:sz="4" w:space="0"/>
              <w:bottom w:val="single" w:color="000000" w:sz="4" w:space="0"/>
              <w:right w:val="single" w:color="000000" w:sz="4" w:space="0"/>
            </w:tcBorders>
            <w:vAlign w:val="center"/>
          </w:tcPr>
          <w:p w14:paraId="7FAF51AE">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w:t>
            </w:r>
          </w:p>
        </w:tc>
        <w:tc>
          <w:tcPr>
            <w:tcW w:w="488" w:type="pct"/>
            <w:tcBorders>
              <w:top w:val="single" w:color="000000" w:sz="4" w:space="0"/>
              <w:left w:val="single" w:color="000000" w:sz="4" w:space="0"/>
              <w:bottom w:val="single" w:color="000000" w:sz="4" w:space="0"/>
              <w:right w:val="single" w:color="000000" w:sz="4" w:space="0"/>
            </w:tcBorders>
            <w:vAlign w:val="center"/>
          </w:tcPr>
          <w:p w14:paraId="18655369">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组</w:t>
            </w:r>
          </w:p>
        </w:tc>
      </w:tr>
      <w:tr w14:paraId="0CF7CB4E">
        <w:tblPrEx>
          <w:tblCellMar>
            <w:top w:w="0" w:type="dxa"/>
            <w:left w:w="108" w:type="dxa"/>
            <w:bottom w:w="0" w:type="dxa"/>
            <w:right w:w="108" w:type="dxa"/>
          </w:tblCellMar>
        </w:tblPrEx>
        <w:trPr>
          <w:trHeight w:val="560" w:hRule="atLeast"/>
        </w:trPr>
        <w:tc>
          <w:tcPr>
            <w:tcW w:w="420" w:type="pct"/>
            <w:tcBorders>
              <w:top w:val="single" w:color="000000" w:sz="4" w:space="0"/>
              <w:left w:val="single" w:color="000000" w:sz="4" w:space="0"/>
              <w:bottom w:val="single" w:color="000000" w:sz="4" w:space="0"/>
              <w:right w:val="single" w:color="000000" w:sz="4" w:space="0"/>
            </w:tcBorders>
            <w:vAlign w:val="center"/>
          </w:tcPr>
          <w:p w14:paraId="387C3D03">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4E45A042">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照明系统模块</w:t>
            </w:r>
          </w:p>
        </w:tc>
        <w:tc>
          <w:tcPr>
            <w:tcW w:w="2871" w:type="pct"/>
            <w:tcBorders>
              <w:top w:val="single" w:color="000000" w:sz="4" w:space="0"/>
              <w:left w:val="single" w:color="000000" w:sz="4" w:space="0"/>
              <w:bottom w:val="single" w:color="000000" w:sz="4" w:space="0"/>
              <w:right w:val="single" w:color="000000" w:sz="4" w:space="0"/>
            </w:tcBorders>
            <w:vAlign w:val="center"/>
          </w:tcPr>
          <w:p w14:paraId="093FCEDB">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1、采用双灯带设计，单灯带规格：≥1100mm×35mm，扩散板采用防眩微菱晶结构；</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2、功率：32W±3W，色温：5000k±300k，功率因数≥0.9，显色指数≥90，光效≥90 Lm/W，频闪波动深度≤0.5%；</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3、支持亮度调节功能，亮度调节范围0-100%。</w:t>
            </w:r>
          </w:p>
        </w:tc>
        <w:tc>
          <w:tcPr>
            <w:tcW w:w="467" w:type="pct"/>
            <w:tcBorders>
              <w:top w:val="single" w:color="000000" w:sz="4" w:space="0"/>
              <w:left w:val="single" w:color="000000" w:sz="4" w:space="0"/>
              <w:bottom w:val="single" w:color="000000" w:sz="4" w:space="0"/>
              <w:right w:val="single" w:color="000000" w:sz="4" w:space="0"/>
            </w:tcBorders>
            <w:vAlign w:val="center"/>
          </w:tcPr>
          <w:p w14:paraId="05C06182">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w:t>
            </w:r>
          </w:p>
        </w:tc>
        <w:tc>
          <w:tcPr>
            <w:tcW w:w="488" w:type="pct"/>
            <w:tcBorders>
              <w:top w:val="single" w:color="000000" w:sz="4" w:space="0"/>
              <w:left w:val="single" w:color="000000" w:sz="4" w:space="0"/>
              <w:bottom w:val="single" w:color="000000" w:sz="4" w:space="0"/>
              <w:right w:val="single" w:color="000000" w:sz="4" w:space="0"/>
            </w:tcBorders>
            <w:vAlign w:val="center"/>
          </w:tcPr>
          <w:p w14:paraId="0EF5A272">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组</w:t>
            </w:r>
          </w:p>
        </w:tc>
      </w:tr>
      <w:tr w14:paraId="65C81147">
        <w:tblPrEx>
          <w:tblCellMar>
            <w:top w:w="0" w:type="dxa"/>
            <w:left w:w="108" w:type="dxa"/>
            <w:bottom w:w="0" w:type="dxa"/>
            <w:right w:w="108" w:type="dxa"/>
          </w:tblCellMar>
        </w:tblPrEx>
        <w:trPr>
          <w:trHeight w:val="560" w:hRule="atLeast"/>
        </w:trPr>
        <w:tc>
          <w:tcPr>
            <w:tcW w:w="420" w:type="pct"/>
            <w:tcBorders>
              <w:top w:val="single" w:color="000000" w:sz="4" w:space="0"/>
              <w:left w:val="single" w:color="000000" w:sz="4" w:space="0"/>
              <w:bottom w:val="single" w:color="000000" w:sz="4" w:space="0"/>
              <w:right w:val="single" w:color="000000" w:sz="4" w:space="0"/>
            </w:tcBorders>
            <w:vAlign w:val="center"/>
          </w:tcPr>
          <w:p w14:paraId="25ECEF46">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w:t>
            </w:r>
          </w:p>
        </w:tc>
        <w:tc>
          <w:tcPr>
            <w:tcW w:w="752" w:type="pct"/>
            <w:tcBorders>
              <w:top w:val="single" w:color="000000" w:sz="4" w:space="0"/>
              <w:left w:val="single" w:color="000000" w:sz="4" w:space="0"/>
              <w:bottom w:val="single" w:color="000000" w:sz="4" w:space="0"/>
              <w:right w:val="single" w:color="000000" w:sz="4" w:space="0"/>
            </w:tcBorders>
            <w:vAlign w:val="center"/>
          </w:tcPr>
          <w:p w14:paraId="69A76564">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供电系统模块</w:t>
            </w:r>
          </w:p>
        </w:tc>
        <w:tc>
          <w:tcPr>
            <w:tcW w:w="2871" w:type="pct"/>
            <w:tcBorders>
              <w:top w:val="single" w:color="000000" w:sz="4" w:space="0"/>
              <w:left w:val="single" w:color="000000" w:sz="4" w:space="0"/>
              <w:bottom w:val="single" w:color="000000" w:sz="4" w:space="0"/>
              <w:right w:val="single" w:color="000000" w:sz="4" w:space="0"/>
            </w:tcBorders>
            <w:vAlign w:val="center"/>
          </w:tcPr>
          <w:p w14:paraId="0C2CE27A">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整体规格：≥180mm×70mm×400mm；由数据交互单元、低压输出单元、高压输出单元、拓展接口单元、急停控制单元构成。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一、数据交互单元：</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1、采用4.3英寸（偏差±5%）液晶显示屏，可触屏设置低压直流、交流输出，支持实时显示输出电压、电流值；</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工作模式：低压直流输出量程0-24V，调节精度均≤0.1V，额定电流≥3A；低压交流输出量程0-15V，调节精度均≤0.1V，额定电流≥3A；均具备过载输出保护；至少支持不限电压供电、定值电压供电、范围电压供电三种模式；</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2.1 不限电压供电模式：支持在设备量程范围内，对低压电源的交流、直流输出电压进行连续可调设置；</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2.2 定值电压供电模式：支持由控制端预设低压电源交流或直流输出电压；设定完成后，用户端无电压调节权限，仅可按设定值输出；</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2.3 范围电压供电模式：支持由控制端设定低压电源交流或直流输出电压范围；设定完成后，用户仅可在限定范围内进行调节。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二、低压输出单元：配置≥2对低压输出接口、≥2套红黑低压香蕉线。</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三、高压输出单元：设置≥2路220V五孔插座，额定电流≥5A，带防触电保护门。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四、拓展接口单元：设置≥2个USB供电接口；设置≥2个RJ45网络接口，支持≥100Mbps有线网络通信。</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五、急停单元：配置急停旋钮，可实现电源强制中断；支持手动复位。</w:t>
            </w:r>
          </w:p>
        </w:tc>
        <w:tc>
          <w:tcPr>
            <w:tcW w:w="467" w:type="pct"/>
            <w:tcBorders>
              <w:top w:val="single" w:color="000000" w:sz="4" w:space="0"/>
              <w:left w:val="single" w:color="000000" w:sz="4" w:space="0"/>
              <w:bottom w:val="single" w:color="000000" w:sz="4" w:space="0"/>
              <w:right w:val="single" w:color="000000" w:sz="4" w:space="0"/>
            </w:tcBorders>
            <w:vAlign w:val="center"/>
          </w:tcPr>
          <w:p w14:paraId="32926676">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w:t>
            </w:r>
          </w:p>
        </w:tc>
        <w:tc>
          <w:tcPr>
            <w:tcW w:w="488" w:type="pct"/>
            <w:tcBorders>
              <w:top w:val="single" w:color="000000" w:sz="4" w:space="0"/>
              <w:left w:val="single" w:color="000000" w:sz="4" w:space="0"/>
              <w:bottom w:val="single" w:color="000000" w:sz="4" w:space="0"/>
              <w:right w:val="single" w:color="000000" w:sz="4" w:space="0"/>
            </w:tcBorders>
            <w:vAlign w:val="center"/>
          </w:tcPr>
          <w:p w14:paraId="16AB3C9F">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组</w:t>
            </w:r>
          </w:p>
        </w:tc>
      </w:tr>
      <w:tr w14:paraId="586EFA0B">
        <w:tblPrEx>
          <w:tblCellMar>
            <w:top w:w="0" w:type="dxa"/>
            <w:left w:w="108" w:type="dxa"/>
            <w:bottom w:w="0" w:type="dxa"/>
            <w:right w:w="108" w:type="dxa"/>
          </w:tblCellMar>
        </w:tblPrEx>
        <w:trPr>
          <w:trHeight w:val="560" w:hRule="atLeast"/>
        </w:trPr>
        <w:tc>
          <w:tcPr>
            <w:tcW w:w="420" w:type="pct"/>
            <w:tcBorders>
              <w:top w:val="single" w:color="000000" w:sz="4" w:space="0"/>
              <w:left w:val="single" w:color="000000" w:sz="4" w:space="0"/>
              <w:bottom w:val="single" w:color="000000" w:sz="4" w:space="0"/>
              <w:right w:val="single" w:color="000000" w:sz="4" w:space="0"/>
            </w:tcBorders>
            <w:vAlign w:val="center"/>
          </w:tcPr>
          <w:p w14:paraId="7A9A85D2">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w:t>
            </w:r>
          </w:p>
        </w:tc>
        <w:tc>
          <w:tcPr>
            <w:tcW w:w="752" w:type="pct"/>
            <w:tcBorders>
              <w:top w:val="single" w:color="000000" w:sz="4" w:space="0"/>
              <w:left w:val="single" w:color="000000" w:sz="4" w:space="0"/>
              <w:bottom w:val="single" w:color="000000" w:sz="4" w:space="0"/>
              <w:right w:val="single" w:color="000000" w:sz="4" w:space="0"/>
            </w:tcBorders>
            <w:vAlign w:val="center"/>
          </w:tcPr>
          <w:p w14:paraId="5C4434E9">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给排水系统模块</w:t>
            </w:r>
          </w:p>
        </w:tc>
        <w:tc>
          <w:tcPr>
            <w:tcW w:w="2871" w:type="pct"/>
            <w:tcBorders>
              <w:top w:val="single" w:color="000000" w:sz="4" w:space="0"/>
              <w:left w:val="single" w:color="000000" w:sz="4" w:space="0"/>
              <w:bottom w:val="single" w:color="000000" w:sz="4" w:space="0"/>
              <w:right w:val="single" w:color="000000" w:sz="4" w:space="0"/>
            </w:tcBorders>
            <w:vAlign w:val="center"/>
          </w:tcPr>
          <w:p w14:paraId="1240DB32">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由给/排水接口单元、废水收集排放单元、排水控制系统单元构成。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一、给/排水接口单元：进、出水口置于功能柱底部，接口均采用带防溢水功能快速水管接口，插拔式自动锁紧连接方式，插拔后自动止水。</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二、废水收集排放单元：</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配置独立污水桶作为临时储水单元，连接主系统排水模块；主体采用聚丙烯一体化注塑成型，封闭式桶体结构，配置可开启桶盖，容积≥10L，深度≥30cm，上下口径≥20cm；设有专用进水口与排气孔；内置过滤装置，规格≥φ120mm×270mm；圆柱体网格结构，主体材质采用PP+尼龙；可拆卸设计，与桶盖采用旋转卡扣式连接；内置可更换滤网；</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2、内置≥8组液位传感器，可实时监测桶内10%-90%范围水位高度；</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3、内置≥24V低压无刷直流水泵，扬程≥10m，排水量≥30L/min。</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三、排水控制系统单元：</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1、自动排水功能：当液位达到设定阈值时，自动触发排水；</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2、手动排水功能：系统配备专用手动排水按键，用户可根据需求手动启动排水流程。</w:t>
            </w:r>
          </w:p>
        </w:tc>
        <w:tc>
          <w:tcPr>
            <w:tcW w:w="467" w:type="pct"/>
            <w:tcBorders>
              <w:top w:val="single" w:color="000000" w:sz="4" w:space="0"/>
              <w:left w:val="single" w:color="000000" w:sz="4" w:space="0"/>
              <w:bottom w:val="single" w:color="000000" w:sz="4" w:space="0"/>
              <w:right w:val="single" w:color="000000" w:sz="4" w:space="0"/>
            </w:tcBorders>
            <w:vAlign w:val="center"/>
          </w:tcPr>
          <w:p w14:paraId="21E9E72B">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w:t>
            </w:r>
          </w:p>
        </w:tc>
        <w:tc>
          <w:tcPr>
            <w:tcW w:w="488" w:type="pct"/>
            <w:tcBorders>
              <w:top w:val="single" w:color="000000" w:sz="4" w:space="0"/>
              <w:left w:val="single" w:color="000000" w:sz="4" w:space="0"/>
              <w:bottom w:val="single" w:color="000000" w:sz="4" w:space="0"/>
              <w:right w:val="single" w:color="000000" w:sz="4" w:space="0"/>
            </w:tcBorders>
            <w:vAlign w:val="center"/>
          </w:tcPr>
          <w:p w14:paraId="72E5EF4A">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组</w:t>
            </w:r>
          </w:p>
        </w:tc>
      </w:tr>
      <w:tr w14:paraId="65355D09">
        <w:tblPrEx>
          <w:tblCellMar>
            <w:top w:w="0" w:type="dxa"/>
            <w:left w:w="108" w:type="dxa"/>
            <w:bottom w:w="0" w:type="dxa"/>
            <w:right w:w="108" w:type="dxa"/>
          </w:tblCellMar>
        </w:tblPrEx>
        <w:trPr>
          <w:trHeight w:val="560" w:hRule="atLeast"/>
        </w:trPr>
        <w:tc>
          <w:tcPr>
            <w:tcW w:w="420" w:type="pct"/>
            <w:tcBorders>
              <w:top w:val="single" w:color="000000" w:sz="4" w:space="0"/>
              <w:left w:val="single" w:color="000000" w:sz="4" w:space="0"/>
              <w:bottom w:val="single" w:color="000000" w:sz="4" w:space="0"/>
              <w:right w:val="single" w:color="000000" w:sz="4" w:space="0"/>
            </w:tcBorders>
            <w:vAlign w:val="center"/>
          </w:tcPr>
          <w:p w14:paraId="26042654">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w:t>
            </w:r>
          </w:p>
        </w:tc>
        <w:tc>
          <w:tcPr>
            <w:tcW w:w="752" w:type="pct"/>
            <w:tcBorders>
              <w:top w:val="single" w:color="000000" w:sz="4" w:space="0"/>
              <w:left w:val="single" w:color="000000" w:sz="4" w:space="0"/>
              <w:bottom w:val="single" w:color="000000" w:sz="4" w:space="0"/>
              <w:right w:val="single" w:color="000000" w:sz="4" w:space="0"/>
            </w:tcBorders>
            <w:vAlign w:val="center"/>
          </w:tcPr>
          <w:p w14:paraId="5D13C653">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状态监测系统模块</w:t>
            </w:r>
          </w:p>
        </w:tc>
        <w:tc>
          <w:tcPr>
            <w:tcW w:w="2871" w:type="pct"/>
            <w:tcBorders>
              <w:top w:val="single" w:color="000000" w:sz="4" w:space="0"/>
              <w:left w:val="single" w:color="000000" w:sz="4" w:space="0"/>
              <w:bottom w:val="single" w:color="000000" w:sz="4" w:space="0"/>
              <w:right w:val="single" w:color="000000" w:sz="4" w:space="0"/>
            </w:tcBorders>
            <w:vAlign w:val="center"/>
          </w:tcPr>
          <w:p w14:paraId="30C1B260">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由设备状态指示单元、设备状态检测单元构成。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一、设备状态指示单元：配置≥90mm×60mm显示屏，以图形化界面+数字信息方式，实时显示各个功能模块工作状态，包含以下状态指示：</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1、环境监测信息显示：显示当前环境温度（℃）、湿度（%RH），精度分别不低于±0.5℃和±3%RH；</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2、给水状态指示：显示给水系统当前启/停状态；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3、排水状态指示：显示排水系统当前启/停状态；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4、照明状态指示：显示照明开关及照明亮度百分比，分辨率≥1%；</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5、信号线连接指示：显示信号线连接状态（连接/未连接）；</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6、网络线连接指示：显示网络连接状态（连接/未连接）；</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7、故障信息显示：支持多项功能模块的故障代码显示。</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二、设备状态检测单元：配置≥130mm×3mm全彩LED状态指示灯，支持通过不同颜色实时显示设备当前运行状态，具备三种基本状态识别逻辑：</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1、绿色指示灯常亮：设备处于待机状态，当前无功能模块运行；</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2、蓝色指示灯常亮：设备任意功能模块运行中；</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3、红色指示灯闪烁：设备检测到任意故障，提示维护或停止运行。</w:t>
            </w:r>
          </w:p>
        </w:tc>
        <w:tc>
          <w:tcPr>
            <w:tcW w:w="467" w:type="pct"/>
            <w:tcBorders>
              <w:top w:val="single" w:color="000000" w:sz="4" w:space="0"/>
              <w:left w:val="single" w:color="000000" w:sz="4" w:space="0"/>
              <w:bottom w:val="single" w:color="000000" w:sz="4" w:space="0"/>
              <w:right w:val="single" w:color="000000" w:sz="4" w:space="0"/>
            </w:tcBorders>
            <w:vAlign w:val="center"/>
          </w:tcPr>
          <w:p w14:paraId="73D56995">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w:t>
            </w:r>
          </w:p>
        </w:tc>
        <w:tc>
          <w:tcPr>
            <w:tcW w:w="488" w:type="pct"/>
            <w:tcBorders>
              <w:top w:val="single" w:color="000000" w:sz="4" w:space="0"/>
              <w:left w:val="single" w:color="000000" w:sz="4" w:space="0"/>
              <w:bottom w:val="single" w:color="000000" w:sz="4" w:space="0"/>
              <w:right w:val="single" w:color="000000" w:sz="4" w:space="0"/>
            </w:tcBorders>
            <w:vAlign w:val="center"/>
          </w:tcPr>
          <w:p w14:paraId="1E5389A7">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组</w:t>
            </w:r>
          </w:p>
        </w:tc>
      </w:tr>
      <w:tr w14:paraId="4007D761">
        <w:tblPrEx>
          <w:tblCellMar>
            <w:top w:w="0" w:type="dxa"/>
            <w:left w:w="108" w:type="dxa"/>
            <w:bottom w:w="0" w:type="dxa"/>
            <w:right w:w="108" w:type="dxa"/>
          </w:tblCellMar>
        </w:tblPrEx>
        <w:trPr>
          <w:trHeight w:val="560" w:hRule="atLeast"/>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14:paraId="5CDDA87F">
            <w:pPr>
              <w:rPr>
                <w:rFonts w:hint="eastAsia" w:ascii="宋体" w:hAnsi="宋体" w:eastAsia="宋体" w:cs="宋体"/>
                <w:b/>
                <w:bCs/>
                <w:color w:val="auto"/>
                <w:sz w:val="21"/>
                <w:szCs w:val="21"/>
              </w:rPr>
            </w:pPr>
            <w:r>
              <w:rPr>
                <w:rFonts w:hint="eastAsia" w:ascii="宋体" w:hAnsi="宋体" w:eastAsia="宋体" w:cs="宋体"/>
                <w:b/>
                <w:bCs/>
                <w:color w:val="auto"/>
                <w:kern w:val="0"/>
                <w:sz w:val="21"/>
                <w:szCs w:val="21"/>
                <w:lang w:bidi="ar"/>
              </w:rPr>
              <w:t>四、给排水设备</w:t>
            </w:r>
          </w:p>
        </w:tc>
      </w:tr>
      <w:tr w14:paraId="1C62E1F7">
        <w:tblPrEx>
          <w:tblCellMar>
            <w:top w:w="0" w:type="dxa"/>
            <w:left w:w="108" w:type="dxa"/>
            <w:bottom w:w="0" w:type="dxa"/>
            <w:right w:w="108" w:type="dxa"/>
          </w:tblCellMar>
        </w:tblPrEx>
        <w:trPr>
          <w:trHeight w:val="560" w:hRule="atLeast"/>
        </w:trPr>
        <w:tc>
          <w:tcPr>
            <w:tcW w:w="420" w:type="pct"/>
            <w:tcBorders>
              <w:top w:val="single" w:color="000000" w:sz="4" w:space="0"/>
              <w:left w:val="single" w:color="000000" w:sz="4" w:space="0"/>
              <w:bottom w:val="single" w:color="000000" w:sz="4" w:space="0"/>
              <w:right w:val="single" w:color="000000" w:sz="4" w:space="0"/>
            </w:tcBorders>
            <w:vAlign w:val="center"/>
          </w:tcPr>
          <w:p w14:paraId="3E975AAB">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752" w:type="pct"/>
            <w:tcBorders>
              <w:top w:val="single" w:color="000000" w:sz="4" w:space="0"/>
              <w:left w:val="single" w:color="000000" w:sz="4" w:space="0"/>
              <w:bottom w:val="single" w:color="000000" w:sz="4" w:space="0"/>
              <w:right w:val="single" w:color="000000" w:sz="4" w:space="0"/>
            </w:tcBorders>
            <w:vAlign w:val="center"/>
          </w:tcPr>
          <w:p w14:paraId="7E5B100A">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双口洗眼器</w:t>
            </w:r>
          </w:p>
        </w:tc>
        <w:tc>
          <w:tcPr>
            <w:tcW w:w="2871" w:type="pct"/>
            <w:tcBorders>
              <w:top w:val="single" w:color="000000" w:sz="4" w:space="0"/>
              <w:left w:val="single" w:color="000000" w:sz="4" w:space="0"/>
              <w:bottom w:val="single" w:color="000000" w:sz="4" w:space="0"/>
              <w:right w:val="single" w:color="000000" w:sz="4" w:space="0"/>
            </w:tcBorders>
            <w:vAlign w:val="center"/>
          </w:tcPr>
          <w:p w14:paraId="10F8EFAD">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1、主体：加厚铜质；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2、表面处理：高亮度电镀层，耐腐蚀、耐热，附着力强；</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3、防尘盖：PP材质，双喷头均配置防尘盖，通水时自动冲开；</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4、开关手柄：杠杆式结构，铜质按压阀芯配塑料操作手柄，启闭快速、响应灵敏；</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5、供水软管：配置长度≥1.4米柔性软管，采用不锈钢编织增强层，耐磨、防扭结、防老化；</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6、耐压性能：最大承受水压 0.6MPa（6bar）；</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7、洗眼喷头：一体注塑成型，软性橡胶材质，内置缓冲滤网，出水柔和均匀，有效过滤杂质，避免冲击伤害眼睛；双口总流量≥3.0L/min，持续供水≥15 分钟；</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8、控水阀：配置止回阀，具备自动复位、自动关闭功能。</w:t>
            </w:r>
          </w:p>
        </w:tc>
        <w:tc>
          <w:tcPr>
            <w:tcW w:w="467" w:type="pct"/>
            <w:tcBorders>
              <w:top w:val="single" w:color="000000" w:sz="4" w:space="0"/>
              <w:left w:val="single" w:color="000000" w:sz="4" w:space="0"/>
              <w:bottom w:val="single" w:color="000000" w:sz="4" w:space="0"/>
              <w:right w:val="single" w:color="000000" w:sz="4" w:space="0"/>
            </w:tcBorders>
            <w:vAlign w:val="center"/>
          </w:tcPr>
          <w:p w14:paraId="37B7EE8C">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488" w:type="pct"/>
            <w:tcBorders>
              <w:top w:val="single" w:color="000000" w:sz="4" w:space="0"/>
              <w:left w:val="single" w:color="000000" w:sz="4" w:space="0"/>
              <w:bottom w:val="single" w:color="000000" w:sz="4" w:space="0"/>
              <w:right w:val="single" w:color="000000" w:sz="4" w:space="0"/>
            </w:tcBorders>
            <w:vAlign w:val="center"/>
          </w:tcPr>
          <w:p w14:paraId="79DBD557">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个</w:t>
            </w:r>
          </w:p>
        </w:tc>
      </w:tr>
      <w:tr w14:paraId="25F4550D">
        <w:tblPrEx>
          <w:tblCellMar>
            <w:top w:w="0" w:type="dxa"/>
            <w:left w:w="108" w:type="dxa"/>
            <w:bottom w:w="0" w:type="dxa"/>
            <w:right w:w="108" w:type="dxa"/>
          </w:tblCellMar>
        </w:tblPrEx>
        <w:trPr>
          <w:trHeight w:val="560" w:hRule="atLeast"/>
        </w:trPr>
        <w:tc>
          <w:tcPr>
            <w:tcW w:w="420" w:type="pct"/>
            <w:tcBorders>
              <w:top w:val="single" w:color="000000" w:sz="4" w:space="0"/>
              <w:left w:val="single" w:color="000000" w:sz="4" w:space="0"/>
              <w:bottom w:val="single" w:color="000000" w:sz="4" w:space="0"/>
              <w:right w:val="single" w:color="000000" w:sz="4" w:space="0"/>
            </w:tcBorders>
            <w:vAlign w:val="center"/>
          </w:tcPr>
          <w:p w14:paraId="150B669E">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w:t>
            </w:r>
          </w:p>
        </w:tc>
        <w:tc>
          <w:tcPr>
            <w:tcW w:w="752" w:type="pct"/>
            <w:tcBorders>
              <w:top w:val="single" w:color="000000" w:sz="4" w:space="0"/>
              <w:left w:val="single" w:color="000000" w:sz="4" w:space="0"/>
              <w:bottom w:val="single" w:color="000000" w:sz="4" w:space="0"/>
              <w:right w:val="single" w:color="000000" w:sz="4" w:space="0"/>
            </w:tcBorders>
            <w:vAlign w:val="center"/>
          </w:tcPr>
          <w:p w14:paraId="79366414">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多功能水槽台</w:t>
            </w:r>
          </w:p>
        </w:tc>
        <w:tc>
          <w:tcPr>
            <w:tcW w:w="2871" w:type="pct"/>
            <w:tcBorders>
              <w:top w:val="single" w:color="000000" w:sz="4" w:space="0"/>
              <w:left w:val="single" w:color="000000" w:sz="4" w:space="0"/>
              <w:bottom w:val="single" w:color="000000" w:sz="4" w:space="0"/>
              <w:right w:val="single" w:color="000000" w:sz="4" w:space="0"/>
            </w:tcBorders>
            <w:vAlign w:val="center"/>
          </w:tcPr>
          <w:p w14:paraId="64D96EAD">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1、整体规格：≥440mm（</w:t>
            </w:r>
            <w:r>
              <w:rPr>
                <w:rFonts w:hint="eastAsia" w:ascii="宋体" w:hAnsi="宋体" w:eastAsia="宋体" w:cs="宋体"/>
                <w:color w:val="auto"/>
                <w:kern w:val="0"/>
                <w:sz w:val="21"/>
                <w:szCs w:val="21"/>
                <w:lang w:eastAsia="zh-CN" w:bidi="ar"/>
              </w:rPr>
              <w:t>长</w:t>
            </w:r>
            <w:r>
              <w:rPr>
                <w:rFonts w:hint="eastAsia" w:ascii="宋体" w:hAnsi="宋体" w:eastAsia="宋体" w:cs="宋体"/>
                <w:color w:val="auto"/>
                <w:kern w:val="0"/>
                <w:sz w:val="21"/>
                <w:szCs w:val="21"/>
                <w:lang w:bidi="ar"/>
              </w:rPr>
              <w:t>）×600mm（</w:t>
            </w:r>
            <w:r>
              <w:rPr>
                <w:rFonts w:hint="eastAsia" w:ascii="宋体" w:hAnsi="宋体" w:eastAsia="宋体" w:cs="宋体"/>
                <w:color w:val="auto"/>
                <w:kern w:val="0"/>
                <w:sz w:val="21"/>
                <w:szCs w:val="21"/>
                <w:lang w:eastAsia="zh-CN" w:bidi="ar"/>
              </w:rPr>
              <w:t>宽</w:t>
            </w:r>
            <w:r>
              <w:rPr>
                <w:rFonts w:hint="eastAsia" w:ascii="宋体" w:hAnsi="宋体" w:eastAsia="宋体" w:cs="宋体"/>
                <w:color w:val="auto"/>
                <w:kern w:val="0"/>
                <w:sz w:val="21"/>
                <w:szCs w:val="21"/>
                <w:lang w:bidi="ar"/>
              </w:rPr>
              <w:t>）×820mm（</w:t>
            </w:r>
            <w:r>
              <w:rPr>
                <w:rFonts w:hint="eastAsia" w:ascii="宋体" w:hAnsi="宋体" w:eastAsia="宋体" w:cs="宋体"/>
                <w:color w:val="auto"/>
                <w:kern w:val="0"/>
                <w:sz w:val="21"/>
                <w:szCs w:val="21"/>
                <w:lang w:eastAsia="zh-CN" w:bidi="ar"/>
              </w:rPr>
              <w:t>高</w:t>
            </w:r>
            <w:r>
              <w:rPr>
                <w:rFonts w:hint="eastAsia" w:ascii="宋体" w:hAnsi="宋体" w:eastAsia="宋体" w:cs="宋体"/>
                <w:color w:val="auto"/>
                <w:kern w:val="0"/>
                <w:sz w:val="21"/>
                <w:szCs w:val="21"/>
                <w:lang w:bidi="ar"/>
              </w:rPr>
              <w:t>）；由槽体和柜体构成。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2、槽体：≥440mm（</w:t>
            </w:r>
            <w:r>
              <w:rPr>
                <w:rFonts w:hint="eastAsia" w:ascii="宋体" w:hAnsi="宋体" w:eastAsia="宋体" w:cs="宋体"/>
                <w:color w:val="auto"/>
                <w:kern w:val="0"/>
                <w:sz w:val="21"/>
                <w:szCs w:val="21"/>
                <w:lang w:eastAsia="zh-CN" w:bidi="ar"/>
              </w:rPr>
              <w:t>长</w:t>
            </w:r>
            <w:r>
              <w:rPr>
                <w:rFonts w:hint="eastAsia" w:ascii="宋体" w:hAnsi="宋体" w:eastAsia="宋体" w:cs="宋体"/>
                <w:color w:val="auto"/>
                <w:kern w:val="0"/>
                <w:sz w:val="21"/>
                <w:szCs w:val="21"/>
                <w:lang w:bidi="ar"/>
              </w:rPr>
              <w:t>）×600mm（</w:t>
            </w:r>
            <w:r>
              <w:rPr>
                <w:rFonts w:hint="eastAsia" w:ascii="宋体" w:hAnsi="宋体" w:eastAsia="宋体" w:cs="宋体"/>
                <w:color w:val="auto"/>
                <w:kern w:val="0"/>
                <w:sz w:val="21"/>
                <w:szCs w:val="21"/>
                <w:lang w:eastAsia="zh-CN" w:bidi="ar"/>
              </w:rPr>
              <w:t>宽</w:t>
            </w:r>
            <w:r>
              <w:rPr>
                <w:rFonts w:hint="eastAsia" w:ascii="宋体" w:hAnsi="宋体" w:eastAsia="宋体" w:cs="宋体"/>
                <w:color w:val="auto"/>
                <w:kern w:val="0"/>
                <w:sz w:val="21"/>
                <w:szCs w:val="21"/>
                <w:lang w:bidi="ar"/>
              </w:rPr>
              <w:t>）×250mm（</w:t>
            </w:r>
            <w:r>
              <w:rPr>
                <w:rFonts w:hint="eastAsia" w:ascii="宋体" w:hAnsi="宋体" w:eastAsia="宋体" w:cs="宋体"/>
                <w:color w:val="auto"/>
                <w:kern w:val="0"/>
                <w:sz w:val="21"/>
                <w:szCs w:val="21"/>
                <w:lang w:eastAsia="zh-CN" w:bidi="ar"/>
              </w:rPr>
              <w:t>高</w:t>
            </w:r>
            <w:r>
              <w:rPr>
                <w:rFonts w:hint="eastAsia" w:ascii="宋体" w:hAnsi="宋体" w:eastAsia="宋体" w:cs="宋体"/>
                <w:color w:val="auto"/>
                <w:kern w:val="0"/>
                <w:sz w:val="21"/>
                <w:szCs w:val="21"/>
                <w:lang w:bidi="ar"/>
              </w:rPr>
              <w:t>），采用聚丙烯一体化注塑成型；由功能区和洗涤区组成；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2.1功能区配置内冲洗喷淋装置、出水装置、综合给排水接口。内置废料桶、储物口及洗眼器安装孔；</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2.1.1废料桶：内径≥100mm，深≥100mm，采用聚丙烯一体化注塑成型。翻盖式设计，可任意取放，便于倾倒和清洁；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2.1.2储物口：内置数量≥2个，内径≥90mm，深≥120mm；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2.1.3内冲洗喷淋装置：直径≥100mm，采用聚丙烯一体化注塑成型；支持单手按压出水，松手即止水，按压行程≥3 mm。喷头设计≥10孔，不同角度均匀出水。飞轮上设置≥2档定位卡槽，适配不同直径容器口径；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2.1.4出水装置：一高二低出水口，管体部分为黄铜合金制，陶瓷阀芯，表面经环氧树脂静电喷涂处理。出水口为铜质瓷芯尖嘴型，可拆卸清洗阻塞；</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2.1.5综合给排水接口：供水接口、排水接口采用≥4分快速水管接口，自动锁紧，带有止水功能；信号供电接口采用≥9Pin快接防水航空插头，每Pin通流能力≥10A；配置手动排水按钮，采用持续按压排水方式，松手即停；</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2.2洗涤区：内壁规格≥320mm（</w:t>
            </w:r>
            <w:r>
              <w:rPr>
                <w:rFonts w:hint="eastAsia" w:ascii="宋体" w:hAnsi="宋体" w:eastAsia="宋体" w:cs="宋体"/>
                <w:color w:val="auto"/>
                <w:kern w:val="0"/>
                <w:sz w:val="21"/>
                <w:szCs w:val="21"/>
                <w:lang w:eastAsia="zh-CN" w:bidi="ar"/>
              </w:rPr>
              <w:t>长</w:t>
            </w:r>
            <w:r>
              <w:rPr>
                <w:rFonts w:hint="eastAsia" w:ascii="宋体" w:hAnsi="宋体" w:eastAsia="宋体" w:cs="宋体"/>
                <w:color w:val="auto"/>
                <w:kern w:val="0"/>
                <w:sz w:val="21"/>
                <w:szCs w:val="21"/>
                <w:lang w:bidi="ar"/>
              </w:rPr>
              <w:t>）×250mm（</w:t>
            </w:r>
            <w:r>
              <w:rPr>
                <w:rFonts w:hint="eastAsia" w:ascii="宋体" w:hAnsi="宋体" w:eastAsia="宋体" w:cs="宋体"/>
                <w:color w:val="auto"/>
                <w:kern w:val="0"/>
                <w:sz w:val="21"/>
                <w:szCs w:val="21"/>
                <w:lang w:eastAsia="zh-CN" w:bidi="ar"/>
              </w:rPr>
              <w:t>宽</w:t>
            </w:r>
            <w:r>
              <w:rPr>
                <w:rFonts w:hint="eastAsia" w:ascii="宋体" w:hAnsi="宋体" w:eastAsia="宋体" w:cs="宋体"/>
                <w:color w:val="auto"/>
                <w:kern w:val="0"/>
                <w:sz w:val="21"/>
                <w:szCs w:val="21"/>
                <w:lang w:bidi="ar"/>
              </w:rPr>
              <w:t>）×190mm（</w:t>
            </w:r>
            <w:r>
              <w:rPr>
                <w:rFonts w:hint="eastAsia" w:ascii="宋体" w:hAnsi="宋体" w:eastAsia="宋体" w:cs="宋体"/>
                <w:color w:val="auto"/>
                <w:kern w:val="0"/>
                <w:sz w:val="21"/>
                <w:szCs w:val="21"/>
                <w:lang w:eastAsia="zh-CN" w:bidi="ar"/>
              </w:rPr>
              <w:t>高</w:t>
            </w:r>
            <w:r>
              <w:rPr>
                <w:rFonts w:hint="eastAsia" w:ascii="宋体" w:hAnsi="宋体" w:eastAsia="宋体" w:cs="宋体"/>
                <w:color w:val="auto"/>
                <w:kern w:val="0"/>
                <w:sz w:val="21"/>
                <w:szCs w:val="21"/>
                <w:lang w:bidi="ar"/>
              </w:rPr>
              <w:t>），内壁左右两侧内置卡槽，支持放置洗涤框。配置折叠式滴水架、过滤装置。内壁整体及所有配件均采用聚丙烯一体化注塑成型；</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2.2.1折叠式滴水架：规格≥290mm（</w:t>
            </w:r>
            <w:r>
              <w:rPr>
                <w:rFonts w:hint="eastAsia" w:ascii="宋体" w:hAnsi="宋体" w:eastAsia="宋体" w:cs="宋体"/>
                <w:color w:val="auto"/>
                <w:kern w:val="0"/>
                <w:sz w:val="21"/>
                <w:szCs w:val="21"/>
                <w:lang w:eastAsia="zh-CN" w:bidi="ar"/>
              </w:rPr>
              <w:t>长</w:t>
            </w:r>
            <w:r>
              <w:rPr>
                <w:rFonts w:hint="eastAsia" w:ascii="宋体" w:hAnsi="宋体" w:eastAsia="宋体" w:cs="宋体"/>
                <w:color w:val="auto"/>
                <w:kern w:val="0"/>
                <w:sz w:val="21"/>
                <w:szCs w:val="21"/>
                <w:lang w:bidi="ar"/>
              </w:rPr>
              <w:t>）×15mm（</w:t>
            </w:r>
            <w:r>
              <w:rPr>
                <w:rFonts w:hint="eastAsia" w:ascii="宋体" w:hAnsi="宋体" w:eastAsia="宋体" w:cs="宋体"/>
                <w:color w:val="auto"/>
                <w:kern w:val="0"/>
                <w:sz w:val="21"/>
                <w:szCs w:val="21"/>
                <w:lang w:eastAsia="zh-CN" w:bidi="ar"/>
              </w:rPr>
              <w:t>宽</w:t>
            </w:r>
            <w:r>
              <w:rPr>
                <w:rFonts w:hint="eastAsia" w:ascii="宋体" w:hAnsi="宋体" w:eastAsia="宋体" w:cs="宋体"/>
                <w:color w:val="auto"/>
                <w:kern w:val="0"/>
                <w:sz w:val="21"/>
                <w:szCs w:val="21"/>
                <w:lang w:bidi="ar"/>
              </w:rPr>
              <w:t>）×170mm（</w:t>
            </w:r>
            <w:r>
              <w:rPr>
                <w:rFonts w:hint="eastAsia" w:ascii="宋体" w:hAnsi="宋体" w:eastAsia="宋体" w:cs="宋体"/>
                <w:color w:val="auto"/>
                <w:kern w:val="0"/>
                <w:sz w:val="21"/>
                <w:szCs w:val="21"/>
                <w:lang w:eastAsia="zh-CN" w:bidi="ar"/>
              </w:rPr>
              <w:t>高</w:t>
            </w:r>
            <w:r>
              <w:rPr>
                <w:rFonts w:hint="eastAsia" w:ascii="宋体" w:hAnsi="宋体" w:eastAsia="宋体" w:cs="宋体"/>
                <w:color w:val="auto"/>
                <w:kern w:val="0"/>
                <w:sz w:val="21"/>
                <w:szCs w:val="21"/>
                <w:lang w:bidi="ar"/>
              </w:rPr>
              <w:t>），壁挂式设计，安装于水槽内部，配置≥5支滴水棒，长≥80mm，滴水棒通过转轴与固定板连接。每根滴水棒收起时，两侧均设有卡扣，能够实现滴水棒的稳固固定；</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2.2.2过滤装置：过滤板规格≥250mm（</w:t>
            </w:r>
            <w:r>
              <w:rPr>
                <w:rFonts w:hint="eastAsia" w:ascii="宋体" w:hAnsi="宋体" w:eastAsia="宋体" w:cs="宋体"/>
                <w:color w:val="auto"/>
                <w:kern w:val="0"/>
                <w:sz w:val="21"/>
                <w:szCs w:val="21"/>
                <w:lang w:eastAsia="zh-CN" w:bidi="ar"/>
              </w:rPr>
              <w:t>长</w:t>
            </w:r>
            <w:r>
              <w:rPr>
                <w:rFonts w:hint="eastAsia" w:ascii="宋体" w:hAnsi="宋体" w:eastAsia="宋体" w:cs="宋体"/>
                <w:color w:val="auto"/>
                <w:kern w:val="0"/>
                <w:sz w:val="21"/>
                <w:szCs w:val="21"/>
                <w:lang w:bidi="ar"/>
              </w:rPr>
              <w:t>）×140mm（</w:t>
            </w:r>
            <w:r>
              <w:rPr>
                <w:rFonts w:hint="eastAsia" w:ascii="宋体" w:hAnsi="宋体" w:eastAsia="宋体" w:cs="宋体"/>
                <w:color w:val="auto"/>
                <w:kern w:val="0"/>
                <w:sz w:val="21"/>
                <w:szCs w:val="21"/>
                <w:lang w:eastAsia="zh-CN" w:bidi="ar"/>
              </w:rPr>
              <w:t>宽</w:t>
            </w:r>
            <w:r>
              <w:rPr>
                <w:rFonts w:hint="eastAsia" w:ascii="宋体" w:hAnsi="宋体" w:eastAsia="宋体" w:cs="宋体"/>
                <w:color w:val="auto"/>
                <w:kern w:val="0"/>
                <w:sz w:val="21"/>
                <w:szCs w:val="21"/>
                <w:lang w:bidi="ar"/>
              </w:rPr>
              <w:t>）×7mm（</w:t>
            </w:r>
            <w:r>
              <w:rPr>
                <w:rFonts w:hint="eastAsia" w:ascii="宋体" w:hAnsi="宋体" w:eastAsia="宋体" w:cs="宋体"/>
                <w:color w:val="auto"/>
                <w:kern w:val="0"/>
                <w:sz w:val="21"/>
                <w:szCs w:val="21"/>
                <w:lang w:eastAsia="zh-CN" w:bidi="ar"/>
              </w:rPr>
              <w:t>高</w:t>
            </w:r>
            <w:r>
              <w:rPr>
                <w:rFonts w:hint="eastAsia" w:ascii="宋体" w:hAnsi="宋体" w:eastAsia="宋体" w:cs="宋体"/>
                <w:color w:val="auto"/>
                <w:kern w:val="0"/>
                <w:sz w:val="21"/>
                <w:szCs w:val="21"/>
                <w:lang w:bidi="ar"/>
              </w:rPr>
              <w:t>）。安装于水槽底部，可单独拆卸，表面分布有大量过滤孔。过滤网外径≥80mm，不锈钢材质，放置于排水口；</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3、柜体：≥440mm（</w:t>
            </w:r>
            <w:r>
              <w:rPr>
                <w:rFonts w:hint="eastAsia" w:ascii="宋体" w:hAnsi="宋体" w:eastAsia="宋体" w:cs="宋体"/>
                <w:color w:val="auto"/>
                <w:kern w:val="0"/>
                <w:sz w:val="21"/>
                <w:szCs w:val="21"/>
                <w:lang w:eastAsia="zh-CN" w:bidi="ar"/>
              </w:rPr>
              <w:t>长</w:t>
            </w:r>
            <w:r>
              <w:rPr>
                <w:rFonts w:hint="eastAsia" w:ascii="宋体" w:hAnsi="宋体" w:eastAsia="宋体" w:cs="宋体"/>
                <w:color w:val="auto"/>
                <w:kern w:val="0"/>
                <w:sz w:val="21"/>
                <w:szCs w:val="21"/>
                <w:lang w:bidi="ar"/>
              </w:rPr>
              <w:t>）×600mm（</w:t>
            </w:r>
            <w:r>
              <w:rPr>
                <w:rFonts w:hint="eastAsia" w:ascii="宋体" w:hAnsi="宋体" w:eastAsia="宋体" w:cs="宋体"/>
                <w:color w:val="auto"/>
                <w:kern w:val="0"/>
                <w:sz w:val="21"/>
                <w:szCs w:val="21"/>
                <w:lang w:eastAsia="zh-CN" w:bidi="ar"/>
              </w:rPr>
              <w:t>宽</w:t>
            </w:r>
            <w:r>
              <w:rPr>
                <w:rFonts w:hint="eastAsia" w:ascii="宋体" w:hAnsi="宋体" w:eastAsia="宋体" w:cs="宋体"/>
                <w:color w:val="auto"/>
                <w:kern w:val="0"/>
                <w:sz w:val="21"/>
                <w:szCs w:val="21"/>
                <w:lang w:bidi="ar"/>
              </w:rPr>
              <w:t>）×690mm（</w:t>
            </w:r>
            <w:r>
              <w:rPr>
                <w:rFonts w:hint="eastAsia" w:ascii="宋体" w:hAnsi="宋体" w:eastAsia="宋体" w:cs="宋体"/>
                <w:color w:val="auto"/>
                <w:kern w:val="0"/>
                <w:sz w:val="21"/>
                <w:szCs w:val="21"/>
                <w:lang w:eastAsia="zh-CN" w:bidi="ar"/>
              </w:rPr>
              <w:t>高</w:t>
            </w:r>
            <w:r>
              <w:rPr>
                <w:rFonts w:hint="eastAsia" w:ascii="宋体" w:hAnsi="宋体" w:eastAsia="宋体" w:cs="宋体"/>
                <w:color w:val="auto"/>
                <w:kern w:val="0"/>
                <w:sz w:val="21"/>
                <w:szCs w:val="21"/>
                <w:lang w:bidi="ar"/>
              </w:rPr>
              <w:t>）；由柜门和柜身组成；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3.1柜门：≥430mm（</w:t>
            </w:r>
            <w:r>
              <w:rPr>
                <w:rFonts w:hint="eastAsia" w:ascii="宋体" w:hAnsi="宋体" w:eastAsia="宋体" w:cs="宋体"/>
                <w:color w:val="auto"/>
                <w:kern w:val="0"/>
                <w:sz w:val="21"/>
                <w:szCs w:val="21"/>
                <w:lang w:eastAsia="zh-CN" w:bidi="ar"/>
              </w:rPr>
              <w:t>长</w:t>
            </w:r>
            <w:r>
              <w:rPr>
                <w:rFonts w:hint="eastAsia" w:ascii="宋体" w:hAnsi="宋体" w:eastAsia="宋体" w:cs="宋体"/>
                <w:color w:val="auto"/>
                <w:kern w:val="0"/>
                <w:sz w:val="21"/>
                <w:szCs w:val="21"/>
                <w:lang w:bidi="ar"/>
              </w:rPr>
              <w:t>）×30mm（</w:t>
            </w:r>
            <w:r>
              <w:rPr>
                <w:rFonts w:hint="eastAsia" w:ascii="宋体" w:hAnsi="宋体" w:eastAsia="宋体" w:cs="宋体"/>
                <w:color w:val="auto"/>
                <w:kern w:val="0"/>
                <w:sz w:val="21"/>
                <w:szCs w:val="21"/>
                <w:lang w:eastAsia="zh-CN" w:bidi="ar"/>
              </w:rPr>
              <w:t>宽</w:t>
            </w:r>
            <w:r>
              <w:rPr>
                <w:rFonts w:hint="eastAsia" w:ascii="宋体" w:hAnsi="宋体" w:eastAsia="宋体" w:cs="宋体"/>
                <w:color w:val="auto"/>
                <w:kern w:val="0"/>
                <w:sz w:val="21"/>
                <w:szCs w:val="21"/>
                <w:lang w:bidi="ar"/>
              </w:rPr>
              <w:t>）×430mm（</w:t>
            </w:r>
            <w:r>
              <w:rPr>
                <w:rFonts w:hint="eastAsia" w:ascii="宋体" w:hAnsi="宋体" w:eastAsia="宋体" w:cs="宋体"/>
                <w:color w:val="auto"/>
                <w:kern w:val="0"/>
                <w:sz w:val="21"/>
                <w:szCs w:val="21"/>
                <w:lang w:eastAsia="zh-CN" w:bidi="ar"/>
              </w:rPr>
              <w:t>高</w:t>
            </w:r>
            <w:r>
              <w:rPr>
                <w:rFonts w:hint="eastAsia" w:ascii="宋体" w:hAnsi="宋体" w:eastAsia="宋体" w:cs="宋体"/>
                <w:color w:val="auto"/>
                <w:kern w:val="0"/>
                <w:sz w:val="21"/>
                <w:szCs w:val="21"/>
                <w:lang w:bidi="ar"/>
              </w:rPr>
              <w:t>），壁厚3mm（±0.2mm），采用工程塑料一体注塑成型，前后开门设计。柜门与柜身采用上下插轴旋转式结构连接，实现无金属铰链的开合与转动；柜门设有定位与防松结构；</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3.2柜身：由前后两块侧板组装而成，壁厚3mm（±0.2mm），采用工程塑料一体化注塑成型，柜身左右两侧分别设置≥5条加强筋；柜身设置内凹式扣手。柜身两侧安装≥2个防水高压插座。</w:t>
            </w:r>
          </w:p>
        </w:tc>
        <w:tc>
          <w:tcPr>
            <w:tcW w:w="467" w:type="pct"/>
            <w:tcBorders>
              <w:top w:val="single" w:color="000000" w:sz="4" w:space="0"/>
              <w:left w:val="single" w:color="000000" w:sz="4" w:space="0"/>
              <w:bottom w:val="single" w:color="000000" w:sz="4" w:space="0"/>
              <w:right w:val="single" w:color="000000" w:sz="4" w:space="0"/>
            </w:tcBorders>
            <w:vAlign w:val="center"/>
          </w:tcPr>
          <w:p w14:paraId="1754EDE3">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w:t>
            </w:r>
          </w:p>
        </w:tc>
        <w:tc>
          <w:tcPr>
            <w:tcW w:w="488" w:type="pct"/>
            <w:tcBorders>
              <w:top w:val="single" w:color="000000" w:sz="4" w:space="0"/>
              <w:left w:val="single" w:color="000000" w:sz="4" w:space="0"/>
              <w:bottom w:val="single" w:color="000000" w:sz="4" w:space="0"/>
              <w:right w:val="single" w:color="000000" w:sz="4" w:space="0"/>
            </w:tcBorders>
            <w:vAlign w:val="center"/>
          </w:tcPr>
          <w:p w14:paraId="78CA314E">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个</w:t>
            </w:r>
          </w:p>
        </w:tc>
      </w:tr>
      <w:tr w14:paraId="0BF85AE3">
        <w:tblPrEx>
          <w:tblCellMar>
            <w:top w:w="0" w:type="dxa"/>
            <w:left w:w="108" w:type="dxa"/>
            <w:bottom w:w="0" w:type="dxa"/>
            <w:right w:w="108" w:type="dxa"/>
          </w:tblCellMar>
        </w:tblPrEx>
        <w:trPr>
          <w:trHeight w:val="560" w:hRule="atLeast"/>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14:paraId="02012FBD">
            <w:pPr>
              <w:rPr>
                <w:rFonts w:hint="eastAsia" w:ascii="宋体" w:hAnsi="宋体" w:eastAsia="宋体" w:cs="宋体"/>
                <w:b/>
                <w:bCs/>
                <w:color w:val="auto"/>
                <w:sz w:val="21"/>
                <w:szCs w:val="21"/>
              </w:rPr>
            </w:pPr>
            <w:r>
              <w:rPr>
                <w:rFonts w:hint="eastAsia" w:ascii="宋体" w:hAnsi="宋体" w:eastAsia="宋体" w:cs="宋体"/>
                <w:b/>
                <w:bCs/>
                <w:color w:val="auto"/>
                <w:kern w:val="0"/>
                <w:sz w:val="21"/>
                <w:szCs w:val="21"/>
                <w:lang w:bidi="ar"/>
              </w:rPr>
              <w:t>六、安装附件部分</w:t>
            </w:r>
          </w:p>
        </w:tc>
      </w:tr>
      <w:tr w14:paraId="361F89ED">
        <w:tblPrEx>
          <w:tblCellMar>
            <w:top w:w="0" w:type="dxa"/>
            <w:left w:w="108" w:type="dxa"/>
            <w:bottom w:w="0" w:type="dxa"/>
            <w:right w:w="108" w:type="dxa"/>
          </w:tblCellMar>
        </w:tblPrEx>
        <w:trPr>
          <w:trHeight w:val="560" w:hRule="atLeast"/>
        </w:trPr>
        <w:tc>
          <w:tcPr>
            <w:tcW w:w="420" w:type="pct"/>
            <w:tcBorders>
              <w:top w:val="single" w:color="000000" w:sz="4" w:space="0"/>
              <w:left w:val="single" w:color="000000" w:sz="4" w:space="0"/>
              <w:bottom w:val="single" w:color="000000" w:sz="4" w:space="0"/>
              <w:right w:val="single" w:color="000000" w:sz="4" w:space="0"/>
            </w:tcBorders>
            <w:vAlign w:val="center"/>
          </w:tcPr>
          <w:p w14:paraId="48AB9B57">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752" w:type="pct"/>
            <w:tcBorders>
              <w:top w:val="single" w:color="000000" w:sz="4" w:space="0"/>
              <w:left w:val="single" w:color="000000" w:sz="4" w:space="0"/>
              <w:bottom w:val="single" w:color="000000" w:sz="4" w:space="0"/>
              <w:right w:val="single" w:color="000000" w:sz="4" w:space="0"/>
            </w:tcBorders>
            <w:vAlign w:val="center"/>
          </w:tcPr>
          <w:p w14:paraId="36111C28">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电源布线耗材</w:t>
            </w:r>
          </w:p>
        </w:tc>
        <w:tc>
          <w:tcPr>
            <w:tcW w:w="2871" w:type="pct"/>
            <w:tcBorders>
              <w:top w:val="single" w:color="000000" w:sz="4" w:space="0"/>
              <w:left w:val="single" w:color="000000" w:sz="4" w:space="0"/>
              <w:bottom w:val="single" w:color="000000" w:sz="4" w:space="0"/>
              <w:right w:val="single" w:color="000000" w:sz="4" w:space="0"/>
            </w:tcBorders>
            <w:vAlign w:val="center"/>
          </w:tcPr>
          <w:p w14:paraId="4A933A4C">
            <w:pPr>
              <w:widowControl/>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电源主线采用4.0mm²BVR铜软线铺设；选用Ф20或Ф25PVC阻燃线管，每桌采用软铜质电线与主线对接取电；选用合适规格的线管包裹取电连接线。</w:t>
            </w:r>
          </w:p>
        </w:tc>
        <w:tc>
          <w:tcPr>
            <w:tcW w:w="467" w:type="pct"/>
            <w:tcBorders>
              <w:top w:val="single" w:color="000000" w:sz="4" w:space="0"/>
              <w:left w:val="single" w:color="000000" w:sz="4" w:space="0"/>
              <w:bottom w:val="single" w:color="000000" w:sz="4" w:space="0"/>
              <w:right w:val="single" w:color="000000" w:sz="4" w:space="0"/>
            </w:tcBorders>
            <w:vAlign w:val="center"/>
          </w:tcPr>
          <w:p w14:paraId="35A0051B">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488" w:type="pct"/>
            <w:tcBorders>
              <w:top w:val="single" w:color="000000" w:sz="4" w:space="0"/>
              <w:left w:val="single" w:color="000000" w:sz="4" w:space="0"/>
              <w:bottom w:val="single" w:color="000000" w:sz="4" w:space="0"/>
              <w:right w:val="single" w:color="000000" w:sz="4" w:space="0"/>
            </w:tcBorders>
            <w:vAlign w:val="center"/>
          </w:tcPr>
          <w:p w14:paraId="69F017E0">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室</w:t>
            </w:r>
          </w:p>
        </w:tc>
      </w:tr>
      <w:tr w14:paraId="18F96871">
        <w:tblPrEx>
          <w:tblCellMar>
            <w:top w:w="0" w:type="dxa"/>
            <w:left w:w="108" w:type="dxa"/>
            <w:bottom w:w="0" w:type="dxa"/>
            <w:right w:w="108" w:type="dxa"/>
          </w:tblCellMar>
        </w:tblPrEx>
        <w:trPr>
          <w:trHeight w:val="560" w:hRule="atLeast"/>
        </w:trPr>
        <w:tc>
          <w:tcPr>
            <w:tcW w:w="420" w:type="pct"/>
            <w:tcBorders>
              <w:top w:val="single" w:color="000000" w:sz="4" w:space="0"/>
              <w:left w:val="single" w:color="000000" w:sz="4" w:space="0"/>
              <w:bottom w:val="single" w:color="000000" w:sz="4" w:space="0"/>
              <w:right w:val="single" w:color="000000" w:sz="4" w:space="0"/>
            </w:tcBorders>
            <w:vAlign w:val="center"/>
          </w:tcPr>
          <w:p w14:paraId="23C76026">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w:t>
            </w:r>
          </w:p>
        </w:tc>
        <w:tc>
          <w:tcPr>
            <w:tcW w:w="752" w:type="pct"/>
            <w:tcBorders>
              <w:top w:val="single" w:color="000000" w:sz="4" w:space="0"/>
              <w:left w:val="single" w:color="000000" w:sz="4" w:space="0"/>
              <w:bottom w:val="single" w:color="000000" w:sz="4" w:space="0"/>
              <w:right w:val="single" w:color="000000" w:sz="4" w:space="0"/>
            </w:tcBorders>
            <w:vAlign w:val="center"/>
          </w:tcPr>
          <w:p w14:paraId="1E6C92CF">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给/排水全套装置</w:t>
            </w:r>
          </w:p>
        </w:tc>
        <w:tc>
          <w:tcPr>
            <w:tcW w:w="2871" w:type="pct"/>
            <w:tcBorders>
              <w:top w:val="single" w:color="000000" w:sz="4" w:space="0"/>
              <w:left w:val="single" w:color="000000" w:sz="4" w:space="0"/>
              <w:bottom w:val="single" w:color="000000" w:sz="4" w:space="0"/>
              <w:right w:val="single" w:color="000000" w:sz="4" w:space="0"/>
            </w:tcBorders>
            <w:vAlign w:val="center"/>
          </w:tcPr>
          <w:p w14:paraId="780CBB5C">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1.PPR材质水管，上水管和进水管为Ф25mm；UPVC材质排水管为Ф75mm。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2.开关阀门，外丝连接件、PVC胶水等。</w:t>
            </w:r>
          </w:p>
        </w:tc>
        <w:tc>
          <w:tcPr>
            <w:tcW w:w="467" w:type="pct"/>
            <w:tcBorders>
              <w:top w:val="single" w:color="000000" w:sz="4" w:space="0"/>
              <w:left w:val="single" w:color="000000" w:sz="4" w:space="0"/>
              <w:bottom w:val="single" w:color="000000" w:sz="4" w:space="0"/>
              <w:right w:val="single" w:color="000000" w:sz="4" w:space="0"/>
            </w:tcBorders>
            <w:vAlign w:val="center"/>
          </w:tcPr>
          <w:p w14:paraId="0C5C04DD">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488" w:type="pct"/>
            <w:tcBorders>
              <w:top w:val="single" w:color="000000" w:sz="4" w:space="0"/>
              <w:left w:val="single" w:color="000000" w:sz="4" w:space="0"/>
              <w:bottom w:val="single" w:color="000000" w:sz="4" w:space="0"/>
              <w:right w:val="single" w:color="000000" w:sz="4" w:space="0"/>
            </w:tcBorders>
            <w:vAlign w:val="center"/>
          </w:tcPr>
          <w:p w14:paraId="771D601E">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r>
      <w:tr w14:paraId="363660C2">
        <w:tblPrEx>
          <w:tblCellMar>
            <w:top w:w="0" w:type="dxa"/>
            <w:left w:w="108" w:type="dxa"/>
            <w:bottom w:w="0" w:type="dxa"/>
            <w:right w:w="108" w:type="dxa"/>
          </w:tblCellMar>
        </w:tblPrEx>
        <w:trPr>
          <w:trHeight w:val="560" w:hRule="atLeast"/>
        </w:trPr>
        <w:tc>
          <w:tcPr>
            <w:tcW w:w="420" w:type="pct"/>
            <w:tcBorders>
              <w:top w:val="single" w:color="000000" w:sz="4" w:space="0"/>
              <w:left w:val="single" w:color="000000" w:sz="4" w:space="0"/>
              <w:bottom w:val="single" w:color="000000" w:sz="4" w:space="0"/>
              <w:right w:val="single" w:color="000000" w:sz="4" w:space="0"/>
            </w:tcBorders>
            <w:vAlign w:val="center"/>
          </w:tcPr>
          <w:p w14:paraId="38C5EF30">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w:t>
            </w:r>
          </w:p>
        </w:tc>
        <w:tc>
          <w:tcPr>
            <w:tcW w:w="752" w:type="pct"/>
            <w:tcBorders>
              <w:top w:val="single" w:color="000000" w:sz="4" w:space="0"/>
              <w:left w:val="single" w:color="000000" w:sz="4" w:space="0"/>
              <w:bottom w:val="single" w:color="000000" w:sz="4" w:space="0"/>
              <w:right w:val="single" w:color="000000" w:sz="4" w:space="0"/>
            </w:tcBorders>
            <w:vAlign w:val="center"/>
          </w:tcPr>
          <w:p w14:paraId="45EA3C0F">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系统安装辅件</w:t>
            </w:r>
          </w:p>
        </w:tc>
        <w:tc>
          <w:tcPr>
            <w:tcW w:w="2871" w:type="pct"/>
            <w:tcBorders>
              <w:top w:val="single" w:color="000000" w:sz="4" w:space="0"/>
              <w:left w:val="single" w:color="000000" w:sz="4" w:space="0"/>
              <w:bottom w:val="single" w:color="000000" w:sz="4" w:space="0"/>
              <w:right w:val="single" w:color="000000" w:sz="4" w:space="0"/>
            </w:tcBorders>
            <w:vAlign w:val="center"/>
          </w:tcPr>
          <w:p w14:paraId="21369ECE">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采用固定横梁吊装方式，减少楼板承重，防止左右晃动，可进行上下、左右的平衡调节。</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吊装两头采用端盖密封，防止灰尘进入。</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主要辅件有：矩形钢、三角构件、直角座、龙骨架连接件、吊装挂件、安装连接板、ABS端盖等。</w:t>
            </w:r>
          </w:p>
        </w:tc>
        <w:tc>
          <w:tcPr>
            <w:tcW w:w="467" w:type="pct"/>
            <w:tcBorders>
              <w:top w:val="single" w:color="000000" w:sz="4" w:space="0"/>
              <w:left w:val="single" w:color="000000" w:sz="4" w:space="0"/>
              <w:bottom w:val="single" w:color="000000" w:sz="4" w:space="0"/>
              <w:right w:val="single" w:color="000000" w:sz="4" w:space="0"/>
            </w:tcBorders>
            <w:noWrap/>
            <w:vAlign w:val="center"/>
          </w:tcPr>
          <w:p w14:paraId="57FCDBA1">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488" w:type="pct"/>
            <w:tcBorders>
              <w:top w:val="single" w:color="000000" w:sz="4" w:space="0"/>
              <w:left w:val="single" w:color="000000" w:sz="4" w:space="0"/>
              <w:bottom w:val="single" w:color="000000" w:sz="4" w:space="0"/>
              <w:right w:val="single" w:color="000000" w:sz="4" w:space="0"/>
            </w:tcBorders>
            <w:vAlign w:val="center"/>
          </w:tcPr>
          <w:p w14:paraId="41581F37">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r>
      <w:tr w14:paraId="1BA96681">
        <w:tblPrEx>
          <w:tblCellMar>
            <w:top w:w="0" w:type="dxa"/>
            <w:left w:w="108" w:type="dxa"/>
            <w:bottom w:w="0" w:type="dxa"/>
            <w:right w:w="108" w:type="dxa"/>
          </w:tblCellMar>
        </w:tblPrEx>
        <w:trPr>
          <w:trHeight w:val="560" w:hRule="atLeast"/>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14:paraId="2658CA9A">
            <w:pPr>
              <w:widowControl/>
              <w:jc w:val="left"/>
              <w:textAlignment w:val="center"/>
              <w:rPr>
                <w:rFonts w:hint="eastAsia" w:ascii="宋体" w:hAnsi="宋体" w:eastAsia="宋体" w:cs="宋体"/>
                <w:color w:val="auto"/>
                <w:sz w:val="21"/>
                <w:szCs w:val="21"/>
              </w:rPr>
            </w:pPr>
            <w:r>
              <w:rPr>
                <w:rFonts w:hint="eastAsia" w:ascii="宋体" w:hAnsi="宋体" w:cs="宋体"/>
                <w:b/>
                <w:bCs/>
                <w:color w:val="auto"/>
                <w:kern w:val="0"/>
                <w:sz w:val="21"/>
                <w:szCs w:val="21"/>
                <w:lang w:eastAsia="zh-CN" w:bidi="ar"/>
              </w:rPr>
              <w:t>七</w:t>
            </w:r>
            <w:r>
              <w:rPr>
                <w:rFonts w:hint="eastAsia" w:ascii="宋体" w:hAnsi="宋体" w:eastAsia="宋体" w:cs="宋体"/>
                <w:b/>
                <w:bCs/>
                <w:color w:val="auto"/>
                <w:kern w:val="0"/>
                <w:sz w:val="21"/>
                <w:szCs w:val="21"/>
                <w:lang w:eastAsia="zh-CN" w:bidi="ar"/>
              </w:rPr>
              <w:t>、</w:t>
            </w:r>
            <w:r>
              <w:rPr>
                <w:rFonts w:hint="eastAsia" w:ascii="宋体" w:hAnsi="宋体" w:eastAsia="宋体" w:cs="宋体"/>
                <w:b/>
                <w:bCs/>
                <w:color w:val="auto"/>
                <w:kern w:val="0"/>
                <w:sz w:val="21"/>
                <w:szCs w:val="21"/>
                <w:lang w:bidi="ar"/>
              </w:rPr>
              <w:t>其他</w:t>
            </w:r>
          </w:p>
        </w:tc>
      </w:tr>
      <w:tr w14:paraId="184DB291">
        <w:tblPrEx>
          <w:tblCellMar>
            <w:top w:w="0" w:type="dxa"/>
            <w:left w:w="108" w:type="dxa"/>
            <w:bottom w:w="0" w:type="dxa"/>
            <w:right w:w="108" w:type="dxa"/>
          </w:tblCellMar>
        </w:tblPrEx>
        <w:trPr>
          <w:trHeight w:val="560" w:hRule="atLeast"/>
        </w:trPr>
        <w:tc>
          <w:tcPr>
            <w:tcW w:w="420" w:type="pct"/>
            <w:tcBorders>
              <w:top w:val="single" w:color="000000" w:sz="4" w:space="0"/>
              <w:left w:val="single" w:color="000000" w:sz="4" w:space="0"/>
              <w:bottom w:val="single" w:color="000000" w:sz="4" w:space="0"/>
              <w:right w:val="single" w:color="000000" w:sz="4" w:space="0"/>
            </w:tcBorders>
            <w:noWrap/>
            <w:vAlign w:val="center"/>
          </w:tcPr>
          <w:p w14:paraId="54512E81">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752" w:type="pct"/>
            <w:tcBorders>
              <w:top w:val="single" w:color="000000" w:sz="4" w:space="0"/>
              <w:left w:val="single" w:color="000000" w:sz="4" w:space="0"/>
              <w:bottom w:val="single" w:color="000000" w:sz="4" w:space="0"/>
              <w:right w:val="single" w:color="000000" w:sz="4" w:space="0"/>
            </w:tcBorders>
            <w:vAlign w:val="center"/>
          </w:tcPr>
          <w:p w14:paraId="298BF580">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86寸一体机</w:t>
            </w:r>
          </w:p>
        </w:tc>
        <w:tc>
          <w:tcPr>
            <w:tcW w:w="2871" w:type="pct"/>
            <w:tcBorders>
              <w:top w:val="single" w:color="000000" w:sz="4" w:space="0"/>
              <w:left w:val="single" w:color="000000" w:sz="4" w:space="0"/>
              <w:bottom w:val="single" w:color="000000" w:sz="4" w:space="0"/>
              <w:right w:val="single" w:color="000000" w:sz="4" w:space="0"/>
            </w:tcBorders>
            <w:vAlign w:val="center"/>
          </w:tcPr>
          <w:p w14:paraId="3EB7E906">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b/>
                <w:bCs/>
                <w:color w:val="auto"/>
                <w:kern w:val="0"/>
                <w:sz w:val="21"/>
                <w:szCs w:val="21"/>
                <w:lang w:bidi="ar"/>
              </w:rPr>
              <w:t>智慧黑板</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一、整机硬件功能</w:t>
            </w:r>
          </w:p>
          <w:p w14:paraId="549D6F30">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1、整机屏幕采用86英寸液晶显示器，显示比例16:9，分辨率3840×2160。</w:t>
            </w:r>
          </w:p>
          <w:p w14:paraId="032C1427">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2、屏幕采⽤≤3mm钢化玻璃保护，表⾯硬度≥石墨硬度9H或莫氏硬度7级，透光率不低于91%，雾度≤8%。</w:t>
            </w:r>
          </w:p>
          <w:p w14:paraId="59F42F75">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3、整机接口：侧置输入接口具备2路HDMI、1路RS232、1路USB接口，侧置输出接口具备1路音频输出、1路触控USB输出，前置输入接口3路USB接口（包含1路Type-C、2路USB）。</w:t>
            </w:r>
          </w:p>
          <w:p w14:paraId="13919B65">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4、整机采用≥12核国产化嵌入式芯片，CPU≥8核，整机嵌入式系统版本≥Android 15，主频≥1.6GHz，内存≥2GB，存储空间≥32GB。（需提供具有CMA标识的检验检测报告复印件）</w:t>
            </w:r>
          </w:p>
          <w:p w14:paraId="48B90BA8">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5、整机采用红外触控技术，Windows系统和Android系统均支持≥50点触控。（需提供具有CMA标识的检验检测报告复印件）</w:t>
            </w:r>
          </w:p>
          <w:p w14:paraId="180E14D3">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6、整机设备内置2.2声道扬声器，前朝向发声，12W高音扬声器2个，上朝向30W中低音扬声器2个，最大功率≥84W。（需提供具有CMA标识的检验检测报告复印件）</w:t>
            </w:r>
          </w:p>
          <w:p w14:paraId="6E172B55">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7、整机听力模式下具备AI人声语言增强功能，支持三挡强弱调节，通过AI算法提取视频/音频中的语言进行效果增强，在不增加音量的情况下提升语言清晰度，扩声系统语言传输指数（STIPA）≥0.75。</w:t>
            </w:r>
          </w:p>
          <w:p w14:paraId="760AEBA6">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8、整机内置非独立外扩展的4阵列麦克风，可用于对教室环境音频进行采集，麦克风拾音距离≥12米。</w:t>
            </w:r>
          </w:p>
          <w:p w14:paraId="30124FE0">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9、整机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需提供具有CMA标识的检验检测报告复印件）</w:t>
            </w:r>
          </w:p>
          <w:p w14:paraId="7D5ADB0F">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10、支持标准、听力、观影和AI空间感知音效模式，AI空间感知音效模式可通过内置麦克风采集教室物理环境声音，自动生成符合当前教室物理环境的频段、音量、音效。（需提供具有CMA标识的检验检测报告复印件）</w:t>
            </w:r>
          </w:p>
          <w:p w14:paraId="0E8CBDB5">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11、整机系统支持手势上滑调出人工智能画质调节模式（AI-PQ），在安卓通道下可根据屏幕内容自动调节画质参数，当屏幕出现人物、建筑、夜景等元素时，自动调整对比度、饱和度、锐利度、色调色相值、高光/阴影。（需提供具有CMA标识的检验检测报告复印件）</w:t>
            </w:r>
          </w:p>
          <w:p w14:paraId="519772FA">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12、整机具备前置物理按键，可实现开关机、音量＋－、护眼、录屏、设置功能。前置接口与按键在设备同一侧。</w:t>
            </w:r>
          </w:p>
          <w:p w14:paraId="71CBC202">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13、整机支持蓝牙Bluetooth 5.4标准。Wi-Fi制式支持IEEE 802.11 a/b/g/n/ac/ax；</w:t>
            </w:r>
          </w:p>
          <w:p w14:paraId="7DE6A022">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14、支持版本Wi-Fi6。</w:t>
            </w:r>
          </w:p>
          <w:p w14:paraId="05AC8BF0">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15、整机配套教学应用APP可通过wifi直连技术，近场发现附近教学大屏设备，无需扫码、账号密码输入步骤，即可直接连接并登录教学大屏设备，基于统一身份认证机制可实现其他教学软件免登录操作。（需提供具有CMA标识的检验检测报告复印件）</w:t>
            </w:r>
          </w:p>
          <w:p w14:paraId="5472D92F">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16、整机PC通道及安卓通道各具备一颗WiFi6无线芯片，PC和安卓通道均可通过大屏发送WiFi6热点以及连接WiFi6的路由器。</w:t>
            </w:r>
          </w:p>
          <w:p w14:paraId="11284CEC">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17、整机上边框内置非独立摄像头，采用一体化集成设计，⽀持输出4:3、16:9⽐例的图⽚和视频，支持拍摄≥1600万像素数的照片和视频，支持输出4k分辨率的视频。</w:t>
            </w:r>
          </w:p>
          <w:p w14:paraId="11F6D25F">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18、整机摄像头对角线视场角≥120度，整机摄像头支持人脸识别、清点人数、随机抽人；识别所有学生，显示标记，然后随机抽选，同时显示标记不少于60人。</w:t>
            </w:r>
          </w:p>
          <w:p w14:paraId="351D23F1">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19、整机摄像头支持环境色温判断，根据环境调节合适的显示图像效果。</w:t>
            </w:r>
          </w:p>
          <w:p w14:paraId="12E64514">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20、支持Windows 7、Windows 8、Windows 10、Windows11、Linux、Mac Os、UOS和麒麟系统外置电脑操作系统接入时，无需安装触摸驱动。</w:t>
            </w:r>
          </w:p>
          <w:p w14:paraId="236989CB">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21、整机支持提笔书写，在Windows系统下可实现无需点击任意功能入口，当检测到红外笔笔尖接触屏幕时，自动进入书写模式。（需提供具有CMA标识的检验检测报告复印件）</w:t>
            </w:r>
          </w:p>
          <w:p w14:paraId="6D12609B">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22、整机具备屏体温度实时监控、高温预警及断电保护功能。</w:t>
            </w:r>
          </w:p>
          <w:p w14:paraId="4640A802">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23、整机显示异常时屏幕会提示对应故障码，辅助问题诊断。</w:t>
            </w:r>
          </w:p>
          <w:p w14:paraId="7554D771">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24、整机设备支持多种身份识别方式，支持通过账号登录、手机扫码登录、人脸识别登录、声纹识别登录、近场发现登录，并支持账号安全登录检测。（需提供具有CMA标识的检验检测报告复印件）</w:t>
            </w:r>
          </w:p>
          <w:p w14:paraId="5C48A1EB">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25、整机侧边栏内置自习工具，通过整机麦克风监测教室中学生音量大小，当学生音量大于阈值时，屏幕自动弹窗提醒进行自习纪律干预。（需提供具有CMA标识的检验检测报告复印件）</w:t>
            </w:r>
          </w:p>
          <w:p w14:paraId="3113FF37">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26、整机内置计算器应用，支持多项式复杂计算，对多项式进行积分、求导、多项式展开和多项式分解，支持对多项式进行绘制图像，展示绘制结果。（需提供具有CMA标识的检验检测报告复印件）</w:t>
            </w:r>
          </w:p>
          <w:p w14:paraId="6F309DD9">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val="en-US" w:eastAsia="zh-CN" w:bidi="ar"/>
              </w:rPr>
              <w:t>27、</w:t>
            </w:r>
            <w:r>
              <w:rPr>
                <w:rFonts w:hint="eastAsia" w:ascii="宋体" w:hAnsi="宋体" w:eastAsia="宋体" w:cs="宋体"/>
                <w:color w:val="auto"/>
                <w:kern w:val="0"/>
                <w:sz w:val="21"/>
                <w:szCs w:val="21"/>
                <w:lang w:bidi="ar"/>
              </w:rPr>
              <w:t>OPS电脑模块</w:t>
            </w:r>
          </w:p>
          <w:p w14:paraId="2D9358C8">
            <w:pPr>
              <w:widowControl/>
              <w:textAlignment w:val="center"/>
              <w:rPr>
                <w:rFonts w:hint="eastAsia" w:ascii="宋体" w:hAnsi="宋体" w:eastAsia="宋体" w:cs="宋体"/>
                <w:color w:val="auto"/>
                <w:kern w:val="0"/>
                <w:sz w:val="21"/>
                <w:szCs w:val="21"/>
                <w:lang w:bidi="ar"/>
              </w:rPr>
            </w:pPr>
            <w:r>
              <w:rPr>
                <w:rFonts w:hint="eastAsia" w:ascii="宋体" w:hAnsi="宋体" w:cs="宋体"/>
                <w:color w:val="auto"/>
                <w:kern w:val="0"/>
                <w:sz w:val="21"/>
                <w:szCs w:val="21"/>
                <w:lang w:val="en-US" w:eastAsia="zh-CN" w:bidi="ar"/>
              </w:rPr>
              <w:t>27.1</w:t>
            </w:r>
            <w:r>
              <w:rPr>
                <w:rFonts w:hint="eastAsia" w:ascii="宋体" w:hAnsi="宋体" w:eastAsia="宋体" w:cs="宋体"/>
                <w:color w:val="auto"/>
                <w:kern w:val="0"/>
                <w:sz w:val="21"/>
                <w:szCs w:val="21"/>
                <w:lang w:bidi="ar"/>
              </w:rPr>
              <w:t>采用抽拉内置式模块化电脑，抽拉内置式，PC模块可插入整机，可实现无单独接线的插拔。≥Intel i5十二代 CPU，内存≥8GB DDR4内存配置，硬盘≥256GB SSD固态硬盘。</w:t>
            </w:r>
          </w:p>
          <w:p w14:paraId="7E7E13C1">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val="en-US" w:eastAsia="zh-CN" w:bidi="ar"/>
              </w:rPr>
              <w:t>27.2</w:t>
            </w:r>
            <w:r>
              <w:rPr>
                <w:rFonts w:hint="eastAsia" w:ascii="宋体" w:hAnsi="宋体" w:eastAsia="宋体" w:cs="宋体"/>
                <w:color w:val="auto"/>
                <w:kern w:val="0"/>
                <w:sz w:val="21"/>
                <w:szCs w:val="21"/>
                <w:lang w:bidi="ar"/>
              </w:rPr>
              <w:t>模块化电脑采用按压式卡扣，无需工具就可拆卸电脑模块。具备标准PC防盗锁孔，传输速率≥10Gbps。</w:t>
            </w:r>
          </w:p>
          <w:p w14:paraId="49A0D3C4">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二、随机同品牌软件功能</w:t>
            </w:r>
          </w:p>
          <w:p w14:paraId="6D0AF2FA">
            <w:pPr>
              <w:widowControl/>
              <w:textAlignment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原厂备授课软件功能</w:t>
            </w:r>
          </w:p>
          <w:p w14:paraId="2D473EA3">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1、支持为教师提供云存储空间，教师可在个人云空间上传存储互动课件、云教案和其他教学资源。</w:t>
            </w:r>
          </w:p>
          <w:p w14:paraId="16C230DE">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2、为全体教师配备个人账号，形成一体的信息化教学账号体系；根据教师账号信息将教师云空间匹配至对应学校、学科校本资源库。支持通过数字账号、微信二维码、硬件密钥方式登录教师个人账号。</w:t>
            </w:r>
          </w:p>
          <w:p w14:paraId="662426ED">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3、互动课件支持定向分享，分享者可将互动课件、课件组推送至指定接收方账号的云空间，接收方可在云空间接收并打开分享课件。</w:t>
            </w:r>
          </w:p>
          <w:p w14:paraId="4341284E">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4、互动课件支持开放式云分享，分享者可将互动课件、课件组以公开或加密的web链接和二维码形式进行分享，分享链接可设置访问有效期。</w:t>
            </w:r>
          </w:p>
          <w:p w14:paraId="7A4EF70F">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5、AI智能备课助手：在备课场景中支持搜索课件库课件资源，具有不少于14.9万份的课件资源，支持整份课件或按照课件页插入课件中。</w:t>
            </w:r>
          </w:p>
          <w:p w14:paraId="133A1870">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6、采用备授课一体化框架设计，教师可根据教学场景自由切换类PPT界面的备课模式与触控交互教学模式，适用于教室、办公室等不同教学环境，便于教师教学使用。</w:t>
            </w:r>
          </w:p>
          <w:p w14:paraId="1B69DE0A">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7、支持PPT的原生解析，教师可将pptx课件转化为互动教学课件，支持单份导入和批量文件夹导入两种导入方式，保留pptx原文件中的文字、图片、表格等对象及动画的可编辑性，并可为课件增加互动教学元素。</w:t>
            </w:r>
          </w:p>
          <w:p w14:paraId="59D81D16">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8、支持将互动课件导出为 pptx 、pdf、H5 或 web 链接。导出的课件支持在多终端进行二次编辑。</w:t>
            </w:r>
          </w:p>
          <w:p w14:paraId="1C7A9255">
            <w:pPr>
              <w:widowControl/>
              <w:textAlignment w:val="center"/>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bidi="ar"/>
              </w:rPr>
              <w:t>9、课件回收站功能：按照删除时间存储已删除课件，支持用户在3天内自主或彻底删除单份/多份/全部已删除课件</w:t>
            </w:r>
            <w:r>
              <w:rPr>
                <w:rFonts w:hint="eastAsia" w:ascii="宋体" w:hAnsi="宋体" w:eastAsia="宋体" w:cs="宋体"/>
                <w:color w:val="auto"/>
                <w:kern w:val="0"/>
                <w:sz w:val="21"/>
                <w:szCs w:val="21"/>
                <w:lang w:eastAsia="zh-CN" w:bidi="ar"/>
              </w:rPr>
              <w:t>。</w:t>
            </w:r>
          </w:p>
          <w:p w14:paraId="290BB9F5">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10、具备云端静默推送下载功能，无需用户手动下载即可实现应用的在线升级，升级具有信息验证机制，确保教学秩序不受干扰。</w:t>
            </w:r>
          </w:p>
          <w:p w14:paraId="068856CD">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11、胶囊式微课功能内置于交互式课件工具中，支持快速录制胶囊式微课，微课可录制保存音频和课件的互动操作。</w:t>
            </w:r>
          </w:p>
          <w:p w14:paraId="78D3481C">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12、提供至少30种应用于文本、形状、图片等课件元素的触发动画，可对动画的设置触发条件、动画声效、动画时长、动画延迟和动画方向进行自定义设置。支持对任意课件元素自定义路径动画，可自由绘制动画移动轨迹使课件元素沿轨迹路径进行移动。一个课件元素支持同时设置多组出现、消失、路径动画。</w:t>
            </w:r>
          </w:p>
          <w:p w14:paraId="2019A871">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13、课堂互动游戏支持云储存，编辑完成的活动可一键存储至教师云空间，便于在不同课件中直接调用，无需反复编辑。</w:t>
            </w:r>
          </w:p>
          <w:p w14:paraId="05524AED">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14、AI智能生成课堂活动：具有课堂活动智能填写功能，支持选词填空、判断对错和趣味选择三大课堂活动，输入文本后可以一键解析，自动将文本内容结构化填充至题干和正确选项，完成课堂活动的制作。</w:t>
            </w:r>
          </w:p>
          <w:p w14:paraId="6D3293FD">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15、智能手写识别：支持将手绘形状、中英文、公式转换为规范几何图形和文字</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b/>
                <w:bCs/>
                <w:color w:val="auto"/>
                <w:kern w:val="0"/>
                <w:sz w:val="21"/>
                <w:szCs w:val="21"/>
                <w:lang w:val="en-US" w:eastAsia="zh-CN" w:bidi="ar"/>
              </w:rPr>
              <w:t>二、</w:t>
            </w:r>
            <w:r>
              <w:rPr>
                <w:rFonts w:hint="eastAsia" w:ascii="宋体" w:hAnsi="宋体" w:eastAsia="宋体" w:cs="宋体"/>
                <w:b/>
                <w:bCs/>
                <w:color w:val="auto"/>
                <w:kern w:val="0"/>
                <w:sz w:val="21"/>
                <w:szCs w:val="21"/>
                <w:lang w:bidi="ar"/>
              </w:rPr>
              <w:t>光能黑板</w:t>
            </w:r>
          </w:p>
          <w:p w14:paraId="5B39CA97">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1、结构：产品整体结构上采取左、右柔性液晶光能黑板配合中间86寸液晶一体机的组合方式，单块光能黑板尺寸≥1100mm*1150mm。</w:t>
            </w:r>
          </w:p>
          <w:p w14:paraId="6D8615F0">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2、无粉尘、无需专用耗材：采用多种笔杆均可在板面进行书写。</w:t>
            </w:r>
          </w:p>
          <w:p w14:paraId="5F238176">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3、一键擦除：支持一键擦除，擦除应无断点、无死角等，擦除后应无明显残留痕迹。</w:t>
            </w:r>
          </w:p>
          <w:p w14:paraId="26563C48">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4、可视距离：书写笔迹可视距离≥30米，可视角度≥140°。</w:t>
            </w:r>
          </w:p>
          <w:p w14:paraId="28326DB1">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5、保护视力：自然光反射呈字，无电离辐射，长时间观看不刺激眼睛。</w:t>
            </w:r>
          </w:p>
          <w:p w14:paraId="6CE25A1B">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6、局部擦除：为方便使用，可使用板擦和手势对板书进行局部擦除，局部擦除时间不大于0.4秒，擦除应无断点、无死角等。</w:t>
            </w:r>
          </w:p>
          <w:p w14:paraId="0BD15432">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7、书写：板面粗糙度Sa≤0.7um。</w:t>
            </w:r>
          </w:p>
          <w:p w14:paraId="549F8B1D">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8、同步传输保存：板书内容可以同步传输到光能板所配套显示设备中进行保存，方便后期的课件使用。</w:t>
            </w:r>
          </w:p>
          <w:p w14:paraId="3372EA31">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9、安全性：考虑黑板的边角安全因素，黑板四角应为圆角，且径向半径不小于4mm，法向半径不小于0.3mm。</w:t>
            </w:r>
          </w:p>
          <w:p w14:paraId="40C9D3E1">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10、为让老师能够快速调取交互软件，方便使用功能，光能黑板具有触摸快捷键。</w:t>
            </w:r>
          </w:p>
          <w:p w14:paraId="2669358D">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11、软件要求</w:t>
            </w:r>
          </w:p>
          <w:p w14:paraId="6930294D">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11.1左、右光能黑板可与触控一体机进行互动，将光能黑板的内容与触控一体机无缝连接，教师在光能黑板上的书写内容可同步显示在触控一体机上。</w:t>
            </w:r>
          </w:p>
          <w:p w14:paraId="4B32C880">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11.2可以通过触摸快捷键快速切换单页和多页显示：单板书写时，可单页面显示（此时只有一块黑板界面）；多板同时书写时，可多页面同时显示。</w:t>
            </w:r>
          </w:p>
          <w:p w14:paraId="26EC4605">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11.3当不需要板书传输到软件显示界面时，可以使用分屏功能，断开黑板与大屏的传输，使其成为互不影响的多块黑板。</w:t>
            </w:r>
          </w:p>
          <w:p w14:paraId="2261ABCD">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11.4设置不同的软件端笔迹颜色，可实现老师对于教学重点的标识及批注；</w:t>
            </w:r>
          </w:p>
          <w:p w14:paraId="53546B6B">
            <w:pPr>
              <w:widowControl/>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11.5黑板上具有一键保存快捷键，支持一键将当前所有板书内容保存为PDF文件，方便老师进行课后保存分享。</w:t>
            </w:r>
          </w:p>
          <w:p w14:paraId="3E996156">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b/>
                <w:bCs/>
                <w:color w:val="auto"/>
                <w:kern w:val="0"/>
                <w:sz w:val="21"/>
                <w:szCs w:val="21"/>
                <w:lang w:val="en-US" w:eastAsia="zh-CN" w:bidi="ar"/>
              </w:rPr>
              <w:t>三、视频展台</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1、采用≥800万像素摄像头。</w:t>
            </w:r>
          </w:p>
          <w:p w14:paraId="6535CDA6">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2、A4大小拍摄幅面，1080P动态视频预览达到30帧/秒。</w:t>
            </w:r>
          </w:p>
          <w:p w14:paraId="50563C7B">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3、整机采用圆弧式设计，无锐角；托板可承重3kg，同时托板采用磁吸吸附式机构。</w:t>
            </w:r>
          </w:p>
          <w:p w14:paraId="4DE62A11">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4、展示托板正上方具备LED补光灯补光灯开关采用触摸按键设计，同时可通过视频展台软件直接控制开关。</w:t>
            </w:r>
          </w:p>
          <w:p w14:paraId="681EE991">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5、摄像头支持自动对焦。</w:t>
            </w:r>
          </w:p>
          <w:p w14:paraId="6122B1F3">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6、支持展台画面实时批注，预设多种笔划粗细及颜色供选择，且支持对展台画面联同批注内容进行同步缩放、移动。</w:t>
            </w:r>
          </w:p>
          <w:p w14:paraId="5D733DEA">
            <w:pPr>
              <w:widowControl/>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7、二维码扫码：打开扫一扫功能后，将书本上的二维码放入扫描框内即可自动扫描，并进入系统浏览器获取二维码的链接内容，可获取电子教学资源。</w:t>
            </w:r>
          </w:p>
          <w:p w14:paraId="10512CB2">
            <w:pPr>
              <w:widowControl/>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8、支持故障自动检测，在软件无法出现展台拍摄画面时，自动出现检测链接，检测“无画面”的原因，并给出引导性解决方案。可判断硬件连接、显卡驱动、摄像头占用、软件版本等问题。</w:t>
            </w:r>
          </w:p>
        </w:tc>
        <w:tc>
          <w:tcPr>
            <w:tcW w:w="467" w:type="pct"/>
            <w:tcBorders>
              <w:top w:val="single" w:color="000000" w:sz="4" w:space="0"/>
              <w:left w:val="single" w:color="000000" w:sz="4" w:space="0"/>
              <w:bottom w:val="single" w:color="000000" w:sz="4" w:space="0"/>
              <w:right w:val="single" w:color="000000" w:sz="4" w:space="0"/>
            </w:tcBorders>
            <w:noWrap/>
            <w:vAlign w:val="center"/>
          </w:tcPr>
          <w:p w14:paraId="565D5A18">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488" w:type="pct"/>
            <w:tcBorders>
              <w:top w:val="single" w:color="000000" w:sz="4" w:space="0"/>
              <w:left w:val="single" w:color="000000" w:sz="4" w:space="0"/>
              <w:bottom w:val="single" w:color="000000" w:sz="4" w:space="0"/>
              <w:right w:val="single" w:color="000000" w:sz="4" w:space="0"/>
            </w:tcBorders>
            <w:noWrap/>
            <w:vAlign w:val="center"/>
          </w:tcPr>
          <w:p w14:paraId="09E70E0C">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r>
      <w:tr w14:paraId="7D47937E">
        <w:tblPrEx>
          <w:tblCellMar>
            <w:top w:w="0" w:type="dxa"/>
            <w:left w:w="108" w:type="dxa"/>
            <w:bottom w:w="0" w:type="dxa"/>
            <w:right w:w="108" w:type="dxa"/>
          </w:tblCellMar>
        </w:tblPrEx>
        <w:trPr>
          <w:trHeight w:val="560" w:hRule="atLeast"/>
        </w:trPr>
        <w:tc>
          <w:tcPr>
            <w:tcW w:w="420" w:type="pct"/>
            <w:tcBorders>
              <w:top w:val="single" w:color="000000" w:sz="4" w:space="0"/>
              <w:left w:val="single" w:color="000000" w:sz="4" w:space="0"/>
              <w:bottom w:val="single" w:color="000000" w:sz="4" w:space="0"/>
              <w:right w:val="single" w:color="000000" w:sz="4" w:space="0"/>
            </w:tcBorders>
            <w:noWrap/>
            <w:vAlign w:val="center"/>
          </w:tcPr>
          <w:p w14:paraId="21779EF2">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w:t>
            </w:r>
          </w:p>
        </w:tc>
        <w:tc>
          <w:tcPr>
            <w:tcW w:w="752" w:type="pct"/>
            <w:tcBorders>
              <w:top w:val="single" w:color="000000" w:sz="4" w:space="0"/>
              <w:left w:val="single" w:color="000000" w:sz="4" w:space="0"/>
              <w:bottom w:val="single" w:color="000000" w:sz="4" w:space="0"/>
              <w:right w:val="single" w:color="000000" w:sz="4" w:space="0"/>
            </w:tcBorders>
            <w:vAlign w:val="center"/>
          </w:tcPr>
          <w:p w14:paraId="2876ED6D">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教育灯盘</w:t>
            </w:r>
          </w:p>
        </w:tc>
        <w:tc>
          <w:tcPr>
            <w:tcW w:w="5126" w:type="dxa"/>
            <w:tcBorders>
              <w:top w:val="single" w:color="000000" w:sz="4" w:space="0"/>
              <w:left w:val="single" w:color="000000" w:sz="4" w:space="0"/>
              <w:bottom w:val="single" w:color="000000" w:sz="4" w:space="0"/>
              <w:right w:val="single" w:color="000000" w:sz="4" w:space="0"/>
            </w:tcBorders>
            <w:vAlign w:val="center"/>
          </w:tcPr>
          <w:p w14:paraId="3ABD1E49">
            <w:pPr>
              <w:widowControl/>
              <w:textAlignment w:val="center"/>
              <w:rPr>
                <w:rFonts w:hint="eastAsia" w:ascii="宋体" w:hAnsi="宋体" w:eastAsia="宋体" w:cs="宋体"/>
                <w:color w:val="auto"/>
                <w:sz w:val="21"/>
                <w:szCs w:val="21"/>
              </w:rPr>
            </w:pPr>
            <w:r>
              <w:rPr>
                <w:rFonts w:hint="eastAsia"/>
                <w:color w:val="auto"/>
                <w:lang w:val="en-US" w:eastAsia="zh-CN"/>
              </w:rPr>
              <w:t>1、</w:t>
            </w:r>
            <w:r>
              <w:rPr>
                <w:rFonts w:hint="eastAsia" w:ascii="宋体" w:hAnsi="宋体" w:eastAsia="宋体" w:cs="宋体"/>
                <w:color w:val="auto"/>
                <w:kern w:val="0"/>
                <w:sz w:val="21"/>
                <w:szCs w:val="21"/>
                <w:lang w:bidi="ar"/>
              </w:rPr>
              <w:t>尺寸：600*600*35mm嵌装</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cs="宋体"/>
                <w:color w:val="auto"/>
                <w:kern w:val="0"/>
                <w:sz w:val="21"/>
                <w:szCs w:val="21"/>
                <w:lang w:val="en-US" w:eastAsia="zh-CN" w:bidi="ar"/>
              </w:rPr>
              <w:t>2、</w:t>
            </w:r>
            <w:r>
              <w:rPr>
                <w:rFonts w:hint="eastAsia" w:ascii="宋体" w:hAnsi="宋体" w:eastAsia="宋体" w:cs="宋体"/>
                <w:color w:val="auto"/>
                <w:kern w:val="0"/>
                <w:sz w:val="21"/>
                <w:szCs w:val="21"/>
                <w:lang w:bidi="ar"/>
              </w:rPr>
              <w:t>功率</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32W</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cs="宋体"/>
                <w:color w:val="auto"/>
                <w:kern w:val="0"/>
                <w:sz w:val="21"/>
                <w:szCs w:val="21"/>
                <w:lang w:val="en-US" w:eastAsia="zh-CN" w:bidi="ar"/>
              </w:rPr>
              <w:t>3、</w:t>
            </w:r>
            <w:r>
              <w:rPr>
                <w:rFonts w:hint="eastAsia" w:ascii="宋体" w:hAnsi="宋体" w:eastAsia="宋体" w:cs="宋体"/>
                <w:color w:val="auto"/>
                <w:kern w:val="0"/>
                <w:sz w:val="21"/>
                <w:szCs w:val="21"/>
                <w:lang w:bidi="ar"/>
              </w:rPr>
              <w:t>流明</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110/W</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cs="宋体"/>
                <w:color w:val="auto"/>
                <w:kern w:val="0"/>
                <w:sz w:val="21"/>
                <w:szCs w:val="21"/>
                <w:lang w:val="en-US" w:eastAsia="zh-CN" w:bidi="ar"/>
              </w:rPr>
              <w:t>4、</w:t>
            </w:r>
            <w:r>
              <w:rPr>
                <w:rFonts w:hint="eastAsia" w:ascii="宋体" w:hAnsi="宋体" w:eastAsia="宋体" w:cs="宋体"/>
                <w:color w:val="auto"/>
                <w:kern w:val="0"/>
                <w:sz w:val="21"/>
                <w:szCs w:val="21"/>
                <w:lang w:bidi="ar"/>
              </w:rPr>
              <w:t>色温：4000K-5000K</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cs="宋体"/>
                <w:color w:val="auto"/>
                <w:kern w:val="0"/>
                <w:sz w:val="21"/>
                <w:szCs w:val="21"/>
                <w:lang w:val="en-US" w:eastAsia="zh-CN" w:bidi="ar"/>
              </w:rPr>
              <w:t>5、</w:t>
            </w:r>
            <w:r>
              <w:rPr>
                <w:rFonts w:hint="eastAsia" w:ascii="宋体" w:hAnsi="宋体" w:eastAsia="宋体" w:cs="宋体"/>
                <w:color w:val="auto"/>
                <w:kern w:val="0"/>
                <w:sz w:val="21"/>
                <w:szCs w:val="21"/>
                <w:lang w:bidi="ar"/>
              </w:rPr>
              <w:t>显色性≥90</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特殊显色指数R9≥40</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眩光等级≥19</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蓝光：RG0</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cs="宋体"/>
                <w:color w:val="auto"/>
                <w:kern w:val="0"/>
                <w:sz w:val="21"/>
                <w:szCs w:val="21"/>
                <w:lang w:val="en-US" w:eastAsia="zh-CN" w:bidi="ar"/>
              </w:rPr>
              <w:t>6、</w:t>
            </w:r>
            <w:r>
              <w:rPr>
                <w:rFonts w:hint="eastAsia" w:ascii="宋体" w:hAnsi="宋体" w:eastAsia="宋体" w:cs="宋体"/>
                <w:color w:val="auto"/>
                <w:kern w:val="0"/>
                <w:sz w:val="21"/>
                <w:szCs w:val="21"/>
                <w:lang w:bidi="ar"/>
              </w:rPr>
              <w:t>功率因数≥0.95</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cs="宋体"/>
                <w:color w:val="auto"/>
                <w:kern w:val="0"/>
                <w:sz w:val="21"/>
                <w:szCs w:val="21"/>
                <w:lang w:val="en-US" w:eastAsia="zh-CN" w:bidi="ar"/>
              </w:rPr>
              <w:t>7、</w:t>
            </w:r>
            <w:r>
              <w:rPr>
                <w:rFonts w:hint="eastAsia" w:ascii="宋体" w:hAnsi="宋体" w:eastAsia="宋体" w:cs="宋体"/>
                <w:color w:val="auto"/>
                <w:kern w:val="0"/>
                <w:sz w:val="21"/>
                <w:szCs w:val="21"/>
                <w:lang w:bidi="ar"/>
              </w:rPr>
              <w:t>频闪：无频闪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cs="宋体"/>
                <w:color w:val="auto"/>
                <w:kern w:val="0"/>
                <w:sz w:val="21"/>
                <w:szCs w:val="21"/>
                <w:lang w:val="en-US" w:eastAsia="zh-CN" w:bidi="ar"/>
              </w:rPr>
              <w:t>8、</w:t>
            </w:r>
            <w:r>
              <w:rPr>
                <w:rFonts w:hint="eastAsia" w:ascii="宋体" w:hAnsi="宋体" w:eastAsia="宋体" w:cs="宋体"/>
                <w:color w:val="auto"/>
                <w:kern w:val="0"/>
                <w:sz w:val="21"/>
                <w:szCs w:val="21"/>
                <w:lang w:bidi="ar"/>
              </w:rPr>
              <w:t>灯具寿命：≥50000hrs。</w:t>
            </w:r>
          </w:p>
        </w:tc>
        <w:tc>
          <w:tcPr>
            <w:tcW w:w="467" w:type="pct"/>
            <w:tcBorders>
              <w:top w:val="single" w:color="000000" w:sz="4" w:space="0"/>
              <w:left w:val="single" w:color="000000" w:sz="4" w:space="0"/>
              <w:bottom w:val="single" w:color="000000" w:sz="4" w:space="0"/>
              <w:right w:val="single" w:color="000000" w:sz="4" w:space="0"/>
            </w:tcBorders>
            <w:noWrap/>
            <w:vAlign w:val="center"/>
          </w:tcPr>
          <w:p w14:paraId="7BB0300D">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w:t>
            </w:r>
          </w:p>
        </w:tc>
        <w:tc>
          <w:tcPr>
            <w:tcW w:w="488" w:type="pct"/>
            <w:tcBorders>
              <w:top w:val="single" w:color="000000" w:sz="4" w:space="0"/>
              <w:left w:val="single" w:color="000000" w:sz="4" w:space="0"/>
              <w:bottom w:val="single" w:color="000000" w:sz="4" w:space="0"/>
              <w:right w:val="single" w:color="000000" w:sz="4" w:space="0"/>
            </w:tcBorders>
            <w:noWrap/>
            <w:vAlign w:val="center"/>
          </w:tcPr>
          <w:p w14:paraId="446C264C">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个</w:t>
            </w:r>
          </w:p>
        </w:tc>
      </w:tr>
      <w:tr w14:paraId="64A76CAC">
        <w:tblPrEx>
          <w:tblCellMar>
            <w:top w:w="0" w:type="dxa"/>
            <w:left w:w="108" w:type="dxa"/>
            <w:bottom w:w="0" w:type="dxa"/>
            <w:right w:w="108" w:type="dxa"/>
          </w:tblCellMar>
        </w:tblPrEx>
        <w:trPr>
          <w:trHeight w:val="560" w:hRule="atLeast"/>
        </w:trPr>
        <w:tc>
          <w:tcPr>
            <w:tcW w:w="420" w:type="pct"/>
            <w:tcBorders>
              <w:top w:val="single" w:color="000000" w:sz="4" w:space="0"/>
              <w:left w:val="single" w:color="000000" w:sz="4" w:space="0"/>
              <w:bottom w:val="single" w:color="000000" w:sz="4" w:space="0"/>
              <w:right w:val="single" w:color="000000" w:sz="4" w:space="0"/>
            </w:tcBorders>
            <w:noWrap/>
            <w:vAlign w:val="center"/>
          </w:tcPr>
          <w:p w14:paraId="21DD3AF7">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w:t>
            </w:r>
          </w:p>
        </w:tc>
        <w:tc>
          <w:tcPr>
            <w:tcW w:w="752" w:type="pct"/>
            <w:tcBorders>
              <w:top w:val="single" w:color="000000" w:sz="4" w:space="0"/>
              <w:left w:val="single" w:color="000000" w:sz="4" w:space="0"/>
              <w:bottom w:val="single" w:color="000000" w:sz="4" w:space="0"/>
              <w:right w:val="single" w:color="000000" w:sz="4" w:space="0"/>
            </w:tcBorders>
            <w:vAlign w:val="center"/>
          </w:tcPr>
          <w:p w14:paraId="119F357F">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学科窗帘</w:t>
            </w:r>
          </w:p>
        </w:tc>
        <w:tc>
          <w:tcPr>
            <w:tcW w:w="5126" w:type="dxa"/>
            <w:tcBorders>
              <w:top w:val="single" w:color="000000" w:sz="4" w:space="0"/>
              <w:left w:val="single" w:color="000000" w:sz="4" w:space="0"/>
              <w:bottom w:val="single" w:color="000000" w:sz="4" w:space="0"/>
              <w:right w:val="single" w:color="000000" w:sz="4" w:space="0"/>
            </w:tcBorders>
            <w:vAlign w:val="center"/>
          </w:tcPr>
          <w:p w14:paraId="141328E7">
            <w:pPr>
              <w:widowControl/>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1、窗帘采用双喷布喷绘印制，含窗帘卷管、下杆和拉珠。卷管采用铝合金加厚管，下杆采用 PVC 加厚扁杆。</w:t>
            </w:r>
            <w:r>
              <w:rPr>
                <w:rFonts w:hint="eastAsia" w:ascii="宋体" w:hAnsi="宋体" w:cs="宋体"/>
                <w:color w:val="auto"/>
                <w:kern w:val="0"/>
                <w:sz w:val="21"/>
                <w:szCs w:val="21"/>
                <w:lang w:val="en-US" w:eastAsia="zh-CN" w:bidi="ar"/>
              </w:rPr>
              <w:t>遮光率</w:t>
            </w: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val="en-US" w:eastAsia="zh-CN" w:bidi="ar"/>
              </w:rPr>
              <w:t>95%。</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2、尺寸</w:t>
            </w:r>
            <w:r>
              <w:rPr>
                <w:rFonts w:hint="eastAsia" w:ascii="宋体" w:hAnsi="宋体" w:cs="宋体"/>
                <w:color w:val="auto"/>
                <w:kern w:val="0"/>
                <w:sz w:val="21"/>
                <w:szCs w:val="21"/>
                <w:lang w:val="en-US" w:eastAsia="zh-CN" w:bidi="ar"/>
              </w:rPr>
              <w:t>按实验室具体情况</w:t>
            </w:r>
            <w:r>
              <w:rPr>
                <w:rFonts w:hint="eastAsia" w:ascii="宋体" w:hAnsi="宋体" w:eastAsia="宋体" w:cs="宋体"/>
                <w:color w:val="auto"/>
                <w:kern w:val="0"/>
                <w:sz w:val="21"/>
                <w:szCs w:val="21"/>
                <w:lang w:bidi="ar"/>
              </w:rPr>
              <w:t>订制，在窗帘上印制</w:t>
            </w:r>
            <w:r>
              <w:rPr>
                <w:rFonts w:hint="eastAsia" w:ascii="宋体" w:hAnsi="宋体" w:eastAsia="宋体" w:cs="宋体"/>
                <w:color w:val="auto"/>
                <w:kern w:val="0"/>
                <w:sz w:val="21"/>
                <w:szCs w:val="21"/>
                <w:lang w:val="en-US" w:eastAsia="zh-CN" w:bidi="ar"/>
              </w:rPr>
              <w:t>生物</w:t>
            </w:r>
            <w:r>
              <w:rPr>
                <w:rFonts w:hint="eastAsia" w:ascii="宋体" w:hAnsi="宋体" w:eastAsia="宋体" w:cs="宋体"/>
                <w:color w:val="auto"/>
                <w:kern w:val="0"/>
                <w:sz w:val="21"/>
                <w:szCs w:val="21"/>
                <w:lang w:bidi="ar"/>
              </w:rPr>
              <w:t>相关学科内容介绍或印制学校 Logo。</w:t>
            </w:r>
          </w:p>
        </w:tc>
        <w:tc>
          <w:tcPr>
            <w:tcW w:w="467" w:type="pct"/>
            <w:tcBorders>
              <w:top w:val="single" w:color="000000" w:sz="4" w:space="0"/>
              <w:left w:val="single" w:color="000000" w:sz="4" w:space="0"/>
              <w:bottom w:val="single" w:color="000000" w:sz="4" w:space="0"/>
              <w:right w:val="single" w:color="000000" w:sz="4" w:space="0"/>
            </w:tcBorders>
            <w:noWrap/>
            <w:vAlign w:val="center"/>
          </w:tcPr>
          <w:p w14:paraId="1C0CD608">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488" w:type="pct"/>
            <w:tcBorders>
              <w:top w:val="single" w:color="000000" w:sz="4" w:space="0"/>
              <w:left w:val="single" w:color="000000" w:sz="4" w:space="0"/>
              <w:bottom w:val="single" w:color="000000" w:sz="4" w:space="0"/>
              <w:right w:val="single" w:color="000000" w:sz="4" w:space="0"/>
            </w:tcBorders>
            <w:noWrap/>
            <w:vAlign w:val="center"/>
          </w:tcPr>
          <w:p w14:paraId="6BFF8D98">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r>
    </w:tbl>
    <w:p w14:paraId="5C4F4EC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 xml:space="preserve"> 4、配套改造服务</w:t>
      </w:r>
    </w:p>
    <w:tbl>
      <w:tblPr>
        <w:tblStyle w:val="21"/>
        <w:tblW w:w="9071" w:type="dxa"/>
        <w:jc w:val="center"/>
        <w:tblLayout w:type="fixed"/>
        <w:tblCellMar>
          <w:top w:w="0" w:type="dxa"/>
          <w:left w:w="108" w:type="dxa"/>
          <w:bottom w:w="0" w:type="dxa"/>
          <w:right w:w="108" w:type="dxa"/>
        </w:tblCellMar>
      </w:tblPr>
      <w:tblGrid>
        <w:gridCol w:w="797"/>
        <w:gridCol w:w="3005"/>
        <w:gridCol w:w="3051"/>
        <w:gridCol w:w="1031"/>
        <w:gridCol w:w="1187"/>
      </w:tblGrid>
      <w:tr w14:paraId="759F578B">
        <w:tblPrEx>
          <w:tblCellMar>
            <w:top w:w="0" w:type="dxa"/>
            <w:left w:w="108" w:type="dxa"/>
            <w:bottom w:w="0" w:type="dxa"/>
            <w:right w:w="108" w:type="dxa"/>
          </w:tblCellMar>
        </w:tblPrEx>
        <w:trPr>
          <w:trHeight w:val="561" w:hRule="atLeast"/>
          <w:jc w:val="center"/>
        </w:trPr>
        <w:tc>
          <w:tcPr>
            <w:tcW w:w="797" w:type="dxa"/>
            <w:tcBorders>
              <w:top w:val="single" w:color="000000" w:sz="4" w:space="0"/>
              <w:left w:val="single" w:color="000000" w:sz="4" w:space="0"/>
              <w:bottom w:val="single" w:color="000000" w:sz="4" w:space="0"/>
              <w:right w:val="single" w:color="000000" w:sz="4" w:space="0"/>
            </w:tcBorders>
            <w:noWrap w:val="0"/>
            <w:vAlign w:val="center"/>
          </w:tcPr>
          <w:p w14:paraId="604E5541">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序号</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5FEDE338">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货物名称</w:t>
            </w:r>
          </w:p>
        </w:tc>
        <w:tc>
          <w:tcPr>
            <w:tcW w:w="3051" w:type="dxa"/>
            <w:tcBorders>
              <w:top w:val="single" w:color="000000" w:sz="4" w:space="0"/>
              <w:left w:val="single" w:color="000000" w:sz="4" w:space="0"/>
              <w:bottom w:val="single" w:color="000000" w:sz="4" w:space="0"/>
              <w:right w:val="single" w:color="000000" w:sz="4" w:space="0"/>
            </w:tcBorders>
            <w:noWrap w:val="0"/>
            <w:vAlign w:val="center"/>
          </w:tcPr>
          <w:p w14:paraId="06138F98">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技术参数</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14:paraId="4FF58B96">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数量</w:t>
            </w: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69701B76">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单位</w:t>
            </w:r>
          </w:p>
        </w:tc>
      </w:tr>
      <w:tr w14:paraId="5FF47997">
        <w:tblPrEx>
          <w:tblCellMar>
            <w:top w:w="0" w:type="dxa"/>
            <w:left w:w="108" w:type="dxa"/>
            <w:bottom w:w="0" w:type="dxa"/>
            <w:right w:w="108" w:type="dxa"/>
          </w:tblCellMar>
        </w:tblPrEx>
        <w:trPr>
          <w:trHeight w:val="561" w:hRule="atLeast"/>
          <w:jc w:val="center"/>
        </w:trPr>
        <w:tc>
          <w:tcPr>
            <w:tcW w:w="797" w:type="dxa"/>
            <w:tcBorders>
              <w:top w:val="single" w:color="000000" w:sz="4" w:space="0"/>
              <w:left w:val="single" w:color="000000" w:sz="4" w:space="0"/>
              <w:bottom w:val="single" w:color="000000" w:sz="4" w:space="0"/>
              <w:right w:val="single" w:color="000000" w:sz="4" w:space="0"/>
            </w:tcBorders>
            <w:noWrap/>
            <w:vAlign w:val="center"/>
          </w:tcPr>
          <w:p w14:paraId="28B0F0CA">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sz w:val="21"/>
                <w:szCs w:val="21"/>
              </w:rPr>
              <w:t>1</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5D2F712D">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sz w:val="21"/>
                <w:szCs w:val="21"/>
              </w:rPr>
              <w:t>600*600铝矿棉复合板吊顶</w:t>
            </w:r>
          </w:p>
        </w:tc>
        <w:tc>
          <w:tcPr>
            <w:tcW w:w="3051" w:type="dxa"/>
            <w:tcBorders>
              <w:top w:val="single" w:color="000000" w:sz="4" w:space="0"/>
              <w:left w:val="single" w:color="000000" w:sz="4" w:space="0"/>
              <w:bottom w:val="single" w:color="000000" w:sz="4" w:space="0"/>
              <w:right w:val="single" w:color="000000" w:sz="4" w:space="0"/>
            </w:tcBorders>
            <w:noWrap w:val="0"/>
            <w:vAlign w:val="center"/>
          </w:tcPr>
          <w:p w14:paraId="4B7C790C">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sz w:val="21"/>
                <w:szCs w:val="21"/>
              </w:rPr>
              <w:t>板材厚度1.0mm，背衬10mm矿棉吸音板</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14:paraId="0065DAB4">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270</w:t>
            </w: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487257AA">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平方</w:t>
            </w:r>
          </w:p>
        </w:tc>
      </w:tr>
      <w:tr w14:paraId="6717BD7E">
        <w:tblPrEx>
          <w:tblCellMar>
            <w:top w:w="0" w:type="dxa"/>
            <w:left w:w="108" w:type="dxa"/>
            <w:bottom w:w="0" w:type="dxa"/>
            <w:right w:w="108" w:type="dxa"/>
          </w:tblCellMar>
        </w:tblPrEx>
        <w:trPr>
          <w:trHeight w:val="569" w:hRule="atLeast"/>
          <w:jc w:val="center"/>
        </w:trPr>
        <w:tc>
          <w:tcPr>
            <w:tcW w:w="797" w:type="dxa"/>
            <w:tcBorders>
              <w:top w:val="single" w:color="000000" w:sz="4" w:space="0"/>
              <w:left w:val="single" w:color="000000" w:sz="4" w:space="0"/>
              <w:bottom w:val="single" w:color="000000" w:sz="4" w:space="0"/>
              <w:right w:val="single" w:color="000000" w:sz="4" w:space="0"/>
            </w:tcBorders>
            <w:noWrap/>
            <w:vAlign w:val="center"/>
          </w:tcPr>
          <w:p w14:paraId="55083745">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sz w:val="21"/>
                <w:szCs w:val="21"/>
              </w:rPr>
              <w:t>2</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7FF9274B">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sz w:val="21"/>
                <w:szCs w:val="21"/>
              </w:rPr>
              <w:t>PVC地板</w:t>
            </w:r>
          </w:p>
        </w:tc>
        <w:tc>
          <w:tcPr>
            <w:tcW w:w="3051" w:type="dxa"/>
            <w:tcBorders>
              <w:top w:val="single" w:color="000000" w:sz="4" w:space="0"/>
              <w:left w:val="single" w:color="000000" w:sz="4" w:space="0"/>
              <w:bottom w:val="single" w:color="000000" w:sz="4" w:space="0"/>
              <w:right w:val="single" w:color="000000" w:sz="4" w:space="0"/>
            </w:tcBorders>
            <w:noWrap w:val="0"/>
            <w:vAlign w:val="center"/>
          </w:tcPr>
          <w:p w14:paraId="0F9F7E5A">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sz w:val="21"/>
                <w:szCs w:val="21"/>
              </w:rPr>
              <w:t>地板厚度2.0mm,同质透芯</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14:paraId="4B2E77E0">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270</w:t>
            </w: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43640DA9">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bidi="ar"/>
              </w:rPr>
              <w:t>平方</w:t>
            </w:r>
          </w:p>
        </w:tc>
      </w:tr>
      <w:tr w14:paraId="4C785D41">
        <w:tblPrEx>
          <w:tblCellMar>
            <w:top w:w="0" w:type="dxa"/>
            <w:left w:w="108" w:type="dxa"/>
            <w:bottom w:w="0" w:type="dxa"/>
            <w:right w:w="108" w:type="dxa"/>
          </w:tblCellMar>
        </w:tblPrEx>
        <w:trPr>
          <w:trHeight w:val="561" w:hRule="atLeast"/>
          <w:jc w:val="center"/>
        </w:trPr>
        <w:tc>
          <w:tcPr>
            <w:tcW w:w="797" w:type="dxa"/>
            <w:tcBorders>
              <w:top w:val="single" w:color="000000" w:sz="4" w:space="0"/>
              <w:left w:val="single" w:color="000000" w:sz="4" w:space="0"/>
              <w:bottom w:val="single" w:color="000000" w:sz="4" w:space="0"/>
              <w:right w:val="single" w:color="000000" w:sz="4" w:space="0"/>
            </w:tcBorders>
            <w:noWrap/>
            <w:vAlign w:val="center"/>
          </w:tcPr>
          <w:p w14:paraId="4B2F82C7">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sz w:val="21"/>
                <w:szCs w:val="21"/>
              </w:rPr>
              <w:t>3</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765BACD1">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sz w:val="21"/>
                <w:szCs w:val="21"/>
              </w:rPr>
              <w:t>8mm碳晶防撞墙板</w:t>
            </w:r>
          </w:p>
        </w:tc>
        <w:tc>
          <w:tcPr>
            <w:tcW w:w="3051" w:type="dxa"/>
            <w:tcBorders>
              <w:top w:val="single" w:color="000000" w:sz="4" w:space="0"/>
              <w:left w:val="single" w:color="000000" w:sz="4" w:space="0"/>
              <w:bottom w:val="single" w:color="000000" w:sz="4" w:space="0"/>
              <w:right w:val="single" w:color="000000" w:sz="4" w:space="0"/>
            </w:tcBorders>
            <w:noWrap w:val="0"/>
            <w:vAlign w:val="center"/>
          </w:tcPr>
          <w:p w14:paraId="1C18DAD9">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sz w:val="21"/>
                <w:szCs w:val="21"/>
              </w:rPr>
              <w:t>甲醛释放量ENF级，燃烧性能B1级</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14:paraId="63E6EDE2">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360</w:t>
            </w: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46C34B52">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平方</w:t>
            </w:r>
          </w:p>
        </w:tc>
      </w:tr>
      <w:tr w14:paraId="553AF929">
        <w:tblPrEx>
          <w:tblCellMar>
            <w:top w:w="0" w:type="dxa"/>
            <w:left w:w="108" w:type="dxa"/>
            <w:bottom w:w="0" w:type="dxa"/>
            <w:right w:w="108" w:type="dxa"/>
          </w:tblCellMar>
        </w:tblPrEx>
        <w:trPr>
          <w:trHeight w:val="561" w:hRule="atLeast"/>
          <w:jc w:val="center"/>
        </w:trPr>
        <w:tc>
          <w:tcPr>
            <w:tcW w:w="797" w:type="dxa"/>
            <w:tcBorders>
              <w:top w:val="single" w:color="000000" w:sz="4" w:space="0"/>
              <w:left w:val="single" w:color="000000" w:sz="4" w:space="0"/>
              <w:bottom w:val="single" w:color="000000" w:sz="4" w:space="0"/>
              <w:right w:val="single" w:color="000000" w:sz="4" w:space="0"/>
            </w:tcBorders>
            <w:noWrap/>
            <w:vAlign w:val="center"/>
          </w:tcPr>
          <w:p w14:paraId="251EDE3E">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sz w:val="21"/>
                <w:szCs w:val="21"/>
              </w:rPr>
              <w:t>4</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4847ABD8">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sz w:val="21"/>
                <w:szCs w:val="21"/>
              </w:rPr>
              <w:t>80mm高铝合金踢脚线</w:t>
            </w:r>
          </w:p>
        </w:tc>
        <w:tc>
          <w:tcPr>
            <w:tcW w:w="3051" w:type="dxa"/>
            <w:tcBorders>
              <w:top w:val="single" w:color="000000" w:sz="4" w:space="0"/>
              <w:left w:val="single" w:color="000000" w:sz="4" w:space="0"/>
              <w:bottom w:val="single" w:color="000000" w:sz="4" w:space="0"/>
              <w:right w:val="single" w:color="000000" w:sz="4" w:space="0"/>
            </w:tcBorders>
            <w:noWrap w:val="0"/>
            <w:vAlign w:val="center"/>
          </w:tcPr>
          <w:p w14:paraId="20E19869">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sz w:val="21"/>
                <w:szCs w:val="21"/>
              </w:rPr>
              <w:t>厚度0.8mm</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14:paraId="181BA495">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120</w:t>
            </w: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2CD3550E">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米</w:t>
            </w:r>
          </w:p>
        </w:tc>
      </w:tr>
    </w:tbl>
    <w:p w14:paraId="5735100C">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eastAsia" w:ascii="仿宋_GB2312" w:hAnsi="仿宋_GB2312" w:eastAsia="仿宋_GB2312" w:cs="仿宋_GB2312"/>
          <w:b/>
          <w:bCs w:val="0"/>
          <w:color w:val="auto"/>
          <w:sz w:val="28"/>
          <w:szCs w:val="28"/>
          <w:highlight w:val="none"/>
          <w:lang w:val="en-US" w:eastAsia="zh-CN"/>
        </w:rPr>
      </w:pPr>
      <w:r>
        <w:rPr>
          <w:rFonts w:hint="eastAsia" w:ascii="仿宋_GB2312" w:hAnsi="仿宋_GB2312" w:eastAsia="仿宋_GB2312" w:cs="仿宋_GB2312"/>
          <w:b/>
          <w:bCs w:val="0"/>
          <w:color w:val="auto"/>
          <w:sz w:val="28"/>
          <w:szCs w:val="28"/>
          <w:highlight w:val="none"/>
          <w:lang w:val="en-US" w:eastAsia="zh-CN"/>
        </w:rPr>
        <w:t>注.1.其他附属设备中</w:t>
      </w:r>
      <w:r>
        <w:rPr>
          <w:rFonts w:hint="eastAsia" w:ascii="仿宋_GB2312" w:hAnsi="仿宋_GB2312" w:eastAsia="仿宋_GB2312" w:cs="仿宋_GB2312"/>
          <w:b/>
          <w:bCs w:val="0"/>
          <w:color w:val="auto"/>
          <w:sz w:val="28"/>
          <w:szCs w:val="28"/>
          <w:highlight w:val="none"/>
          <w:u w:val="single"/>
          <w:lang w:val="en-US" w:eastAsia="zh-CN"/>
        </w:rPr>
        <w:t>86寸一体机</w:t>
      </w:r>
      <w:r>
        <w:rPr>
          <w:rFonts w:hint="eastAsia" w:ascii="仿宋_GB2312" w:hAnsi="仿宋_GB2312" w:eastAsia="仿宋_GB2312" w:cs="仿宋_GB2312"/>
          <w:b/>
          <w:bCs w:val="0"/>
          <w:color w:val="auto"/>
          <w:sz w:val="28"/>
          <w:szCs w:val="28"/>
          <w:highlight w:val="none"/>
          <w:lang w:val="en-US" w:eastAsia="zh-CN"/>
        </w:rPr>
        <w:t>属于财政部和国家发展改革委发布的《节能产品政府采购品目清单》中要求的强制政府采购产品的，需提供国家确认的认证机构出具的、处于有效期内的节能产品或环境标志产品认证证书（复印件或扫描件）或在中国政府、采购网查询截图（显示规格型号、证书编号）。</w:t>
      </w:r>
    </w:p>
    <w:p w14:paraId="5D1AACFA">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eastAsia" w:ascii="仿宋_GB2312" w:hAnsi="仿宋_GB2312" w:eastAsia="仿宋_GB2312" w:cs="仿宋_GB2312"/>
          <w:b/>
          <w:bCs w:val="0"/>
          <w:color w:val="auto"/>
          <w:sz w:val="28"/>
          <w:szCs w:val="28"/>
          <w:highlight w:val="none"/>
          <w:lang w:val="en-US" w:eastAsia="zh-CN"/>
        </w:rPr>
      </w:pPr>
      <w:r>
        <w:rPr>
          <w:rFonts w:hint="eastAsia" w:ascii="仿宋_GB2312" w:hAnsi="仿宋_GB2312" w:eastAsia="仿宋_GB2312" w:cs="仿宋_GB2312"/>
          <w:b/>
          <w:bCs w:val="0"/>
          <w:color w:val="auto"/>
          <w:sz w:val="28"/>
          <w:szCs w:val="28"/>
          <w:highlight w:val="none"/>
          <w:lang w:val="en-US" w:eastAsia="zh-CN"/>
        </w:rPr>
        <w:t>2.核心设备：</w:t>
      </w:r>
      <w:r>
        <w:rPr>
          <w:rFonts w:hint="eastAsia" w:ascii="仿宋_GB2312" w:hAnsi="仿宋_GB2312" w:eastAsia="仿宋_GB2312" w:cs="仿宋_GB2312"/>
          <w:b/>
          <w:bCs w:val="0"/>
          <w:color w:val="auto"/>
          <w:sz w:val="28"/>
          <w:szCs w:val="28"/>
          <w:highlight w:val="none"/>
          <w:u w:val="single"/>
          <w:lang w:val="en-US" w:eastAsia="zh-CN"/>
        </w:rPr>
        <w:t>集成箱体模块</w:t>
      </w:r>
      <w:r>
        <w:rPr>
          <w:rFonts w:hint="eastAsia" w:ascii="仿宋_GB2312" w:hAnsi="仿宋_GB2312" w:eastAsia="仿宋_GB2312" w:cs="仿宋_GB2312"/>
          <w:b/>
          <w:bCs w:val="0"/>
          <w:color w:val="auto"/>
          <w:sz w:val="28"/>
          <w:szCs w:val="28"/>
          <w:highlight w:val="none"/>
          <w:lang w:val="en-US" w:eastAsia="zh-CN"/>
        </w:rPr>
        <w:t>为本项目核心产品，如不同供应商所投该项目设备品牌一致，依据磋商文件第二章4.4采用综合评分法的采购项目，提供相同品牌产品且通过资格审查、符合性审查的不同供应商参加同一合同项下投标的，按一家供应商计算。</w:t>
      </w:r>
    </w:p>
    <w:p w14:paraId="1B992651">
      <w:pPr>
        <w:widowControl w:val="0"/>
        <w:wordWrap/>
        <w:adjustRightInd/>
        <w:snapToGrid/>
        <w:spacing w:line="560" w:lineRule="exact"/>
        <w:ind w:firstLine="562" w:firstLineChars="200"/>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lang w:val="en-US" w:eastAsia="zh-CN"/>
        </w:rPr>
        <w:t>二</w:t>
      </w:r>
      <w:r>
        <w:rPr>
          <w:rFonts w:hint="eastAsia" w:ascii="仿宋" w:hAnsi="仿宋" w:eastAsia="仿宋" w:cs="仿宋"/>
          <w:b/>
          <w:color w:val="auto"/>
          <w:sz w:val="28"/>
          <w:szCs w:val="28"/>
          <w:highlight w:val="none"/>
        </w:rPr>
        <w:t>、商务要求</w:t>
      </w:r>
    </w:p>
    <w:p w14:paraId="19BF40D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b w:val="0"/>
          <w:bCs/>
          <w:color w:val="auto"/>
          <w:sz w:val="28"/>
          <w:szCs w:val="28"/>
          <w:highlight w:val="none"/>
          <w:lang w:val="en-US" w:eastAsia="zh-CN"/>
        </w:rPr>
      </w:pPr>
      <w:r>
        <w:rPr>
          <w:rFonts w:hint="eastAsia" w:ascii="仿宋_GB2312" w:hAnsi="仿宋_GB2312" w:eastAsia="仿宋_GB2312" w:cs="仿宋_GB2312"/>
          <w:b w:val="0"/>
          <w:bCs/>
          <w:color w:val="auto"/>
          <w:sz w:val="28"/>
          <w:szCs w:val="28"/>
          <w:highlight w:val="none"/>
          <w:lang w:val="en-US" w:eastAsia="zh-CN"/>
        </w:rPr>
        <w:t>1.合同履行期限：自合同签订之日起45日历天内完成供货安装调试。</w:t>
      </w:r>
    </w:p>
    <w:p w14:paraId="289E0B0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b w:val="0"/>
          <w:bCs/>
          <w:color w:val="auto"/>
          <w:sz w:val="28"/>
          <w:szCs w:val="28"/>
          <w:highlight w:val="none"/>
          <w:lang w:val="en-US" w:eastAsia="zh-CN"/>
        </w:rPr>
      </w:pPr>
      <w:r>
        <w:rPr>
          <w:rFonts w:hint="eastAsia" w:ascii="仿宋_GB2312" w:hAnsi="仿宋_GB2312" w:eastAsia="仿宋_GB2312" w:cs="仿宋_GB2312"/>
          <w:b w:val="0"/>
          <w:bCs/>
          <w:color w:val="auto"/>
          <w:sz w:val="28"/>
          <w:szCs w:val="28"/>
          <w:highlight w:val="none"/>
          <w:lang w:val="en-US" w:eastAsia="zh-CN"/>
        </w:rPr>
        <w:t>2.付款方式：设备全部按照采购人要求安装到位，试运行正常，由采购人和成交供应商共同验收，验收合格后付货款的70%，待审计结束后付货款的30%。</w:t>
      </w:r>
    </w:p>
    <w:p w14:paraId="3803ED4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b w:val="0"/>
          <w:bCs/>
          <w:color w:val="auto"/>
          <w:sz w:val="28"/>
          <w:szCs w:val="28"/>
          <w:highlight w:val="none"/>
          <w:lang w:val="en-US" w:eastAsia="zh-CN"/>
        </w:rPr>
      </w:pPr>
      <w:r>
        <w:rPr>
          <w:rFonts w:hint="eastAsia" w:ascii="仿宋_GB2312" w:hAnsi="仿宋_GB2312" w:eastAsia="仿宋_GB2312" w:cs="仿宋_GB2312"/>
          <w:b w:val="0"/>
          <w:bCs/>
          <w:color w:val="auto"/>
          <w:sz w:val="28"/>
          <w:szCs w:val="28"/>
          <w:highlight w:val="none"/>
          <w:lang w:val="en-US" w:eastAsia="zh-CN"/>
        </w:rPr>
        <w:t>3.质保期：3年。</w:t>
      </w:r>
    </w:p>
    <w:p w14:paraId="35E6BC2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b w:val="0"/>
          <w:bCs/>
          <w:color w:val="auto"/>
          <w:sz w:val="28"/>
          <w:szCs w:val="28"/>
          <w:highlight w:val="none"/>
          <w:lang w:val="en-US" w:eastAsia="zh-CN"/>
        </w:rPr>
      </w:pPr>
      <w:r>
        <w:rPr>
          <w:rFonts w:hint="eastAsia" w:ascii="仿宋_GB2312" w:hAnsi="仿宋_GB2312" w:eastAsia="仿宋_GB2312" w:cs="仿宋_GB2312"/>
          <w:b w:val="0"/>
          <w:bCs/>
          <w:color w:val="auto"/>
          <w:sz w:val="28"/>
          <w:szCs w:val="28"/>
          <w:highlight w:val="none"/>
          <w:lang w:val="en-US" w:eastAsia="zh-CN"/>
        </w:rPr>
        <w:t>4.交货地点：采购人指定地点交货。</w:t>
      </w:r>
    </w:p>
    <w:p w14:paraId="063D8CB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宋体" w:hAnsi="宋体"/>
          <w:b/>
          <w:bCs/>
          <w:color w:val="auto"/>
          <w:sz w:val="30"/>
          <w:szCs w:val="30"/>
          <w:highlight w:val="none"/>
        </w:rPr>
      </w:pPr>
      <w:r>
        <w:rPr>
          <w:rFonts w:hint="eastAsia" w:ascii="仿宋_GB2312" w:hAnsi="仿宋_GB2312" w:eastAsia="仿宋_GB2312" w:cs="仿宋_GB2312"/>
          <w:b w:val="0"/>
          <w:bCs/>
          <w:color w:val="auto"/>
          <w:sz w:val="28"/>
          <w:szCs w:val="28"/>
          <w:highlight w:val="none"/>
          <w:lang w:val="en-US" w:eastAsia="zh-CN"/>
        </w:rPr>
        <w:t>5.售后服务：货物安装调试完成后，成交供应商应继续向采购人提供良好的售后服务。应当对采购人所反映的任何问题在2小时之内做出及时响应，在8小时之内赶到现场实地解决问题，不影响使用。</w:t>
      </w:r>
    </w:p>
    <w:p w14:paraId="3D04008F">
      <w:pPr>
        <w:spacing w:line="560" w:lineRule="exact"/>
        <w:jc w:val="center"/>
        <w:rPr>
          <w:rFonts w:hint="eastAsia" w:ascii="宋体" w:hAnsi="宋体"/>
          <w:b/>
          <w:bCs/>
          <w:color w:val="auto"/>
          <w:sz w:val="30"/>
          <w:szCs w:val="30"/>
          <w:highlight w:val="none"/>
        </w:rPr>
      </w:pPr>
    </w:p>
    <w:p w14:paraId="404C5BDB">
      <w:pPr>
        <w:spacing w:line="560" w:lineRule="exact"/>
        <w:jc w:val="center"/>
        <w:rPr>
          <w:rFonts w:ascii="仿宋" w:hAnsi="仿宋" w:eastAsia="仿宋"/>
          <w:color w:val="auto"/>
          <w:sz w:val="30"/>
          <w:szCs w:val="30"/>
          <w:highlight w:val="none"/>
        </w:rPr>
      </w:pPr>
      <w:r>
        <w:rPr>
          <w:rFonts w:hint="eastAsia" w:ascii="宋体" w:hAnsi="宋体"/>
          <w:b/>
          <w:bCs/>
          <w:color w:val="auto"/>
          <w:sz w:val="30"/>
          <w:szCs w:val="30"/>
          <w:highlight w:val="none"/>
        </w:rPr>
        <w:t>第四章  响应性文件内容及格式</w:t>
      </w:r>
      <w:r>
        <w:rPr>
          <w:rFonts w:hint="eastAsia" w:ascii="宋体" w:hAnsi="宋体"/>
          <w:b/>
          <w:bCs/>
          <w:color w:val="auto"/>
          <w:sz w:val="30"/>
          <w:szCs w:val="30"/>
          <w:highlight w:val="none"/>
        </w:rPr>
        <w:cr/>
      </w:r>
      <w:r>
        <w:rPr>
          <w:rFonts w:hint="eastAsia" w:ascii="仿宋_GB2312" w:hAnsi="仿宋_GB2312" w:eastAsia="仿宋_GB2312" w:cs="仿宋_GB2312"/>
          <w:color w:val="auto"/>
          <w:sz w:val="28"/>
          <w:szCs w:val="28"/>
          <w:highlight w:val="none"/>
        </w:rPr>
        <w:cr/>
      </w:r>
      <w:r>
        <w:rPr>
          <w:rFonts w:hint="eastAsia" w:ascii="仿宋" w:hAnsi="仿宋" w:eastAsia="仿宋"/>
          <w:color w:val="auto"/>
          <w:sz w:val="28"/>
          <w:szCs w:val="28"/>
          <w:highlight w:val="none"/>
        </w:rPr>
        <w:t>注：请供应商按照以下文件的要求格式、内容制作响应性文件，并编制目录及页码，否则可能将影响对响应性文件的评价。</w:t>
      </w:r>
    </w:p>
    <w:p w14:paraId="3D00B2FF">
      <w:pPr>
        <w:spacing w:line="560" w:lineRule="exact"/>
        <w:jc w:val="both"/>
        <w:rPr>
          <w:rFonts w:ascii="宋体" w:hAnsi="宋体" w:cs="宋体"/>
          <w:b/>
          <w:bCs/>
          <w:color w:val="auto"/>
          <w:sz w:val="30"/>
          <w:szCs w:val="30"/>
          <w:highlight w:val="none"/>
        </w:rPr>
      </w:pPr>
    </w:p>
    <w:p w14:paraId="263E1BF1">
      <w:pPr>
        <w:spacing w:line="560" w:lineRule="exact"/>
        <w:jc w:val="center"/>
        <w:rPr>
          <w:rFonts w:hint="eastAsia" w:ascii="宋体" w:hAnsi="宋体" w:cs="宋体"/>
          <w:b/>
          <w:bCs/>
          <w:color w:val="auto"/>
          <w:sz w:val="28"/>
          <w:szCs w:val="28"/>
          <w:highlight w:val="none"/>
        </w:rPr>
      </w:pPr>
    </w:p>
    <w:p w14:paraId="6867FDA7">
      <w:pPr>
        <w:spacing w:line="560" w:lineRule="exact"/>
        <w:jc w:val="center"/>
        <w:rPr>
          <w:rFonts w:hint="eastAsia" w:ascii="宋体" w:hAnsi="宋体" w:cs="宋体"/>
          <w:b/>
          <w:bCs/>
          <w:color w:val="auto"/>
          <w:sz w:val="28"/>
          <w:szCs w:val="28"/>
          <w:highlight w:val="none"/>
        </w:rPr>
      </w:pPr>
    </w:p>
    <w:p w14:paraId="423FBDCF">
      <w:pPr>
        <w:spacing w:line="560" w:lineRule="exact"/>
        <w:jc w:val="center"/>
        <w:rPr>
          <w:rFonts w:hint="eastAsia" w:ascii="宋体" w:hAnsi="宋体" w:cs="宋体"/>
          <w:b/>
          <w:bCs/>
          <w:color w:val="auto"/>
          <w:sz w:val="28"/>
          <w:szCs w:val="28"/>
          <w:highlight w:val="none"/>
        </w:rPr>
      </w:pPr>
    </w:p>
    <w:p w14:paraId="1571F2AF">
      <w:pPr>
        <w:spacing w:line="560" w:lineRule="exact"/>
        <w:jc w:val="center"/>
        <w:rPr>
          <w:rFonts w:hint="eastAsia" w:ascii="宋体" w:hAnsi="宋体" w:cs="宋体"/>
          <w:b/>
          <w:bCs/>
          <w:color w:val="auto"/>
          <w:sz w:val="28"/>
          <w:szCs w:val="28"/>
          <w:highlight w:val="none"/>
        </w:rPr>
      </w:pPr>
    </w:p>
    <w:p w14:paraId="11247FFE">
      <w:pPr>
        <w:spacing w:line="560" w:lineRule="exact"/>
        <w:jc w:val="center"/>
        <w:rPr>
          <w:rFonts w:hint="eastAsia" w:ascii="宋体" w:hAnsi="宋体" w:cs="宋体"/>
          <w:b/>
          <w:bCs/>
          <w:color w:val="auto"/>
          <w:sz w:val="28"/>
          <w:szCs w:val="28"/>
          <w:highlight w:val="none"/>
        </w:rPr>
      </w:pPr>
    </w:p>
    <w:p w14:paraId="6F2E71D7">
      <w:pPr>
        <w:spacing w:line="560" w:lineRule="exact"/>
        <w:jc w:val="center"/>
        <w:rPr>
          <w:rFonts w:hint="eastAsia" w:ascii="宋体" w:hAnsi="宋体" w:cs="宋体"/>
          <w:b/>
          <w:bCs/>
          <w:color w:val="auto"/>
          <w:sz w:val="28"/>
          <w:szCs w:val="28"/>
          <w:highlight w:val="none"/>
        </w:rPr>
      </w:pPr>
    </w:p>
    <w:p w14:paraId="5A74874A">
      <w:pPr>
        <w:spacing w:line="560" w:lineRule="exact"/>
        <w:jc w:val="center"/>
        <w:rPr>
          <w:rFonts w:hint="eastAsia" w:ascii="宋体" w:hAnsi="宋体" w:cs="宋体"/>
          <w:b/>
          <w:bCs/>
          <w:color w:val="auto"/>
          <w:sz w:val="28"/>
          <w:szCs w:val="28"/>
          <w:highlight w:val="none"/>
        </w:rPr>
      </w:pPr>
    </w:p>
    <w:p w14:paraId="62ED3747">
      <w:pPr>
        <w:spacing w:line="560" w:lineRule="exact"/>
        <w:jc w:val="center"/>
        <w:rPr>
          <w:rFonts w:hint="eastAsia" w:ascii="宋体" w:hAnsi="宋体" w:cs="宋体"/>
          <w:b/>
          <w:bCs/>
          <w:color w:val="auto"/>
          <w:sz w:val="28"/>
          <w:szCs w:val="28"/>
          <w:highlight w:val="none"/>
        </w:rPr>
      </w:pPr>
    </w:p>
    <w:p w14:paraId="606C245A">
      <w:pPr>
        <w:spacing w:line="560" w:lineRule="exact"/>
        <w:jc w:val="center"/>
        <w:rPr>
          <w:rFonts w:hint="eastAsia" w:ascii="宋体" w:hAnsi="宋体" w:cs="宋体"/>
          <w:b/>
          <w:bCs/>
          <w:color w:val="auto"/>
          <w:sz w:val="28"/>
          <w:szCs w:val="28"/>
          <w:highlight w:val="none"/>
        </w:rPr>
      </w:pPr>
    </w:p>
    <w:p w14:paraId="414D4608">
      <w:pPr>
        <w:spacing w:line="560" w:lineRule="exact"/>
        <w:jc w:val="center"/>
        <w:rPr>
          <w:rFonts w:hint="eastAsia" w:ascii="宋体" w:hAnsi="宋体" w:cs="宋体"/>
          <w:b/>
          <w:bCs/>
          <w:color w:val="auto"/>
          <w:sz w:val="28"/>
          <w:szCs w:val="28"/>
          <w:highlight w:val="none"/>
        </w:rPr>
      </w:pPr>
    </w:p>
    <w:p w14:paraId="709F8DB9">
      <w:pPr>
        <w:spacing w:line="560" w:lineRule="exact"/>
        <w:jc w:val="center"/>
        <w:rPr>
          <w:rFonts w:hint="eastAsia" w:ascii="宋体" w:hAnsi="宋体" w:cs="宋体"/>
          <w:b/>
          <w:bCs/>
          <w:color w:val="auto"/>
          <w:sz w:val="28"/>
          <w:szCs w:val="28"/>
          <w:highlight w:val="none"/>
        </w:rPr>
      </w:pPr>
    </w:p>
    <w:p w14:paraId="5CD8F064">
      <w:pPr>
        <w:spacing w:line="560" w:lineRule="exact"/>
        <w:jc w:val="center"/>
        <w:rPr>
          <w:rFonts w:hint="eastAsia" w:ascii="宋体" w:hAnsi="宋体" w:cs="宋体"/>
          <w:b/>
          <w:bCs/>
          <w:color w:val="auto"/>
          <w:sz w:val="28"/>
          <w:szCs w:val="28"/>
          <w:highlight w:val="none"/>
        </w:rPr>
      </w:pPr>
    </w:p>
    <w:p w14:paraId="3DE05F2F">
      <w:pPr>
        <w:spacing w:line="560" w:lineRule="exact"/>
        <w:jc w:val="center"/>
        <w:rPr>
          <w:rFonts w:hint="eastAsia" w:ascii="宋体" w:hAnsi="宋体" w:cs="宋体"/>
          <w:b/>
          <w:bCs/>
          <w:color w:val="auto"/>
          <w:sz w:val="28"/>
          <w:szCs w:val="28"/>
          <w:highlight w:val="none"/>
        </w:rPr>
      </w:pPr>
    </w:p>
    <w:p w14:paraId="7E1CC129">
      <w:pPr>
        <w:spacing w:line="560" w:lineRule="exact"/>
        <w:jc w:val="center"/>
        <w:rPr>
          <w:rFonts w:hint="eastAsia" w:ascii="宋体" w:hAnsi="宋体" w:cs="宋体"/>
          <w:b/>
          <w:bCs/>
          <w:color w:val="auto"/>
          <w:sz w:val="28"/>
          <w:szCs w:val="28"/>
          <w:highlight w:val="none"/>
        </w:rPr>
      </w:pPr>
    </w:p>
    <w:p w14:paraId="096DC65C">
      <w:pPr>
        <w:spacing w:line="560" w:lineRule="exact"/>
        <w:jc w:val="center"/>
        <w:rPr>
          <w:rFonts w:hint="eastAsia" w:ascii="宋体" w:hAnsi="宋体" w:cs="宋体"/>
          <w:b/>
          <w:bCs/>
          <w:color w:val="auto"/>
          <w:sz w:val="28"/>
          <w:szCs w:val="28"/>
          <w:highlight w:val="none"/>
        </w:rPr>
      </w:pPr>
    </w:p>
    <w:p w14:paraId="368AF982">
      <w:pPr>
        <w:spacing w:line="560" w:lineRule="exact"/>
        <w:jc w:val="center"/>
        <w:rPr>
          <w:rFonts w:hint="eastAsia" w:ascii="宋体" w:hAnsi="宋体" w:cs="宋体"/>
          <w:b/>
          <w:bCs/>
          <w:color w:val="auto"/>
          <w:sz w:val="28"/>
          <w:szCs w:val="28"/>
          <w:highlight w:val="none"/>
        </w:rPr>
      </w:pPr>
    </w:p>
    <w:p w14:paraId="6881C0F1">
      <w:pPr>
        <w:spacing w:line="560" w:lineRule="exact"/>
        <w:jc w:val="center"/>
        <w:rPr>
          <w:rFonts w:hint="eastAsia" w:ascii="宋体" w:hAnsi="宋体" w:cs="宋体"/>
          <w:b/>
          <w:bCs/>
          <w:color w:val="auto"/>
          <w:sz w:val="28"/>
          <w:szCs w:val="28"/>
          <w:highlight w:val="none"/>
        </w:rPr>
      </w:pPr>
    </w:p>
    <w:p w14:paraId="699CA540">
      <w:pPr>
        <w:spacing w:line="560" w:lineRule="exact"/>
        <w:jc w:val="center"/>
        <w:rPr>
          <w:rFonts w:hint="eastAsia" w:ascii="宋体" w:hAnsi="宋体" w:cs="宋体"/>
          <w:b/>
          <w:bCs/>
          <w:color w:val="auto"/>
          <w:sz w:val="28"/>
          <w:szCs w:val="28"/>
          <w:highlight w:val="none"/>
        </w:rPr>
      </w:pPr>
    </w:p>
    <w:p w14:paraId="25A48A69">
      <w:pPr>
        <w:spacing w:line="560" w:lineRule="exact"/>
        <w:jc w:val="center"/>
        <w:rPr>
          <w:rFonts w:hint="eastAsia" w:ascii="宋体" w:hAnsi="宋体" w:cs="宋体"/>
          <w:b/>
          <w:bCs/>
          <w:color w:val="auto"/>
          <w:sz w:val="28"/>
          <w:szCs w:val="28"/>
          <w:highlight w:val="none"/>
        </w:rPr>
      </w:pPr>
    </w:p>
    <w:p w14:paraId="35FCAB1B">
      <w:pPr>
        <w:spacing w:line="560" w:lineRule="exact"/>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响应性文件内容</w:t>
      </w:r>
    </w:p>
    <w:tbl>
      <w:tblPr>
        <w:tblStyle w:val="21"/>
        <w:tblW w:w="89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4824"/>
        <w:gridCol w:w="1440"/>
        <w:gridCol w:w="962"/>
        <w:gridCol w:w="723"/>
      </w:tblGrid>
      <w:tr w14:paraId="63FAB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1031" w:type="dxa"/>
            <w:tcBorders>
              <w:top w:val="double" w:color="auto" w:sz="4" w:space="0"/>
              <w:left w:val="double" w:color="auto" w:sz="4" w:space="0"/>
              <w:right w:val="single" w:color="auto" w:sz="4" w:space="0"/>
            </w:tcBorders>
            <w:noWrap w:val="0"/>
            <w:vAlign w:val="center"/>
          </w:tcPr>
          <w:p w14:paraId="341264E4">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  目</w:t>
            </w:r>
          </w:p>
        </w:tc>
        <w:tc>
          <w:tcPr>
            <w:tcW w:w="6264" w:type="dxa"/>
            <w:gridSpan w:val="2"/>
            <w:tcBorders>
              <w:top w:val="double" w:color="auto" w:sz="4" w:space="0"/>
            </w:tcBorders>
            <w:noWrap w:val="0"/>
            <w:vAlign w:val="center"/>
          </w:tcPr>
          <w:p w14:paraId="0E5868CD">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项目及审核内容</w:t>
            </w:r>
          </w:p>
        </w:tc>
        <w:tc>
          <w:tcPr>
            <w:tcW w:w="962" w:type="dxa"/>
            <w:tcBorders>
              <w:top w:val="double" w:color="auto" w:sz="4" w:space="0"/>
            </w:tcBorders>
            <w:noWrap w:val="0"/>
            <w:vAlign w:val="center"/>
          </w:tcPr>
          <w:p w14:paraId="60EC8B0B">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格式</w:t>
            </w:r>
          </w:p>
        </w:tc>
        <w:tc>
          <w:tcPr>
            <w:tcW w:w="723" w:type="dxa"/>
            <w:tcBorders>
              <w:top w:val="double" w:color="auto" w:sz="4" w:space="0"/>
              <w:right w:val="double" w:color="auto" w:sz="4" w:space="0"/>
            </w:tcBorders>
            <w:noWrap w:val="0"/>
            <w:vAlign w:val="center"/>
          </w:tcPr>
          <w:p w14:paraId="7BE07B71">
            <w:pPr>
              <w:widowControl/>
              <w:jc w:val="center"/>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编制</w:t>
            </w:r>
            <w:r>
              <w:rPr>
                <w:rFonts w:hint="eastAsia" w:ascii="宋体" w:hAnsi="宋体" w:eastAsia="宋体" w:cs="宋体"/>
                <w:color w:val="auto"/>
                <w:kern w:val="0"/>
                <w:sz w:val="21"/>
                <w:szCs w:val="21"/>
                <w:highlight w:val="none"/>
              </w:rPr>
              <w:t>顺序</w:t>
            </w:r>
          </w:p>
        </w:tc>
      </w:tr>
      <w:tr w14:paraId="35C9F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031" w:type="dxa"/>
            <w:vMerge w:val="restart"/>
            <w:tcBorders>
              <w:left w:val="double" w:color="auto" w:sz="4" w:space="0"/>
              <w:right w:val="single" w:color="auto" w:sz="4" w:space="0"/>
            </w:tcBorders>
            <w:noWrap w:val="0"/>
            <w:vAlign w:val="center"/>
          </w:tcPr>
          <w:p w14:paraId="61ABDF90">
            <w:pPr>
              <w:jc w:val="center"/>
              <w:rPr>
                <w:rFonts w:hint="eastAsia"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响应性文件的封皮及目录</w:t>
            </w:r>
          </w:p>
        </w:tc>
        <w:tc>
          <w:tcPr>
            <w:tcW w:w="6264" w:type="dxa"/>
            <w:gridSpan w:val="2"/>
            <w:noWrap w:val="0"/>
            <w:vAlign w:val="center"/>
          </w:tcPr>
          <w:p w14:paraId="755E3AC0">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响应性文件的封皮</w:t>
            </w:r>
          </w:p>
        </w:tc>
        <w:tc>
          <w:tcPr>
            <w:tcW w:w="962" w:type="dxa"/>
            <w:noWrap w:val="0"/>
            <w:vAlign w:val="center"/>
          </w:tcPr>
          <w:p w14:paraId="66911437">
            <w:pPr>
              <w:snapToGrid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格式1</w:t>
            </w:r>
          </w:p>
        </w:tc>
        <w:tc>
          <w:tcPr>
            <w:tcW w:w="723" w:type="dxa"/>
            <w:tcBorders>
              <w:right w:val="double" w:color="auto" w:sz="4" w:space="0"/>
            </w:tcBorders>
            <w:noWrap w:val="0"/>
            <w:vAlign w:val="center"/>
          </w:tcPr>
          <w:p w14:paraId="4F421E1B">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w:t>
            </w:r>
          </w:p>
        </w:tc>
      </w:tr>
      <w:tr w14:paraId="1B0B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031" w:type="dxa"/>
            <w:vMerge w:val="continue"/>
            <w:tcBorders>
              <w:left w:val="double" w:color="auto" w:sz="4" w:space="0"/>
              <w:bottom w:val="single" w:color="auto" w:sz="4" w:space="0"/>
              <w:right w:val="single" w:color="auto" w:sz="4" w:space="0"/>
            </w:tcBorders>
            <w:noWrap w:val="0"/>
            <w:vAlign w:val="center"/>
          </w:tcPr>
          <w:p w14:paraId="129719A4">
            <w:pPr>
              <w:widowControl/>
              <w:jc w:val="center"/>
              <w:rPr>
                <w:rFonts w:hint="eastAsia" w:ascii="宋体" w:hAnsi="宋体" w:eastAsia="宋体" w:cs="宋体"/>
                <w:color w:val="auto"/>
                <w:kern w:val="0"/>
                <w:sz w:val="21"/>
                <w:szCs w:val="21"/>
                <w:highlight w:val="none"/>
              </w:rPr>
            </w:pPr>
          </w:p>
        </w:tc>
        <w:tc>
          <w:tcPr>
            <w:tcW w:w="6264" w:type="dxa"/>
            <w:gridSpan w:val="2"/>
            <w:tcBorders>
              <w:bottom w:val="single" w:color="auto" w:sz="4" w:space="0"/>
            </w:tcBorders>
            <w:noWrap w:val="0"/>
            <w:vAlign w:val="center"/>
          </w:tcPr>
          <w:p w14:paraId="01F2139F">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响应性文件的目录</w:t>
            </w:r>
          </w:p>
        </w:tc>
        <w:tc>
          <w:tcPr>
            <w:tcW w:w="962" w:type="dxa"/>
            <w:noWrap w:val="0"/>
            <w:vAlign w:val="center"/>
          </w:tcPr>
          <w:p w14:paraId="42A1C97E">
            <w:pPr>
              <w:spacing w:line="360" w:lineRule="auto"/>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sz w:val="21"/>
                <w:szCs w:val="21"/>
                <w:highlight w:val="none"/>
              </w:rPr>
              <w:t>格式</w:t>
            </w:r>
            <w:r>
              <w:rPr>
                <w:rFonts w:hint="eastAsia" w:ascii="宋体" w:hAnsi="宋体" w:cs="宋体"/>
                <w:color w:val="auto"/>
                <w:sz w:val="21"/>
                <w:szCs w:val="21"/>
                <w:highlight w:val="none"/>
                <w:lang w:val="en-US" w:eastAsia="zh-CN"/>
              </w:rPr>
              <w:t>2</w:t>
            </w:r>
          </w:p>
        </w:tc>
        <w:tc>
          <w:tcPr>
            <w:tcW w:w="723" w:type="dxa"/>
            <w:tcBorders>
              <w:right w:val="double" w:color="auto" w:sz="4" w:space="0"/>
            </w:tcBorders>
            <w:noWrap w:val="0"/>
            <w:vAlign w:val="center"/>
          </w:tcPr>
          <w:p w14:paraId="4E1D48CA">
            <w:pPr>
              <w:widowControl/>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1-</w:t>
            </w:r>
            <w:r>
              <w:rPr>
                <w:rFonts w:hint="eastAsia" w:ascii="宋体" w:hAnsi="宋体" w:cs="宋体"/>
                <w:color w:val="auto"/>
                <w:kern w:val="0"/>
                <w:sz w:val="21"/>
                <w:szCs w:val="21"/>
                <w:highlight w:val="none"/>
                <w:lang w:val="en-US" w:eastAsia="zh-CN"/>
              </w:rPr>
              <w:t>2</w:t>
            </w:r>
          </w:p>
        </w:tc>
      </w:tr>
      <w:tr w14:paraId="3B468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031" w:type="dxa"/>
            <w:vMerge w:val="restart"/>
            <w:tcBorders>
              <w:left w:val="double" w:color="auto" w:sz="4" w:space="0"/>
              <w:right w:val="single" w:color="auto" w:sz="4" w:space="0"/>
            </w:tcBorders>
            <w:noWrap w:val="0"/>
            <w:vAlign w:val="center"/>
          </w:tcPr>
          <w:p w14:paraId="056401CC">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资格性</w:t>
            </w:r>
          </w:p>
          <w:p w14:paraId="5AA1699E">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证明材料</w:t>
            </w:r>
          </w:p>
          <w:p w14:paraId="3F0F5E4D">
            <w:pPr>
              <w:widowControl/>
              <w:spacing w:line="360" w:lineRule="exact"/>
              <w:jc w:val="center"/>
              <w:rPr>
                <w:rFonts w:hint="eastAsia" w:ascii="宋体" w:hAnsi="宋体" w:eastAsia="宋体" w:cs="宋体"/>
                <w:color w:val="auto"/>
                <w:kern w:val="0"/>
                <w:sz w:val="21"/>
                <w:szCs w:val="21"/>
                <w:highlight w:val="none"/>
              </w:rPr>
            </w:pPr>
          </w:p>
        </w:tc>
        <w:tc>
          <w:tcPr>
            <w:tcW w:w="4824" w:type="dxa"/>
            <w:tcBorders>
              <w:bottom w:val="single" w:color="auto" w:sz="4" w:space="0"/>
            </w:tcBorders>
            <w:noWrap w:val="0"/>
            <w:vAlign w:val="center"/>
          </w:tcPr>
          <w:p w14:paraId="0110B316">
            <w:pP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 w:val="21"/>
                <w:szCs w:val="21"/>
                <w:highlight w:val="none"/>
              </w:rPr>
              <w:t>焦作市政府采购供应商资格信用承诺函</w:t>
            </w:r>
          </w:p>
        </w:tc>
        <w:tc>
          <w:tcPr>
            <w:tcW w:w="1440" w:type="dxa"/>
            <w:tcBorders>
              <w:bottom w:val="single" w:color="auto" w:sz="4" w:space="0"/>
            </w:tcBorders>
            <w:noWrap w:val="0"/>
            <w:vAlign w:val="center"/>
          </w:tcPr>
          <w:p w14:paraId="77E37BB2">
            <w:pPr>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s="Lucida Sans Unicode"/>
                <w:color w:val="auto"/>
                <w:sz w:val="21"/>
                <w:szCs w:val="21"/>
                <w:highlight w:val="none"/>
                <w:lang w:val="en-US" w:eastAsia="zh-CN"/>
              </w:rPr>
              <w:t>原件</w:t>
            </w:r>
          </w:p>
        </w:tc>
        <w:tc>
          <w:tcPr>
            <w:tcW w:w="962" w:type="dxa"/>
            <w:noWrap w:val="0"/>
            <w:vAlign w:val="center"/>
          </w:tcPr>
          <w:p w14:paraId="7F5BA75B">
            <w:pPr>
              <w:spacing w:line="360" w:lineRule="auto"/>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 w:val="21"/>
                <w:szCs w:val="21"/>
                <w:highlight w:val="none"/>
                <w:lang w:val="en-US" w:eastAsia="zh-CN"/>
              </w:rPr>
              <w:t>格式3</w:t>
            </w:r>
          </w:p>
        </w:tc>
        <w:tc>
          <w:tcPr>
            <w:tcW w:w="723" w:type="dxa"/>
            <w:tcBorders>
              <w:right w:val="double" w:color="auto" w:sz="4" w:space="0"/>
            </w:tcBorders>
            <w:noWrap w:val="0"/>
            <w:vAlign w:val="center"/>
          </w:tcPr>
          <w:p w14:paraId="2325318B">
            <w:pPr>
              <w:widowControl/>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 w:val="21"/>
                <w:szCs w:val="21"/>
                <w:highlight w:val="none"/>
              </w:rPr>
              <w:t>2-1</w:t>
            </w:r>
          </w:p>
        </w:tc>
      </w:tr>
      <w:tr w14:paraId="430D3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031" w:type="dxa"/>
            <w:vMerge w:val="continue"/>
            <w:tcBorders>
              <w:left w:val="double" w:color="auto" w:sz="4" w:space="0"/>
              <w:right w:val="single" w:color="auto" w:sz="4" w:space="0"/>
            </w:tcBorders>
            <w:noWrap w:val="0"/>
            <w:vAlign w:val="center"/>
          </w:tcPr>
          <w:p w14:paraId="7E66A931">
            <w:pPr>
              <w:widowControl/>
              <w:spacing w:line="360" w:lineRule="exact"/>
              <w:jc w:val="center"/>
              <w:rPr>
                <w:rFonts w:hint="eastAsia" w:ascii="宋体" w:hAnsi="宋体" w:eastAsia="宋体" w:cs="宋体"/>
                <w:color w:val="auto"/>
                <w:kern w:val="0"/>
                <w:sz w:val="21"/>
                <w:szCs w:val="21"/>
                <w:highlight w:val="none"/>
              </w:rPr>
            </w:pPr>
          </w:p>
        </w:tc>
        <w:tc>
          <w:tcPr>
            <w:tcW w:w="4824" w:type="dxa"/>
            <w:tcBorders>
              <w:bottom w:val="single" w:color="auto" w:sz="4" w:space="0"/>
            </w:tcBorders>
            <w:noWrap w:val="0"/>
            <w:vAlign w:val="center"/>
          </w:tcPr>
          <w:p w14:paraId="68B51E8E">
            <w:pPr>
              <w:rPr>
                <w:rFonts w:hint="eastAsia" w:ascii="宋体" w:hAnsi="宋体" w:eastAsia="宋体" w:cs="Lucida Sans Unicode"/>
                <w:color w:val="auto"/>
                <w:kern w:val="2"/>
                <w:sz w:val="21"/>
                <w:szCs w:val="21"/>
                <w:highlight w:val="none"/>
                <w:lang w:val="en-US" w:eastAsia="zh-CN" w:bidi="ar-SA"/>
              </w:rPr>
            </w:pPr>
            <w:r>
              <w:rPr>
                <w:rFonts w:hint="eastAsia" w:ascii="宋体" w:hAnsi="宋体" w:cs="Lucida Sans Unicode"/>
                <w:b/>
                <w:bCs/>
                <w:color w:val="auto"/>
                <w:sz w:val="21"/>
                <w:szCs w:val="21"/>
                <w:highlight w:val="none"/>
              </w:rPr>
              <w:t>其他资格要求（如有需提供）</w:t>
            </w:r>
          </w:p>
        </w:tc>
        <w:tc>
          <w:tcPr>
            <w:tcW w:w="1440" w:type="dxa"/>
            <w:tcBorders>
              <w:bottom w:val="single" w:color="auto" w:sz="4" w:space="0"/>
            </w:tcBorders>
            <w:noWrap w:val="0"/>
            <w:vAlign w:val="center"/>
          </w:tcPr>
          <w:p w14:paraId="4A4476D0">
            <w:pPr>
              <w:jc w:val="center"/>
              <w:rPr>
                <w:rFonts w:hint="eastAsia" w:ascii="宋体" w:hAnsi="宋体" w:eastAsia="宋体" w:cs="Lucida Sans Unicode"/>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扫描件</w:t>
            </w:r>
          </w:p>
        </w:tc>
        <w:tc>
          <w:tcPr>
            <w:tcW w:w="962" w:type="dxa"/>
            <w:noWrap w:val="0"/>
            <w:vAlign w:val="center"/>
          </w:tcPr>
          <w:p w14:paraId="6B7B95EF">
            <w:pPr>
              <w:spacing w:line="360" w:lineRule="auto"/>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 w:val="21"/>
                <w:szCs w:val="21"/>
                <w:highlight w:val="none"/>
              </w:rPr>
              <w:t>自拟</w:t>
            </w:r>
          </w:p>
        </w:tc>
        <w:tc>
          <w:tcPr>
            <w:tcW w:w="723" w:type="dxa"/>
            <w:tcBorders>
              <w:right w:val="double" w:color="auto" w:sz="4" w:space="0"/>
            </w:tcBorders>
            <w:noWrap w:val="0"/>
            <w:vAlign w:val="center"/>
          </w:tcPr>
          <w:p w14:paraId="286DE0D0">
            <w:pPr>
              <w:widowControl/>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 w:val="21"/>
                <w:szCs w:val="21"/>
                <w:highlight w:val="none"/>
              </w:rPr>
              <w:t>2-2</w:t>
            </w:r>
          </w:p>
        </w:tc>
      </w:tr>
      <w:tr w14:paraId="7DD63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031" w:type="dxa"/>
            <w:vMerge w:val="continue"/>
            <w:tcBorders>
              <w:left w:val="double" w:color="auto" w:sz="4" w:space="0"/>
              <w:right w:val="single" w:color="auto" w:sz="4" w:space="0"/>
            </w:tcBorders>
            <w:noWrap w:val="0"/>
            <w:vAlign w:val="center"/>
          </w:tcPr>
          <w:p w14:paraId="64BE61DD">
            <w:pPr>
              <w:widowControl/>
              <w:spacing w:line="360" w:lineRule="exact"/>
              <w:jc w:val="center"/>
              <w:rPr>
                <w:rFonts w:hint="eastAsia" w:ascii="宋体" w:hAnsi="宋体" w:eastAsia="宋体" w:cs="宋体"/>
                <w:color w:val="auto"/>
                <w:kern w:val="0"/>
                <w:sz w:val="21"/>
                <w:szCs w:val="21"/>
                <w:highlight w:val="none"/>
              </w:rPr>
            </w:pPr>
          </w:p>
        </w:tc>
        <w:tc>
          <w:tcPr>
            <w:tcW w:w="4824" w:type="dxa"/>
            <w:tcBorders>
              <w:bottom w:val="single" w:color="auto" w:sz="4" w:space="0"/>
            </w:tcBorders>
            <w:shd w:val="clear" w:color="auto" w:fill="auto"/>
            <w:noWrap w:val="0"/>
            <w:vAlign w:val="center"/>
          </w:tcPr>
          <w:p w14:paraId="64E3D6DE">
            <w:pPr>
              <w:rPr>
                <w:rFonts w:hint="eastAsia" w:ascii="宋体" w:hAnsi="宋体" w:eastAsia="宋体" w:cs="Times New Roman"/>
                <w:color w:val="auto"/>
                <w:kern w:val="2"/>
                <w:sz w:val="21"/>
                <w:szCs w:val="21"/>
                <w:highlight w:val="none"/>
                <w:lang w:val="en-US" w:eastAsia="zh-CN" w:bidi="ar-SA"/>
              </w:rPr>
            </w:pPr>
            <w:r>
              <w:rPr>
                <w:rFonts w:hint="eastAsia" w:ascii="宋体" w:hAnsi="宋体" w:cs="Lucida Sans Unicode"/>
                <w:color w:val="auto"/>
                <w:sz w:val="21"/>
                <w:szCs w:val="21"/>
                <w:highlight w:val="none"/>
              </w:rPr>
              <w:t>法定代表人身份证明书或授权委托书</w:t>
            </w:r>
          </w:p>
        </w:tc>
        <w:tc>
          <w:tcPr>
            <w:tcW w:w="1440" w:type="dxa"/>
            <w:tcBorders>
              <w:bottom w:val="single" w:color="auto" w:sz="4" w:space="0"/>
            </w:tcBorders>
            <w:shd w:val="clear" w:color="auto" w:fill="auto"/>
            <w:noWrap w:val="0"/>
            <w:vAlign w:val="center"/>
          </w:tcPr>
          <w:p w14:paraId="06685590">
            <w:pPr>
              <w:jc w:val="center"/>
              <w:rPr>
                <w:rFonts w:hint="eastAsia" w:ascii="宋体" w:hAnsi="宋体" w:eastAsia="宋体" w:cs="Lucida Sans Unicode"/>
                <w:color w:val="auto"/>
                <w:kern w:val="2"/>
                <w:sz w:val="21"/>
                <w:szCs w:val="21"/>
                <w:highlight w:val="none"/>
                <w:lang w:val="en-US" w:eastAsia="zh-CN" w:bidi="ar-SA"/>
              </w:rPr>
            </w:pPr>
            <w:r>
              <w:rPr>
                <w:rFonts w:hint="eastAsia" w:ascii="宋体" w:hAnsi="宋体" w:cs="Lucida Sans Unicode"/>
                <w:color w:val="auto"/>
                <w:sz w:val="21"/>
                <w:szCs w:val="21"/>
                <w:highlight w:val="none"/>
              </w:rPr>
              <w:t>原件</w:t>
            </w:r>
          </w:p>
        </w:tc>
        <w:tc>
          <w:tcPr>
            <w:tcW w:w="962" w:type="dxa"/>
            <w:shd w:val="clear" w:color="auto" w:fill="auto"/>
            <w:noWrap w:val="0"/>
            <w:vAlign w:val="center"/>
          </w:tcPr>
          <w:p w14:paraId="499A9030">
            <w:pPr>
              <w:widowControl/>
              <w:jc w:val="center"/>
              <w:rPr>
                <w:rFonts w:hint="eastAsia" w:ascii="宋体" w:hAnsi="宋体" w:eastAsia="宋体" w:cs="Lucida Sans Unicode"/>
                <w:color w:val="auto"/>
                <w:kern w:val="2"/>
                <w:sz w:val="21"/>
                <w:szCs w:val="21"/>
                <w:highlight w:val="none"/>
                <w:lang w:val="en-US" w:eastAsia="zh-CN" w:bidi="ar-SA"/>
              </w:rPr>
            </w:pPr>
            <w:r>
              <w:rPr>
                <w:rFonts w:hint="eastAsia" w:ascii="宋体" w:hAnsi="宋体" w:cs="Lucida Sans Unicode"/>
                <w:color w:val="auto"/>
                <w:sz w:val="21"/>
                <w:szCs w:val="21"/>
                <w:highlight w:val="none"/>
              </w:rPr>
              <w:t>格式</w:t>
            </w:r>
            <w:r>
              <w:rPr>
                <w:rFonts w:hint="eastAsia" w:ascii="宋体" w:hAnsi="宋体" w:cs="Lucida Sans Unicode"/>
                <w:color w:val="auto"/>
                <w:sz w:val="21"/>
                <w:szCs w:val="21"/>
                <w:highlight w:val="none"/>
                <w:lang w:val="en-US" w:eastAsia="zh-CN"/>
              </w:rPr>
              <w:t>4</w:t>
            </w:r>
          </w:p>
        </w:tc>
        <w:tc>
          <w:tcPr>
            <w:tcW w:w="723" w:type="dxa"/>
            <w:tcBorders>
              <w:right w:val="double" w:color="auto" w:sz="4" w:space="0"/>
            </w:tcBorders>
            <w:shd w:val="clear" w:color="auto" w:fill="auto"/>
            <w:noWrap w:val="0"/>
            <w:vAlign w:val="center"/>
          </w:tcPr>
          <w:p w14:paraId="510DC2E2">
            <w:pPr>
              <w:widowControl/>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 w:val="21"/>
                <w:szCs w:val="21"/>
                <w:highlight w:val="none"/>
              </w:rPr>
              <w:t>2-</w:t>
            </w:r>
            <w:r>
              <w:rPr>
                <w:rFonts w:hint="eastAsia" w:ascii="宋体" w:hAnsi="宋体"/>
                <w:color w:val="auto"/>
                <w:sz w:val="21"/>
                <w:szCs w:val="21"/>
                <w:highlight w:val="none"/>
                <w:lang w:val="en-US" w:eastAsia="zh-CN"/>
              </w:rPr>
              <w:t>3</w:t>
            </w:r>
          </w:p>
        </w:tc>
      </w:tr>
      <w:tr w14:paraId="1A26A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exact"/>
        </w:trPr>
        <w:tc>
          <w:tcPr>
            <w:tcW w:w="1031" w:type="dxa"/>
            <w:vMerge w:val="continue"/>
            <w:tcBorders>
              <w:left w:val="double" w:color="auto" w:sz="4" w:space="0"/>
              <w:right w:val="single" w:color="auto" w:sz="4" w:space="0"/>
            </w:tcBorders>
            <w:noWrap w:val="0"/>
            <w:vAlign w:val="center"/>
          </w:tcPr>
          <w:p w14:paraId="1C5814BF">
            <w:pPr>
              <w:widowControl/>
              <w:spacing w:line="360" w:lineRule="exact"/>
              <w:jc w:val="center"/>
              <w:rPr>
                <w:rFonts w:hint="eastAsia" w:ascii="宋体" w:hAnsi="宋体" w:eastAsia="宋体" w:cs="宋体"/>
                <w:color w:val="auto"/>
                <w:kern w:val="0"/>
                <w:sz w:val="21"/>
                <w:szCs w:val="21"/>
                <w:highlight w:val="none"/>
              </w:rPr>
            </w:pPr>
          </w:p>
        </w:tc>
        <w:tc>
          <w:tcPr>
            <w:tcW w:w="4824" w:type="dxa"/>
            <w:tcBorders>
              <w:bottom w:val="single" w:color="auto" w:sz="4" w:space="0"/>
            </w:tcBorders>
            <w:shd w:val="clear" w:color="auto" w:fill="auto"/>
            <w:noWrap w:val="0"/>
            <w:vAlign w:val="center"/>
          </w:tcPr>
          <w:p w14:paraId="41ABD24A">
            <w:pPr>
              <w:tabs>
                <w:tab w:val="left" w:pos="3123"/>
              </w:tabs>
              <w:rPr>
                <w:rFonts w:hint="eastAsia" w:ascii="宋体" w:hAnsi="宋体" w:eastAsia="宋体" w:cs="Lucida Sans Unicode"/>
                <w:color w:val="auto"/>
                <w:kern w:val="2"/>
                <w:sz w:val="21"/>
                <w:szCs w:val="21"/>
                <w:highlight w:val="none"/>
                <w:lang w:val="en-US" w:eastAsia="zh-CN" w:bidi="ar-SA"/>
              </w:rPr>
            </w:pPr>
            <w:r>
              <w:rPr>
                <w:rFonts w:hint="eastAsia" w:ascii="宋体" w:hAnsi="宋体" w:cs="Lucida Sans Unicode"/>
                <w:color w:val="auto"/>
                <w:szCs w:val="21"/>
                <w:highlight w:val="none"/>
                <w:lang w:eastAsia="zh-CN"/>
              </w:rPr>
              <w:t>未被人力资源社会保障主管部门列入拖欠农民工工资失信联合惩戒名单或无因拖欠农民工工资被县级及以上有关行政主管部门限制投标资格且在限制期限内的承诺</w:t>
            </w:r>
            <w:r>
              <w:rPr>
                <w:rFonts w:hint="eastAsia" w:ascii="宋体" w:hAnsi="宋体" w:cs="Lucida Sans Unicode"/>
                <w:color w:val="auto"/>
                <w:szCs w:val="21"/>
                <w:highlight w:val="none"/>
                <w:lang w:eastAsia="zh-CN"/>
              </w:rPr>
              <w:tab/>
            </w:r>
          </w:p>
        </w:tc>
        <w:tc>
          <w:tcPr>
            <w:tcW w:w="1440" w:type="dxa"/>
            <w:tcBorders>
              <w:bottom w:val="single" w:color="auto" w:sz="4" w:space="0"/>
            </w:tcBorders>
            <w:shd w:val="clear" w:color="auto" w:fill="auto"/>
            <w:noWrap w:val="0"/>
            <w:vAlign w:val="center"/>
          </w:tcPr>
          <w:p w14:paraId="5635C285">
            <w:pPr>
              <w:jc w:val="center"/>
              <w:rPr>
                <w:rFonts w:hint="eastAsia" w:ascii="宋体" w:hAnsi="宋体" w:eastAsia="宋体" w:cs="Lucida Sans Unicode"/>
                <w:color w:val="auto"/>
                <w:kern w:val="2"/>
                <w:sz w:val="21"/>
                <w:szCs w:val="21"/>
                <w:highlight w:val="none"/>
                <w:lang w:val="en-US" w:eastAsia="zh-CN" w:bidi="ar-SA"/>
              </w:rPr>
            </w:pPr>
            <w:r>
              <w:rPr>
                <w:rFonts w:hint="eastAsia" w:ascii="宋体" w:hAnsi="宋体" w:cs="Lucida Sans Unicode"/>
                <w:color w:val="auto"/>
                <w:szCs w:val="21"/>
                <w:highlight w:val="none"/>
              </w:rPr>
              <w:t>原件</w:t>
            </w:r>
          </w:p>
        </w:tc>
        <w:tc>
          <w:tcPr>
            <w:tcW w:w="962" w:type="dxa"/>
            <w:shd w:val="clear" w:color="auto" w:fill="auto"/>
            <w:noWrap w:val="0"/>
            <w:vAlign w:val="center"/>
          </w:tcPr>
          <w:p w14:paraId="4BB071B6">
            <w:pPr>
              <w:widowControl/>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rPr>
              <w:t>格式</w:t>
            </w:r>
            <w:r>
              <w:rPr>
                <w:rFonts w:hint="eastAsia" w:ascii="宋体" w:hAnsi="宋体" w:cs="宋体"/>
                <w:color w:val="auto"/>
                <w:szCs w:val="21"/>
                <w:highlight w:val="none"/>
                <w:lang w:val="en-US" w:eastAsia="zh-CN"/>
              </w:rPr>
              <w:t>5</w:t>
            </w:r>
          </w:p>
        </w:tc>
        <w:tc>
          <w:tcPr>
            <w:tcW w:w="723" w:type="dxa"/>
            <w:tcBorders>
              <w:right w:val="double" w:color="auto" w:sz="4" w:space="0"/>
            </w:tcBorders>
            <w:shd w:val="clear" w:color="auto" w:fill="auto"/>
            <w:noWrap w:val="0"/>
            <w:vAlign w:val="center"/>
          </w:tcPr>
          <w:p w14:paraId="6243A394">
            <w:pPr>
              <w:widowControl/>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0"/>
                <w:szCs w:val="21"/>
                <w:highlight w:val="none"/>
                <w:lang w:val="en-US" w:eastAsia="zh-CN"/>
              </w:rPr>
              <w:t>2-4</w:t>
            </w:r>
          </w:p>
        </w:tc>
      </w:tr>
      <w:tr w14:paraId="2785F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exact"/>
        </w:trPr>
        <w:tc>
          <w:tcPr>
            <w:tcW w:w="1031" w:type="dxa"/>
            <w:vMerge w:val="continue"/>
            <w:tcBorders>
              <w:left w:val="double" w:color="auto" w:sz="4" w:space="0"/>
              <w:right w:val="single" w:color="auto" w:sz="4" w:space="0"/>
            </w:tcBorders>
            <w:noWrap w:val="0"/>
            <w:vAlign w:val="center"/>
          </w:tcPr>
          <w:p w14:paraId="49653A12">
            <w:pPr>
              <w:widowControl/>
              <w:spacing w:line="360" w:lineRule="exact"/>
              <w:jc w:val="center"/>
              <w:rPr>
                <w:rFonts w:hint="eastAsia" w:ascii="宋体" w:hAnsi="宋体" w:eastAsia="宋体" w:cs="宋体"/>
                <w:color w:val="auto"/>
                <w:kern w:val="0"/>
                <w:sz w:val="21"/>
                <w:szCs w:val="21"/>
                <w:highlight w:val="none"/>
              </w:rPr>
            </w:pPr>
          </w:p>
        </w:tc>
        <w:tc>
          <w:tcPr>
            <w:tcW w:w="4824" w:type="dxa"/>
            <w:tcBorders>
              <w:bottom w:val="single" w:color="auto" w:sz="4" w:space="0"/>
            </w:tcBorders>
            <w:shd w:val="clear" w:color="auto" w:fill="auto"/>
            <w:noWrap w:val="0"/>
            <w:vAlign w:val="center"/>
          </w:tcPr>
          <w:p w14:paraId="09BF421F">
            <w:pPr>
              <w:rPr>
                <w:rFonts w:hint="eastAsia" w:ascii="宋体" w:hAnsi="宋体" w:cs="Lucida Sans Unicode"/>
                <w:color w:val="auto"/>
                <w:szCs w:val="21"/>
                <w:highlight w:val="none"/>
                <w:lang w:eastAsia="zh-CN"/>
              </w:rPr>
            </w:pPr>
            <w:r>
              <w:rPr>
                <w:rFonts w:hint="eastAsia" w:ascii="宋体" w:hAnsi="宋体"/>
                <w:color w:val="auto"/>
                <w:kern w:val="0"/>
                <w:highlight w:val="none"/>
              </w:rPr>
              <w:t>中小企业声明函（如是需提供）</w:t>
            </w:r>
          </w:p>
        </w:tc>
        <w:tc>
          <w:tcPr>
            <w:tcW w:w="1440" w:type="dxa"/>
            <w:tcBorders>
              <w:bottom w:val="single" w:color="auto" w:sz="4" w:space="0"/>
            </w:tcBorders>
            <w:shd w:val="clear" w:color="auto" w:fill="auto"/>
            <w:noWrap w:val="0"/>
            <w:vAlign w:val="center"/>
          </w:tcPr>
          <w:p w14:paraId="22457A6D">
            <w:pPr>
              <w:widowControl/>
              <w:jc w:val="center"/>
              <w:rPr>
                <w:rFonts w:hint="eastAsia" w:ascii="宋体" w:hAnsi="宋体" w:cs="Lucida Sans Unicode"/>
                <w:color w:val="auto"/>
                <w:szCs w:val="21"/>
                <w:highlight w:val="none"/>
              </w:rPr>
            </w:pPr>
            <w:r>
              <w:rPr>
                <w:rFonts w:hint="eastAsia" w:ascii="宋体" w:hAnsi="宋体"/>
                <w:color w:val="auto"/>
                <w:highlight w:val="none"/>
              </w:rPr>
              <w:t>原件</w:t>
            </w:r>
          </w:p>
        </w:tc>
        <w:tc>
          <w:tcPr>
            <w:tcW w:w="962" w:type="dxa"/>
            <w:shd w:val="clear" w:color="auto" w:fill="auto"/>
            <w:noWrap w:val="0"/>
            <w:vAlign w:val="center"/>
          </w:tcPr>
          <w:p w14:paraId="7BB77AF5">
            <w:pPr>
              <w:widowControl/>
              <w:jc w:val="center"/>
              <w:rPr>
                <w:rFonts w:hint="eastAsia" w:ascii="宋体" w:hAnsi="宋体" w:cs="宋体"/>
                <w:color w:val="auto"/>
                <w:szCs w:val="21"/>
                <w:highlight w:val="none"/>
              </w:rPr>
            </w:pPr>
            <w:r>
              <w:rPr>
                <w:rFonts w:hint="eastAsia" w:ascii="宋体" w:hAnsi="宋体"/>
                <w:color w:val="auto"/>
                <w:highlight w:val="none"/>
              </w:rPr>
              <w:t>格式1</w:t>
            </w:r>
            <w:r>
              <w:rPr>
                <w:rFonts w:hint="eastAsia" w:ascii="宋体" w:hAnsi="宋体"/>
                <w:color w:val="auto"/>
                <w:highlight w:val="none"/>
                <w:lang w:val="en-US" w:eastAsia="zh-CN"/>
              </w:rPr>
              <w:t>3</w:t>
            </w:r>
          </w:p>
        </w:tc>
        <w:tc>
          <w:tcPr>
            <w:tcW w:w="723" w:type="dxa"/>
            <w:tcBorders>
              <w:right w:val="double" w:color="auto" w:sz="4" w:space="0"/>
            </w:tcBorders>
            <w:shd w:val="clear" w:color="auto" w:fill="auto"/>
            <w:noWrap w:val="0"/>
            <w:vAlign w:val="center"/>
          </w:tcPr>
          <w:p w14:paraId="02C7A44B">
            <w:pPr>
              <w:widowControl/>
              <w:jc w:val="center"/>
              <w:rPr>
                <w:rFonts w:hint="eastAsia" w:ascii="宋体" w:hAnsi="宋体" w:cs="宋体"/>
                <w:color w:val="auto"/>
                <w:kern w:val="0"/>
                <w:szCs w:val="21"/>
                <w:highlight w:val="none"/>
                <w:lang w:val="en-US" w:eastAsia="zh-CN"/>
              </w:rPr>
            </w:pPr>
            <w:r>
              <w:rPr>
                <w:rFonts w:hint="eastAsia" w:ascii="宋体" w:hAnsi="宋体"/>
                <w:color w:val="auto"/>
                <w:kern w:val="0"/>
                <w:highlight w:val="none"/>
                <w:lang w:val="en-US" w:eastAsia="zh-CN"/>
              </w:rPr>
              <w:t>2-5</w:t>
            </w:r>
          </w:p>
        </w:tc>
      </w:tr>
      <w:tr w14:paraId="44C35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exact"/>
        </w:trPr>
        <w:tc>
          <w:tcPr>
            <w:tcW w:w="1031" w:type="dxa"/>
            <w:vMerge w:val="continue"/>
            <w:tcBorders>
              <w:left w:val="double" w:color="auto" w:sz="4" w:space="0"/>
              <w:right w:val="single" w:color="auto" w:sz="4" w:space="0"/>
            </w:tcBorders>
            <w:noWrap w:val="0"/>
            <w:vAlign w:val="center"/>
          </w:tcPr>
          <w:p w14:paraId="021AF41A">
            <w:pPr>
              <w:widowControl/>
              <w:spacing w:line="360" w:lineRule="exact"/>
              <w:jc w:val="center"/>
              <w:rPr>
                <w:rFonts w:hint="eastAsia" w:ascii="宋体" w:hAnsi="宋体" w:eastAsia="宋体" w:cs="宋体"/>
                <w:color w:val="auto"/>
                <w:kern w:val="0"/>
                <w:sz w:val="21"/>
                <w:szCs w:val="21"/>
                <w:highlight w:val="none"/>
              </w:rPr>
            </w:pPr>
          </w:p>
        </w:tc>
        <w:tc>
          <w:tcPr>
            <w:tcW w:w="4824" w:type="dxa"/>
            <w:tcBorders>
              <w:bottom w:val="single" w:color="auto" w:sz="4" w:space="0"/>
            </w:tcBorders>
            <w:shd w:val="clear" w:color="auto" w:fill="auto"/>
            <w:noWrap w:val="0"/>
            <w:vAlign w:val="center"/>
          </w:tcPr>
          <w:p w14:paraId="605359F3">
            <w:pPr>
              <w:rPr>
                <w:rFonts w:hint="eastAsia" w:ascii="宋体" w:hAnsi="宋体" w:cs="Lucida Sans Unicode"/>
                <w:color w:val="auto"/>
                <w:szCs w:val="21"/>
                <w:highlight w:val="none"/>
                <w:lang w:eastAsia="zh-CN"/>
              </w:rPr>
            </w:pPr>
            <w:r>
              <w:rPr>
                <w:rFonts w:hint="eastAsia" w:ascii="宋体" w:hAnsi="宋体"/>
                <w:color w:val="auto"/>
                <w:kern w:val="0"/>
                <w:highlight w:val="none"/>
              </w:rPr>
              <w:t>残疾人福利性单位声明函（如是需提供）</w:t>
            </w:r>
          </w:p>
        </w:tc>
        <w:tc>
          <w:tcPr>
            <w:tcW w:w="1440" w:type="dxa"/>
            <w:tcBorders>
              <w:bottom w:val="single" w:color="auto" w:sz="4" w:space="0"/>
            </w:tcBorders>
            <w:shd w:val="clear" w:color="auto" w:fill="auto"/>
            <w:noWrap w:val="0"/>
            <w:vAlign w:val="center"/>
          </w:tcPr>
          <w:p w14:paraId="42BC3F1A">
            <w:pPr>
              <w:widowControl/>
              <w:jc w:val="center"/>
              <w:rPr>
                <w:rFonts w:hint="eastAsia" w:ascii="宋体" w:hAnsi="宋体" w:cs="Lucida Sans Unicode"/>
                <w:color w:val="auto"/>
                <w:szCs w:val="21"/>
                <w:highlight w:val="none"/>
              </w:rPr>
            </w:pPr>
            <w:r>
              <w:rPr>
                <w:rFonts w:hint="eastAsia" w:ascii="宋体" w:hAnsi="宋体"/>
                <w:color w:val="auto"/>
                <w:highlight w:val="none"/>
              </w:rPr>
              <w:t>原件</w:t>
            </w:r>
          </w:p>
        </w:tc>
        <w:tc>
          <w:tcPr>
            <w:tcW w:w="962" w:type="dxa"/>
            <w:shd w:val="clear" w:color="auto" w:fill="auto"/>
            <w:noWrap w:val="0"/>
            <w:vAlign w:val="center"/>
          </w:tcPr>
          <w:p w14:paraId="783913E8">
            <w:pPr>
              <w:widowControl/>
              <w:jc w:val="center"/>
              <w:rPr>
                <w:rFonts w:hint="eastAsia" w:ascii="宋体" w:hAnsi="宋体" w:cs="宋体"/>
                <w:color w:val="auto"/>
                <w:szCs w:val="21"/>
                <w:highlight w:val="none"/>
              </w:rPr>
            </w:pPr>
            <w:r>
              <w:rPr>
                <w:rFonts w:hint="eastAsia" w:ascii="宋体" w:hAnsi="宋体"/>
                <w:color w:val="auto"/>
                <w:highlight w:val="none"/>
              </w:rPr>
              <w:t>格式1</w:t>
            </w:r>
            <w:r>
              <w:rPr>
                <w:rFonts w:hint="eastAsia" w:ascii="宋体" w:hAnsi="宋体"/>
                <w:color w:val="auto"/>
                <w:highlight w:val="none"/>
                <w:lang w:val="en-US" w:eastAsia="zh-CN"/>
              </w:rPr>
              <w:t>4</w:t>
            </w:r>
          </w:p>
        </w:tc>
        <w:tc>
          <w:tcPr>
            <w:tcW w:w="723" w:type="dxa"/>
            <w:tcBorders>
              <w:right w:val="double" w:color="auto" w:sz="4" w:space="0"/>
            </w:tcBorders>
            <w:shd w:val="clear" w:color="auto" w:fill="auto"/>
            <w:noWrap w:val="0"/>
            <w:vAlign w:val="center"/>
          </w:tcPr>
          <w:p w14:paraId="35F85A00">
            <w:pPr>
              <w:widowControl/>
              <w:jc w:val="center"/>
              <w:rPr>
                <w:rFonts w:hint="eastAsia" w:ascii="宋体" w:hAnsi="宋体" w:cs="宋体"/>
                <w:color w:val="auto"/>
                <w:kern w:val="0"/>
                <w:szCs w:val="21"/>
                <w:highlight w:val="none"/>
                <w:lang w:val="en-US" w:eastAsia="zh-CN"/>
              </w:rPr>
            </w:pPr>
            <w:r>
              <w:rPr>
                <w:rFonts w:hint="eastAsia" w:ascii="宋体" w:hAnsi="宋体"/>
                <w:color w:val="auto"/>
                <w:kern w:val="0"/>
                <w:highlight w:val="none"/>
                <w:lang w:val="en-US" w:eastAsia="zh-CN"/>
              </w:rPr>
              <w:t>2-6</w:t>
            </w:r>
          </w:p>
        </w:tc>
      </w:tr>
      <w:tr w14:paraId="54228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031" w:type="dxa"/>
            <w:vMerge w:val="restart"/>
            <w:tcBorders>
              <w:left w:val="double" w:color="auto" w:sz="4" w:space="0"/>
              <w:right w:val="single" w:color="auto" w:sz="4" w:space="0"/>
            </w:tcBorders>
            <w:noWrap w:val="0"/>
            <w:vAlign w:val="center"/>
          </w:tcPr>
          <w:p w14:paraId="7249FC78">
            <w:pPr>
              <w:widowControl/>
              <w:rPr>
                <w:rFonts w:hint="eastAsia" w:ascii="宋体" w:hAnsi="宋体" w:eastAsia="宋体" w:cs="宋体"/>
                <w:color w:val="auto"/>
                <w:kern w:val="0"/>
                <w:sz w:val="21"/>
                <w:szCs w:val="21"/>
                <w:highlight w:val="none"/>
              </w:rPr>
            </w:pPr>
          </w:p>
          <w:p w14:paraId="3ABE9B96">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符合性</w:t>
            </w:r>
          </w:p>
          <w:p w14:paraId="31F3217F">
            <w:pPr>
              <w:widowControl/>
              <w:ind w:left="-109" w:leftChars="-52"/>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证明材料</w:t>
            </w:r>
          </w:p>
        </w:tc>
        <w:tc>
          <w:tcPr>
            <w:tcW w:w="4824" w:type="dxa"/>
            <w:noWrap w:val="0"/>
            <w:vAlign w:val="center"/>
          </w:tcPr>
          <w:p w14:paraId="6928350F">
            <w:pP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磋商承诺函</w:t>
            </w:r>
          </w:p>
        </w:tc>
        <w:tc>
          <w:tcPr>
            <w:tcW w:w="1440" w:type="dxa"/>
            <w:noWrap w:val="0"/>
            <w:vAlign w:val="center"/>
          </w:tcPr>
          <w:p w14:paraId="099B2255">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原件</w:t>
            </w:r>
          </w:p>
        </w:tc>
        <w:tc>
          <w:tcPr>
            <w:tcW w:w="962" w:type="dxa"/>
            <w:noWrap w:val="0"/>
            <w:vAlign w:val="center"/>
          </w:tcPr>
          <w:p w14:paraId="0145CB7E">
            <w:pPr>
              <w:widowControl/>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格式</w:t>
            </w:r>
            <w:r>
              <w:rPr>
                <w:rFonts w:hint="eastAsia" w:ascii="宋体" w:hAnsi="宋体" w:cs="宋体"/>
                <w:color w:val="auto"/>
                <w:sz w:val="21"/>
                <w:szCs w:val="21"/>
                <w:highlight w:val="none"/>
                <w:lang w:val="en-US" w:eastAsia="zh-CN"/>
              </w:rPr>
              <w:t>6</w:t>
            </w:r>
          </w:p>
        </w:tc>
        <w:tc>
          <w:tcPr>
            <w:tcW w:w="723" w:type="dxa"/>
            <w:tcBorders>
              <w:right w:val="double" w:color="auto" w:sz="4" w:space="0"/>
            </w:tcBorders>
            <w:noWrap w:val="0"/>
            <w:vAlign w:val="center"/>
          </w:tcPr>
          <w:p w14:paraId="4E298A18">
            <w:pPr>
              <w:widowControl/>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3-</w:t>
            </w:r>
            <w:r>
              <w:rPr>
                <w:rFonts w:hint="eastAsia" w:ascii="宋体" w:hAnsi="宋体" w:cs="宋体"/>
                <w:color w:val="auto"/>
                <w:kern w:val="0"/>
                <w:sz w:val="21"/>
                <w:szCs w:val="21"/>
                <w:highlight w:val="none"/>
                <w:lang w:val="en-US" w:eastAsia="zh-CN"/>
              </w:rPr>
              <w:t>1</w:t>
            </w:r>
          </w:p>
        </w:tc>
      </w:tr>
      <w:tr w14:paraId="1CD19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031" w:type="dxa"/>
            <w:vMerge w:val="continue"/>
            <w:tcBorders>
              <w:left w:val="double" w:color="auto" w:sz="4" w:space="0"/>
              <w:right w:val="single" w:color="auto" w:sz="4" w:space="0"/>
            </w:tcBorders>
            <w:noWrap w:val="0"/>
            <w:vAlign w:val="center"/>
          </w:tcPr>
          <w:p w14:paraId="3D3CBEDE">
            <w:pPr>
              <w:widowControl/>
              <w:jc w:val="center"/>
              <w:rPr>
                <w:rFonts w:hint="eastAsia" w:ascii="宋体" w:hAnsi="宋体" w:eastAsia="宋体" w:cs="宋体"/>
                <w:color w:val="auto"/>
                <w:kern w:val="0"/>
                <w:sz w:val="21"/>
                <w:szCs w:val="21"/>
                <w:highlight w:val="none"/>
              </w:rPr>
            </w:pPr>
          </w:p>
        </w:tc>
        <w:tc>
          <w:tcPr>
            <w:tcW w:w="4824" w:type="dxa"/>
            <w:noWrap w:val="0"/>
            <w:vAlign w:val="center"/>
          </w:tcPr>
          <w:p w14:paraId="66FC7726">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供应商公司基本情况简介</w:t>
            </w:r>
          </w:p>
        </w:tc>
        <w:tc>
          <w:tcPr>
            <w:tcW w:w="1440" w:type="dxa"/>
            <w:noWrap w:val="0"/>
            <w:vAlign w:val="center"/>
          </w:tcPr>
          <w:p w14:paraId="52DA1F4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原件</w:t>
            </w:r>
          </w:p>
        </w:tc>
        <w:tc>
          <w:tcPr>
            <w:tcW w:w="962" w:type="dxa"/>
            <w:noWrap w:val="0"/>
            <w:vAlign w:val="center"/>
          </w:tcPr>
          <w:p w14:paraId="54D40199">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格式</w:t>
            </w:r>
            <w:r>
              <w:rPr>
                <w:rFonts w:hint="eastAsia" w:ascii="宋体" w:hAnsi="宋体" w:cs="宋体"/>
                <w:color w:val="auto"/>
                <w:sz w:val="21"/>
                <w:szCs w:val="21"/>
                <w:highlight w:val="none"/>
                <w:lang w:val="en-US" w:eastAsia="zh-CN"/>
              </w:rPr>
              <w:t>7</w:t>
            </w:r>
          </w:p>
        </w:tc>
        <w:tc>
          <w:tcPr>
            <w:tcW w:w="723" w:type="dxa"/>
            <w:tcBorders>
              <w:right w:val="double" w:color="auto" w:sz="4" w:space="0"/>
            </w:tcBorders>
            <w:noWrap w:val="0"/>
            <w:vAlign w:val="center"/>
          </w:tcPr>
          <w:p w14:paraId="37E6CBCB">
            <w:pPr>
              <w:widowControl/>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3-</w:t>
            </w:r>
            <w:r>
              <w:rPr>
                <w:rFonts w:hint="eastAsia" w:ascii="宋体" w:hAnsi="宋体" w:cs="宋体"/>
                <w:color w:val="auto"/>
                <w:kern w:val="0"/>
                <w:sz w:val="21"/>
                <w:szCs w:val="21"/>
                <w:highlight w:val="none"/>
                <w:lang w:val="en-US" w:eastAsia="zh-CN"/>
              </w:rPr>
              <w:t>2</w:t>
            </w:r>
          </w:p>
        </w:tc>
      </w:tr>
      <w:tr w14:paraId="22043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031" w:type="dxa"/>
            <w:vMerge w:val="continue"/>
            <w:tcBorders>
              <w:left w:val="double" w:color="auto" w:sz="4" w:space="0"/>
              <w:right w:val="single" w:color="auto" w:sz="4" w:space="0"/>
            </w:tcBorders>
            <w:noWrap w:val="0"/>
            <w:vAlign w:val="center"/>
          </w:tcPr>
          <w:p w14:paraId="37DDCC39">
            <w:pPr>
              <w:widowControl/>
              <w:ind w:left="-109" w:leftChars="-52"/>
              <w:jc w:val="center"/>
              <w:rPr>
                <w:rFonts w:hint="eastAsia" w:ascii="宋体" w:hAnsi="宋体" w:eastAsia="宋体" w:cs="宋体"/>
                <w:color w:val="auto"/>
                <w:kern w:val="0"/>
                <w:sz w:val="21"/>
                <w:szCs w:val="21"/>
                <w:highlight w:val="none"/>
              </w:rPr>
            </w:pPr>
          </w:p>
        </w:tc>
        <w:tc>
          <w:tcPr>
            <w:tcW w:w="4824" w:type="dxa"/>
            <w:noWrap w:val="0"/>
            <w:vAlign w:val="center"/>
          </w:tcPr>
          <w:p w14:paraId="7DB4FB5F">
            <w:pPr>
              <w:widowControl/>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反商业贿赂承诺书</w:t>
            </w:r>
          </w:p>
        </w:tc>
        <w:tc>
          <w:tcPr>
            <w:tcW w:w="1440" w:type="dxa"/>
            <w:noWrap w:val="0"/>
            <w:vAlign w:val="center"/>
          </w:tcPr>
          <w:p w14:paraId="71D5C854">
            <w:pPr>
              <w:widowControl/>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原件</w:t>
            </w:r>
          </w:p>
        </w:tc>
        <w:tc>
          <w:tcPr>
            <w:tcW w:w="962" w:type="dxa"/>
            <w:noWrap w:val="0"/>
            <w:vAlign w:val="center"/>
          </w:tcPr>
          <w:p w14:paraId="54AA15D0">
            <w:pPr>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rPr>
              <w:t>格式</w:t>
            </w:r>
            <w:r>
              <w:rPr>
                <w:rFonts w:hint="eastAsia" w:ascii="宋体" w:hAnsi="宋体" w:cs="宋体"/>
                <w:color w:val="auto"/>
                <w:sz w:val="21"/>
                <w:szCs w:val="21"/>
                <w:highlight w:val="none"/>
                <w:lang w:val="en-US" w:eastAsia="zh-CN"/>
              </w:rPr>
              <w:t>8</w:t>
            </w:r>
          </w:p>
        </w:tc>
        <w:tc>
          <w:tcPr>
            <w:tcW w:w="723" w:type="dxa"/>
            <w:tcBorders>
              <w:right w:val="double" w:color="auto" w:sz="4" w:space="0"/>
            </w:tcBorders>
            <w:noWrap w:val="0"/>
            <w:vAlign w:val="center"/>
          </w:tcPr>
          <w:p w14:paraId="413F0CC4">
            <w:pPr>
              <w:widowControl/>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3-</w:t>
            </w:r>
            <w:r>
              <w:rPr>
                <w:rFonts w:hint="eastAsia" w:ascii="宋体" w:hAnsi="宋体" w:cs="宋体"/>
                <w:color w:val="auto"/>
                <w:kern w:val="0"/>
                <w:sz w:val="21"/>
                <w:szCs w:val="21"/>
                <w:highlight w:val="none"/>
                <w:lang w:val="en-US" w:eastAsia="zh-CN"/>
              </w:rPr>
              <w:t>3</w:t>
            </w:r>
          </w:p>
        </w:tc>
      </w:tr>
      <w:tr w14:paraId="5CBE4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031" w:type="dxa"/>
            <w:vMerge w:val="continue"/>
            <w:tcBorders>
              <w:left w:val="double" w:color="auto" w:sz="4" w:space="0"/>
              <w:right w:val="single" w:color="auto" w:sz="4" w:space="0"/>
            </w:tcBorders>
            <w:noWrap w:val="0"/>
            <w:vAlign w:val="center"/>
          </w:tcPr>
          <w:p w14:paraId="14ED65BE">
            <w:pPr>
              <w:widowControl/>
              <w:ind w:left="-109" w:leftChars="-52"/>
              <w:jc w:val="center"/>
              <w:rPr>
                <w:rFonts w:hint="eastAsia" w:ascii="宋体" w:hAnsi="宋体" w:eastAsia="宋体" w:cs="宋体"/>
                <w:color w:val="auto"/>
                <w:kern w:val="0"/>
                <w:sz w:val="21"/>
                <w:szCs w:val="21"/>
                <w:highlight w:val="none"/>
              </w:rPr>
            </w:pPr>
          </w:p>
        </w:tc>
        <w:tc>
          <w:tcPr>
            <w:tcW w:w="4824" w:type="dxa"/>
            <w:noWrap w:val="0"/>
            <w:vAlign w:val="center"/>
          </w:tcPr>
          <w:p w14:paraId="619170EC">
            <w:pPr>
              <w:widowControl/>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报价一览表</w:t>
            </w:r>
          </w:p>
        </w:tc>
        <w:tc>
          <w:tcPr>
            <w:tcW w:w="1440" w:type="dxa"/>
            <w:noWrap w:val="0"/>
            <w:vAlign w:val="center"/>
          </w:tcPr>
          <w:p w14:paraId="7E26E272">
            <w:pPr>
              <w:widowControl/>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原件</w:t>
            </w:r>
          </w:p>
        </w:tc>
        <w:tc>
          <w:tcPr>
            <w:tcW w:w="962" w:type="dxa"/>
            <w:noWrap w:val="0"/>
            <w:vAlign w:val="center"/>
          </w:tcPr>
          <w:p w14:paraId="153E10E6">
            <w:pPr>
              <w:widowControl/>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格式</w:t>
            </w:r>
            <w:r>
              <w:rPr>
                <w:rFonts w:hint="eastAsia" w:ascii="宋体" w:hAnsi="宋体" w:cs="宋体"/>
                <w:color w:val="auto"/>
                <w:sz w:val="21"/>
                <w:szCs w:val="21"/>
                <w:highlight w:val="none"/>
                <w:lang w:val="en-US" w:eastAsia="zh-CN"/>
              </w:rPr>
              <w:t>9</w:t>
            </w:r>
          </w:p>
        </w:tc>
        <w:tc>
          <w:tcPr>
            <w:tcW w:w="723" w:type="dxa"/>
            <w:tcBorders>
              <w:right w:val="double" w:color="auto" w:sz="4" w:space="0"/>
            </w:tcBorders>
            <w:noWrap w:val="0"/>
            <w:vAlign w:val="center"/>
          </w:tcPr>
          <w:p w14:paraId="1E0B78AB">
            <w:pPr>
              <w:widowControl/>
              <w:jc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3-4</w:t>
            </w:r>
          </w:p>
        </w:tc>
      </w:tr>
      <w:tr w14:paraId="2B47F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031" w:type="dxa"/>
            <w:vMerge w:val="continue"/>
            <w:tcBorders>
              <w:left w:val="double" w:color="auto" w:sz="4" w:space="0"/>
              <w:right w:val="single" w:color="auto" w:sz="4" w:space="0"/>
            </w:tcBorders>
            <w:noWrap w:val="0"/>
            <w:vAlign w:val="center"/>
          </w:tcPr>
          <w:p w14:paraId="495FAF6F">
            <w:pPr>
              <w:widowControl/>
              <w:ind w:left="-109" w:leftChars="-52"/>
              <w:jc w:val="center"/>
              <w:rPr>
                <w:rFonts w:hint="eastAsia" w:ascii="宋体" w:hAnsi="宋体" w:eastAsia="宋体" w:cs="宋体"/>
                <w:color w:val="auto"/>
                <w:kern w:val="0"/>
                <w:sz w:val="21"/>
                <w:szCs w:val="21"/>
                <w:highlight w:val="none"/>
              </w:rPr>
            </w:pPr>
          </w:p>
        </w:tc>
        <w:tc>
          <w:tcPr>
            <w:tcW w:w="4824" w:type="dxa"/>
            <w:noWrap w:val="0"/>
            <w:vAlign w:val="center"/>
          </w:tcPr>
          <w:p w14:paraId="2763F4FA">
            <w:pPr>
              <w:widowControl/>
              <w:rPr>
                <w:rFonts w:hint="default"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报价明细表</w:t>
            </w:r>
          </w:p>
        </w:tc>
        <w:tc>
          <w:tcPr>
            <w:tcW w:w="1440" w:type="dxa"/>
            <w:noWrap w:val="0"/>
            <w:vAlign w:val="center"/>
          </w:tcPr>
          <w:p w14:paraId="4EE209DC">
            <w:pPr>
              <w:widowControl/>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原件</w:t>
            </w:r>
          </w:p>
        </w:tc>
        <w:tc>
          <w:tcPr>
            <w:tcW w:w="962" w:type="dxa"/>
            <w:noWrap w:val="0"/>
            <w:vAlign w:val="center"/>
          </w:tcPr>
          <w:p w14:paraId="54A661FB">
            <w:pPr>
              <w:widowControl/>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格式</w:t>
            </w:r>
            <w:r>
              <w:rPr>
                <w:rFonts w:hint="eastAsia" w:ascii="宋体" w:hAnsi="宋体" w:cs="宋体"/>
                <w:color w:val="auto"/>
                <w:sz w:val="21"/>
                <w:szCs w:val="21"/>
                <w:highlight w:val="none"/>
                <w:lang w:val="en-US" w:eastAsia="zh-CN"/>
              </w:rPr>
              <w:t>10</w:t>
            </w:r>
          </w:p>
        </w:tc>
        <w:tc>
          <w:tcPr>
            <w:tcW w:w="723" w:type="dxa"/>
            <w:tcBorders>
              <w:right w:val="double" w:color="auto" w:sz="4" w:space="0"/>
            </w:tcBorders>
            <w:noWrap w:val="0"/>
            <w:vAlign w:val="center"/>
          </w:tcPr>
          <w:p w14:paraId="22E6A45B">
            <w:pPr>
              <w:widowControl/>
              <w:jc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3-5</w:t>
            </w:r>
          </w:p>
        </w:tc>
      </w:tr>
      <w:tr w14:paraId="7F48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031" w:type="dxa"/>
            <w:vMerge w:val="continue"/>
            <w:tcBorders>
              <w:left w:val="double" w:color="auto" w:sz="4" w:space="0"/>
              <w:right w:val="single" w:color="auto" w:sz="4" w:space="0"/>
            </w:tcBorders>
            <w:noWrap w:val="0"/>
            <w:vAlign w:val="center"/>
          </w:tcPr>
          <w:p w14:paraId="11DDC22B">
            <w:pPr>
              <w:widowControl/>
              <w:ind w:left="-109" w:leftChars="-52"/>
              <w:jc w:val="center"/>
              <w:rPr>
                <w:rFonts w:hint="eastAsia" w:ascii="宋体" w:hAnsi="宋体" w:eastAsia="宋体" w:cs="宋体"/>
                <w:color w:val="auto"/>
                <w:kern w:val="0"/>
                <w:sz w:val="21"/>
                <w:szCs w:val="21"/>
                <w:highlight w:val="none"/>
              </w:rPr>
            </w:pPr>
          </w:p>
        </w:tc>
        <w:tc>
          <w:tcPr>
            <w:tcW w:w="4824" w:type="dxa"/>
            <w:noWrap w:val="0"/>
            <w:vAlign w:val="center"/>
          </w:tcPr>
          <w:p w14:paraId="20C64587">
            <w:pPr>
              <w:widowControl/>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0"/>
                <w:sz w:val="21"/>
                <w:szCs w:val="21"/>
                <w:highlight w:val="none"/>
                <w:lang w:val="en-US" w:eastAsia="zh-CN"/>
              </w:rPr>
              <w:t>技术</w:t>
            </w:r>
            <w:r>
              <w:rPr>
                <w:rFonts w:hint="eastAsia" w:ascii="宋体" w:hAnsi="宋体" w:eastAsia="宋体" w:cs="宋体"/>
                <w:color w:val="auto"/>
                <w:kern w:val="0"/>
                <w:sz w:val="21"/>
                <w:szCs w:val="21"/>
                <w:highlight w:val="none"/>
              </w:rPr>
              <w:t>响应表</w:t>
            </w:r>
          </w:p>
        </w:tc>
        <w:tc>
          <w:tcPr>
            <w:tcW w:w="1440" w:type="dxa"/>
            <w:noWrap w:val="0"/>
            <w:vAlign w:val="center"/>
          </w:tcPr>
          <w:p w14:paraId="498A3FBB">
            <w:pPr>
              <w:widowControl/>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原件</w:t>
            </w:r>
          </w:p>
        </w:tc>
        <w:tc>
          <w:tcPr>
            <w:tcW w:w="962" w:type="dxa"/>
            <w:noWrap w:val="0"/>
            <w:vAlign w:val="center"/>
          </w:tcPr>
          <w:p w14:paraId="3B4E78F3">
            <w:pPr>
              <w:widowControl/>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格式</w:t>
            </w: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1</w:t>
            </w:r>
          </w:p>
        </w:tc>
        <w:tc>
          <w:tcPr>
            <w:tcW w:w="723" w:type="dxa"/>
            <w:tcBorders>
              <w:right w:val="double" w:color="auto" w:sz="4" w:space="0"/>
            </w:tcBorders>
            <w:noWrap w:val="0"/>
            <w:vAlign w:val="center"/>
          </w:tcPr>
          <w:p w14:paraId="675D6E17">
            <w:pPr>
              <w:widowControl/>
              <w:jc w:val="center"/>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rPr>
              <w:t>3-6</w:t>
            </w:r>
          </w:p>
        </w:tc>
      </w:tr>
      <w:tr w14:paraId="78992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31" w:type="dxa"/>
            <w:vMerge w:val="continue"/>
            <w:tcBorders>
              <w:left w:val="double" w:color="auto" w:sz="4" w:space="0"/>
              <w:right w:val="single" w:color="auto" w:sz="4" w:space="0"/>
            </w:tcBorders>
            <w:noWrap w:val="0"/>
            <w:vAlign w:val="center"/>
          </w:tcPr>
          <w:p w14:paraId="3603ADDA">
            <w:pPr>
              <w:widowControl/>
              <w:ind w:left="-109" w:leftChars="-52"/>
              <w:jc w:val="center"/>
              <w:rPr>
                <w:rFonts w:hint="eastAsia" w:ascii="宋体" w:hAnsi="宋体" w:eastAsia="宋体" w:cs="宋体"/>
                <w:color w:val="auto"/>
                <w:kern w:val="0"/>
                <w:sz w:val="21"/>
                <w:szCs w:val="21"/>
                <w:highlight w:val="none"/>
              </w:rPr>
            </w:pPr>
          </w:p>
        </w:tc>
        <w:tc>
          <w:tcPr>
            <w:tcW w:w="4824" w:type="dxa"/>
            <w:noWrap w:val="0"/>
            <w:vAlign w:val="center"/>
          </w:tcPr>
          <w:p w14:paraId="4DFD590E">
            <w:pPr>
              <w:widowControl/>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rPr>
              <w:t>商务响应表</w:t>
            </w:r>
          </w:p>
        </w:tc>
        <w:tc>
          <w:tcPr>
            <w:tcW w:w="1440" w:type="dxa"/>
            <w:noWrap w:val="0"/>
            <w:vAlign w:val="center"/>
          </w:tcPr>
          <w:p w14:paraId="79F2EDD9">
            <w:pPr>
              <w:widowControl/>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原件</w:t>
            </w:r>
          </w:p>
        </w:tc>
        <w:tc>
          <w:tcPr>
            <w:tcW w:w="962" w:type="dxa"/>
            <w:noWrap w:val="0"/>
            <w:vAlign w:val="center"/>
          </w:tcPr>
          <w:p w14:paraId="6250AF29">
            <w:pPr>
              <w:widowControl/>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格式</w:t>
            </w:r>
            <w:r>
              <w:rPr>
                <w:rFonts w:hint="eastAsia" w:ascii="宋体" w:hAnsi="宋体" w:cs="宋体"/>
                <w:color w:val="auto"/>
                <w:sz w:val="21"/>
                <w:szCs w:val="21"/>
                <w:highlight w:val="none"/>
                <w:lang w:val="en-US" w:eastAsia="zh-CN"/>
              </w:rPr>
              <w:t>12</w:t>
            </w:r>
          </w:p>
        </w:tc>
        <w:tc>
          <w:tcPr>
            <w:tcW w:w="723" w:type="dxa"/>
            <w:tcBorders>
              <w:right w:val="double" w:color="auto" w:sz="4" w:space="0"/>
            </w:tcBorders>
            <w:noWrap w:val="0"/>
            <w:vAlign w:val="center"/>
          </w:tcPr>
          <w:p w14:paraId="68CE206D">
            <w:pPr>
              <w:widowControl/>
              <w:jc w:val="center"/>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rPr>
              <w:t>3-7</w:t>
            </w:r>
          </w:p>
        </w:tc>
      </w:tr>
      <w:tr w14:paraId="5F4AE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031" w:type="dxa"/>
            <w:vMerge w:val="continue"/>
            <w:tcBorders>
              <w:left w:val="double" w:color="auto" w:sz="4" w:space="0"/>
              <w:right w:val="single" w:color="auto" w:sz="4" w:space="0"/>
            </w:tcBorders>
            <w:noWrap w:val="0"/>
            <w:vAlign w:val="center"/>
          </w:tcPr>
          <w:p w14:paraId="5212D35C">
            <w:pPr>
              <w:widowControl/>
              <w:ind w:left="-109" w:leftChars="-52"/>
              <w:jc w:val="center"/>
              <w:rPr>
                <w:rFonts w:hint="eastAsia" w:ascii="宋体" w:hAnsi="宋体" w:eastAsia="宋体" w:cs="宋体"/>
                <w:color w:val="auto"/>
                <w:kern w:val="0"/>
                <w:sz w:val="21"/>
                <w:szCs w:val="21"/>
                <w:highlight w:val="none"/>
              </w:rPr>
            </w:pPr>
          </w:p>
        </w:tc>
        <w:tc>
          <w:tcPr>
            <w:tcW w:w="4824" w:type="dxa"/>
            <w:noWrap w:val="0"/>
            <w:vAlign w:val="center"/>
          </w:tcPr>
          <w:p w14:paraId="245F1C40">
            <w:pPr>
              <w:widowControl/>
              <w:rPr>
                <w:rFonts w:hint="eastAsia" w:ascii="宋体" w:hAnsi="宋体" w:cs="宋体"/>
                <w:color w:val="auto"/>
                <w:kern w:val="0"/>
                <w:szCs w:val="21"/>
                <w:highlight w:val="none"/>
              </w:rPr>
            </w:pPr>
            <w:r>
              <w:rPr>
                <w:rFonts w:hint="eastAsia" w:ascii="宋体" w:hAnsi="宋体"/>
                <w:color w:val="auto"/>
                <w:highlight w:val="none"/>
                <w:lang w:val="en-US" w:eastAsia="zh-CN"/>
              </w:rPr>
              <w:t>关于符合本国产品标准的声明函</w:t>
            </w:r>
            <w:r>
              <w:rPr>
                <w:rFonts w:hint="eastAsia" w:ascii="宋体" w:hAnsi="宋体"/>
                <w:color w:val="auto"/>
                <w:kern w:val="0"/>
                <w:highlight w:val="none"/>
              </w:rPr>
              <w:t>（如是需提供）</w:t>
            </w:r>
          </w:p>
        </w:tc>
        <w:tc>
          <w:tcPr>
            <w:tcW w:w="1440" w:type="dxa"/>
            <w:noWrap w:val="0"/>
            <w:vAlign w:val="center"/>
          </w:tcPr>
          <w:p w14:paraId="4D765D59">
            <w:pPr>
              <w:jc w:val="center"/>
              <w:rPr>
                <w:rFonts w:hint="eastAsia" w:ascii="宋体" w:hAnsi="宋体" w:cs="宋体"/>
                <w:color w:val="auto"/>
                <w:sz w:val="21"/>
                <w:szCs w:val="21"/>
                <w:highlight w:val="none"/>
                <w:lang w:val="en-US" w:eastAsia="zh-CN"/>
              </w:rPr>
            </w:pPr>
            <w:r>
              <w:rPr>
                <w:rFonts w:hint="eastAsia" w:ascii="宋体" w:hAnsi="宋体"/>
                <w:color w:val="auto"/>
                <w:highlight w:val="none"/>
              </w:rPr>
              <w:t>原件</w:t>
            </w:r>
          </w:p>
        </w:tc>
        <w:tc>
          <w:tcPr>
            <w:tcW w:w="962" w:type="dxa"/>
            <w:noWrap w:val="0"/>
            <w:vAlign w:val="center"/>
          </w:tcPr>
          <w:p w14:paraId="6162EB73">
            <w:pPr>
              <w:widowControl/>
              <w:jc w:val="center"/>
              <w:rPr>
                <w:rFonts w:hint="default" w:ascii="宋体" w:hAnsi="宋体" w:eastAsia="宋体" w:cs="宋体"/>
                <w:color w:val="auto"/>
                <w:kern w:val="0"/>
                <w:sz w:val="21"/>
                <w:szCs w:val="21"/>
                <w:highlight w:val="none"/>
                <w:lang w:val="en-US"/>
              </w:rPr>
            </w:pPr>
            <w:r>
              <w:rPr>
                <w:rFonts w:hint="eastAsia" w:ascii="宋体" w:hAnsi="宋体"/>
                <w:color w:val="auto"/>
                <w:highlight w:val="none"/>
              </w:rPr>
              <w:t>格式</w:t>
            </w:r>
            <w:r>
              <w:rPr>
                <w:rFonts w:hint="eastAsia" w:ascii="宋体" w:hAnsi="宋体"/>
                <w:color w:val="auto"/>
                <w:highlight w:val="none"/>
                <w:lang w:val="en-US" w:eastAsia="zh-CN"/>
              </w:rPr>
              <w:t>15</w:t>
            </w:r>
          </w:p>
        </w:tc>
        <w:tc>
          <w:tcPr>
            <w:tcW w:w="723" w:type="dxa"/>
            <w:tcBorders>
              <w:right w:val="double" w:color="auto" w:sz="4" w:space="0"/>
            </w:tcBorders>
            <w:noWrap w:val="0"/>
            <w:vAlign w:val="center"/>
          </w:tcPr>
          <w:p w14:paraId="07E88A62">
            <w:pPr>
              <w:widowControl/>
              <w:jc w:val="center"/>
              <w:rPr>
                <w:rFonts w:hint="default" w:ascii="宋体" w:hAnsi="宋体" w:eastAsia="宋体" w:cs="宋体"/>
                <w:color w:val="auto"/>
                <w:kern w:val="0"/>
                <w:sz w:val="21"/>
                <w:szCs w:val="21"/>
                <w:highlight w:val="none"/>
                <w:lang w:val="en-US" w:eastAsia="zh-CN"/>
              </w:rPr>
            </w:pPr>
            <w:r>
              <w:rPr>
                <w:rFonts w:hint="eastAsia" w:ascii="宋体" w:hAnsi="宋体"/>
                <w:color w:val="auto"/>
                <w:highlight w:val="none"/>
              </w:rPr>
              <w:t>3-</w:t>
            </w:r>
            <w:r>
              <w:rPr>
                <w:rFonts w:hint="eastAsia" w:ascii="宋体" w:hAnsi="宋体"/>
                <w:color w:val="auto"/>
                <w:highlight w:val="none"/>
                <w:lang w:val="en-US" w:eastAsia="zh-CN"/>
              </w:rPr>
              <w:t>10</w:t>
            </w:r>
          </w:p>
        </w:tc>
      </w:tr>
      <w:tr w14:paraId="49A45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031" w:type="dxa"/>
            <w:vMerge w:val="continue"/>
            <w:tcBorders>
              <w:left w:val="double" w:color="auto" w:sz="4" w:space="0"/>
              <w:right w:val="single" w:color="auto" w:sz="4" w:space="0"/>
            </w:tcBorders>
            <w:noWrap w:val="0"/>
            <w:vAlign w:val="center"/>
          </w:tcPr>
          <w:p w14:paraId="41819F57">
            <w:pPr>
              <w:widowControl/>
              <w:ind w:left="-109" w:leftChars="-52"/>
              <w:jc w:val="center"/>
              <w:rPr>
                <w:rFonts w:hint="eastAsia" w:ascii="宋体" w:hAnsi="宋体" w:eastAsia="宋体" w:cs="宋体"/>
                <w:color w:val="auto"/>
                <w:kern w:val="0"/>
                <w:sz w:val="21"/>
                <w:szCs w:val="21"/>
                <w:highlight w:val="none"/>
              </w:rPr>
            </w:pPr>
          </w:p>
        </w:tc>
        <w:tc>
          <w:tcPr>
            <w:tcW w:w="4824" w:type="dxa"/>
            <w:shd w:val="clear" w:color="auto" w:fill="auto"/>
            <w:noWrap w:val="0"/>
            <w:vAlign w:val="center"/>
          </w:tcPr>
          <w:p w14:paraId="5524F3C7">
            <w:pPr>
              <w:widowControl/>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评分标准中要求的</w:t>
            </w:r>
            <w:r>
              <w:rPr>
                <w:rFonts w:hint="eastAsia" w:ascii="宋体" w:hAnsi="宋体" w:eastAsia="宋体" w:cs="宋体"/>
                <w:color w:val="auto"/>
                <w:sz w:val="21"/>
                <w:szCs w:val="21"/>
                <w:highlight w:val="none"/>
                <w:lang w:eastAsia="zh-CN"/>
              </w:rPr>
              <w:t>方案</w:t>
            </w:r>
          </w:p>
        </w:tc>
        <w:tc>
          <w:tcPr>
            <w:tcW w:w="1440" w:type="dxa"/>
            <w:shd w:val="clear" w:color="auto" w:fill="auto"/>
            <w:noWrap w:val="0"/>
            <w:vAlign w:val="center"/>
          </w:tcPr>
          <w:p w14:paraId="2DAE87C5">
            <w:pPr>
              <w:widowControl/>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原件</w:t>
            </w:r>
          </w:p>
        </w:tc>
        <w:tc>
          <w:tcPr>
            <w:tcW w:w="962" w:type="dxa"/>
            <w:shd w:val="clear" w:color="auto" w:fill="auto"/>
            <w:noWrap w:val="0"/>
            <w:vAlign w:val="center"/>
          </w:tcPr>
          <w:p w14:paraId="5457D03C">
            <w:pPr>
              <w:widowControl/>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格式</w:t>
            </w:r>
            <w:r>
              <w:rPr>
                <w:rFonts w:hint="eastAsia" w:ascii="宋体" w:hAnsi="宋体" w:cs="宋体"/>
                <w:color w:val="auto"/>
                <w:sz w:val="21"/>
                <w:szCs w:val="21"/>
                <w:highlight w:val="none"/>
                <w:lang w:val="en-US" w:eastAsia="zh-CN"/>
              </w:rPr>
              <w:t>16</w:t>
            </w:r>
          </w:p>
        </w:tc>
        <w:tc>
          <w:tcPr>
            <w:tcW w:w="723" w:type="dxa"/>
            <w:tcBorders>
              <w:right w:val="double" w:color="auto" w:sz="4" w:space="0"/>
            </w:tcBorders>
            <w:shd w:val="clear" w:color="auto" w:fill="auto"/>
            <w:noWrap w:val="0"/>
            <w:vAlign w:val="center"/>
          </w:tcPr>
          <w:p w14:paraId="77A7902D">
            <w:pPr>
              <w:widowControl/>
              <w:jc w:val="center"/>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rPr>
              <w:t>3-11</w:t>
            </w:r>
          </w:p>
        </w:tc>
      </w:tr>
      <w:tr w14:paraId="71371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031" w:type="dxa"/>
            <w:vMerge w:val="continue"/>
            <w:tcBorders>
              <w:left w:val="double" w:color="auto" w:sz="4" w:space="0"/>
              <w:right w:val="single" w:color="auto" w:sz="4" w:space="0"/>
            </w:tcBorders>
            <w:noWrap w:val="0"/>
            <w:vAlign w:val="center"/>
          </w:tcPr>
          <w:p w14:paraId="577FBC2D">
            <w:pPr>
              <w:widowControl/>
              <w:ind w:left="-109" w:leftChars="-52"/>
              <w:jc w:val="center"/>
              <w:rPr>
                <w:rFonts w:hint="eastAsia" w:ascii="宋体" w:hAnsi="宋体" w:eastAsia="宋体" w:cs="宋体"/>
                <w:color w:val="auto"/>
                <w:kern w:val="0"/>
                <w:sz w:val="21"/>
                <w:szCs w:val="21"/>
                <w:highlight w:val="none"/>
              </w:rPr>
            </w:pPr>
          </w:p>
        </w:tc>
        <w:tc>
          <w:tcPr>
            <w:tcW w:w="4824" w:type="dxa"/>
            <w:noWrap w:val="0"/>
            <w:vAlign w:val="center"/>
          </w:tcPr>
          <w:p w14:paraId="70D4613A">
            <w:pP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0"/>
                <w:szCs w:val="21"/>
                <w:highlight w:val="none"/>
              </w:rPr>
              <w:t>竞争性磋商文件要求的必须提供的其他材料</w:t>
            </w:r>
          </w:p>
        </w:tc>
        <w:tc>
          <w:tcPr>
            <w:tcW w:w="1440" w:type="dxa"/>
            <w:noWrap w:val="0"/>
            <w:vAlign w:val="center"/>
          </w:tcPr>
          <w:p w14:paraId="62677581">
            <w:pPr>
              <w:widowControl/>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扫描件</w:t>
            </w:r>
          </w:p>
        </w:tc>
        <w:tc>
          <w:tcPr>
            <w:tcW w:w="962" w:type="dxa"/>
            <w:noWrap w:val="0"/>
            <w:vAlign w:val="center"/>
          </w:tcPr>
          <w:p w14:paraId="4A078DD8">
            <w:pPr>
              <w:widowControl/>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rPr>
              <w:t>自拟</w:t>
            </w:r>
          </w:p>
        </w:tc>
        <w:tc>
          <w:tcPr>
            <w:tcW w:w="723" w:type="dxa"/>
            <w:tcBorders>
              <w:right w:val="double" w:color="auto" w:sz="4" w:space="0"/>
            </w:tcBorders>
            <w:noWrap w:val="0"/>
            <w:vAlign w:val="center"/>
          </w:tcPr>
          <w:p w14:paraId="69C74673">
            <w:pPr>
              <w:widowControl/>
              <w:jc w:val="center"/>
              <w:rPr>
                <w:rFonts w:hint="default"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3-12</w:t>
            </w:r>
          </w:p>
        </w:tc>
      </w:tr>
      <w:tr w14:paraId="52C92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031" w:type="dxa"/>
            <w:tcBorders>
              <w:left w:val="double" w:color="auto" w:sz="4" w:space="0"/>
              <w:bottom w:val="double" w:color="auto" w:sz="4" w:space="0"/>
            </w:tcBorders>
            <w:noWrap w:val="0"/>
            <w:vAlign w:val="center"/>
          </w:tcPr>
          <w:p w14:paraId="67531DAB">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其他</w:t>
            </w:r>
          </w:p>
          <w:p w14:paraId="78B2A8CC">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材料</w:t>
            </w:r>
          </w:p>
        </w:tc>
        <w:tc>
          <w:tcPr>
            <w:tcW w:w="4824" w:type="dxa"/>
            <w:tcBorders>
              <w:bottom w:val="double" w:color="auto" w:sz="4" w:space="0"/>
            </w:tcBorders>
            <w:noWrap w:val="0"/>
            <w:vAlign w:val="center"/>
          </w:tcPr>
          <w:p w14:paraId="30EB9916">
            <w:pPr>
              <w:widowControl/>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供应商认为有必要且能响应评分细则中各项要求的其他材料</w:t>
            </w:r>
          </w:p>
        </w:tc>
        <w:tc>
          <w:tcPr>
            <w:tcW w:w="1440" w:type="dxa"/>
            <w:tcBorders>
              <w:bottom w:val="double" w:color="auto" w:sz="4" w:space="0"/>
            </w:tcBorders>
            <w:noWrap w:val="0"/>
            <w:vAlign w:val="center"/>
          </w:tcPr>
          <w:p w14:paraId="53E9DE05">
            <w:pPr>
              <w:widowControl/>
              <w:jc w:val="center"/>
              <w:rPr>
                <w:rFonts w:hint="eastAsia" w:ascii="宋体" w:hAnsi="宋体" w:eastAsia="宋体" w:cs="宋体"/>
                <w:color w:val="auto"/>
                <w:kern w:val="0"/>
                <w:sz w:val="21"/>
                <w:szCs w:val="21"/>
                <w:highlight w:val="none"/>
              </w:rPr>
            </w:pPr>
            <w:r>
              <w:rPr>
                <w:rFonts w:hint="eastAsia" w:ascii="宋体" w:hAnsi="宋体" w:cs="宋体"/>
                <w:color w:val="auto"/>
                <w:sz w:val="21"/>
                <w:szCs w:val="21"/>
                <w:highlight w:val="none"/>
                <w:lang w:val="en-US" w:eastAsia="zh-CN"/>
              </w:rPr>
              <w:t>扫描件</w:t>
            </w:r>
          </w:p>
        </w:tc>
        <w:tc>
          <w:tcPr>
            <w:tcW w:w="962" w:type="dxa"/>
            <w:tcBorders>
              <w:bottom w:val="double" w:color="auto" w:sz="4" w:space="0"/>
            </w:tcBorders>
            <w:noWrap w:val="0"/>
            <w:vAlign w:val="center"/>
          </w:tcPr>
          <w:p w14:paraId="5C2BFFCC">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自拟</w:t>
            </w:r>
          </w:p>
        </w:tc>
        <w:tc>
          <w:tcPr>
            <w:tcW w:w="723" w:type="dxa"/>
            <w:tcBorders>
              <w:bottom w:val="double" w:color="auto" w:sz="4" w:space="0"/>
              <w:right w:val="double" w:color="auto" w:sz="4" w:space="0"/>
            </w:tcBorders>
            <w:noWrap w:val="0"/>
            <w:vAlign w:val="center"/>
          </w:tcPr>
          <w:p w14:paraId="65E96DE0">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4-1</w:t>
            </w:r>
          </w:p>
        </w:tc>
      </w:tr>
    </w:tbl>
    <w:p w14:paraId="58A8ADF6">
      <w:pPr>
        <w:spacing w:line="560" w:lineRule="exact"/>
        <w:ind w:firstLine="562" w:firstLineChars="200"/>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重要提示：</w:t>
      </w:r>
    </w:p>
    <w:p w14:paraId="4A58808C">
      <w:pPr>
        <w:spacing w:line="500" w:lineRule="exact"/>
        <w:ind w:firstLine="560" w:firstLineChars="200"/>
        <w:rPr>
          <w:rFonts w:ascii="仿宋_GB2312" w:hAnsi="宋体" w:eastAsia="仿宋_GB2312" w:cs="Lucida Sans Unicode"/>
          <w:color w:val="auto"/>
          <w:sz w:val="28"/>
          <w:szCs w:val="28"/>
          <w:highlight w:val="none"/>
        </w:rPr>
      </w:pPr>
      <w:r>
        <w:rPr>
          <w:rFonts w:hint="eastAsia" w:ascii="仿宋_GB2312" w:hAnsi="宋体" w:eastAsia="仿宋_GB2312" w:cs="Lucida Sans Unicode"/>
          <w:color w:val="auto"/>
          <w:sz w:val="28"/>
          <w:szCs w:val="28"/>
          <w:highlight w:val="none"/>
        </w:rPr>
        <w:t>1.供应商提供的证明材料，除需要供应商填报或有特殊说明外，均须提供该材料的</w:t>
      </w:r>
      <w:r>
        <w:rPr>
          <w:rFonts w:hint="eastAsia" w:ascii="仿宋_GB2312" w:hAnsi="宋体" w:eastAsia="仿宋_GB2312" w:cs="Lucida Sans Unicode"/>
          <w:color w:val="auto"/>
          <w:sz w:val="28"/>
          <w:szCs w:val="28"/>
          <w:highlight w:val="none"/>
          <w:lang w:val="en-US" w:eastAsia="zh-CN"/>
        </w:rPr>
        <w:t>扫描件</w:t>
      </w:r>
      <w:r>
        <w:rPr>
          <w:rFonts w:hint="eastAsia" w:ascii="仿宋_GB2312" w:hAnsi="宋体" w:eastAsia="仿宋_GB2312" w:cs="Lucida Sans Unicode"/>
          <w:color w:val="auto"/>
          <w:sz w:val="28"/>
          <w:szCs w:val="28"/>
          <w:highlight w:val="none"/>
        </w:rPr>
        <w:t xml:space="preserve">。 </w:t>
      </w:r>
    </w:p>
    <w:p w14:paraId="6A20D6EA">
      <w:pPr>
        <w:snapToGrid w:val="0"/>
        <w:spacing w:line="500" w:lineRule="exact"/>
        <w:ind w:firstLine="560" w:firstLineChars="200"/>
        <w:rPr>
          <w:rFonts w:hint="eastAsia" w:ascii="仿宋_GB2312" w:hAnsi="宋体" w:eastAsia="仿宋_GB2312" w:cs="Lucida Sans Unicode"/>
          <w:color w:val="auto"/>
          <w:sz w:val="28"/>
          <w:szCs w:val="28"/>
          <w:highlight w:val="none"/>
        </w:rPr>
      </w:pPr>
      <w:r>
        <w:rPr>
          <w:rFonts w:hint="eastAsia" w:ascii="仿宋_GB2312" w:hAnsi="宋体" w:eastAsia="仿宋_GB2312" w:cs="Lucida Sans Unicode"/>
          <w:color w:val="auto"/>
          <w:sz w:val="28"/>
          <w:szCs w:val="28"/>
          <w:highlight w:val="none"/>
        </w:rPr>
        <w:t>2．供应商在编制响应性文件时，对于给定格式的文件内容，必须按照给定的标准格式进行填报；对于没有给定标准格式的文件内容，可以由供应商自行设计。</w:t>
      </w:r>
    </w:p>
    <w:p w14:paraId="46476070">
      <w:pPr>
        <w:snapToGrid w:val="0"/>
        <w:spacing w:line="500" w:lineRule="exact"/>
        <w:ind w:firstLine="560" w:firstLineChars="200"/>
        <w:rPr>
          <w:rFonts w:ascii="仿宋_GB2312" w:hAnsi="宋体" w:eastAsia="仿宋_GB2312" w:cs="Lucida Sans Unicode"/>
          <w:color w:val="auto"/>
          <w:sz w:val="28"/>
          <w:szCs w:val="28"/>
          <w:highlight w:val="none"/>
        </w:rPr>
      </w:pPr>
      <w:r>
        <w:rPr>
          <w:rFonts w:hint="eastAsia" w:ascii="仿宋_GB2312" w:hAnsi="宋体" w:eastAsia="仿宋_GB2312" w:cs="Lucida Sans Unicode"/>
          <w:color w:val="auto"/>
          <w:sz w:val="28"/>
          <w:szCs w:val="28"/>
          <w:highlight w:val="none"/>
          <w:lang w:val="en-US" w:eastAsia="zh-CN"/>
        </w:rPr>
        <w:t>3</w:t>
      </w:r>
      <w:r>
        <w:rPr>
          <w:rFonts w:hint="eastAsia" w:ascii="仿宋_GB2312" w:hAnsi="宋体" w:eastAsia="仿宋_GB2312" w:cs="Lucida Sans Unicode"/>
          <w:color w:val="auto"/>
          <w:sz w:val="28"/>
          <w:szCs w:val="28"/>
          <w:highlight w:val="none"/>
        </w:rPr>
        <w:t>.以上有关材料原件因年检、换证等原因在评审时不能提供的，可以提供发证机关的书面证明材料，并</w:t>
      </w:r>
      <w:r>
        <w:rPr>
          <w:rFonts w:hint="eastAsia" w:ascii="仿宋_GB2312" w:hAnsi="宋体" w:eastAsia="仿宋_GB2312" w:cs="Lucida Sans Unicode"/>
          <w:color w:val="auto"/>
          <w:sz w:val="28"/>
          <w:szCs w:val="28"/>
          <w:highlight w:val="none"/>
          <w:lang w:val="en-US" w:eastAsia="zh-CN"/>
        </w:rPr>
        <w:t>编制</w:t>
      </w:r>
      <w:r>
        <w:rPr>
          <w:rFonts w:hint="eastAsia" w:ascii="仿宋_GB2312" w:hAnsi="宋体" w:eastAsia="仿宋_GB2312" w:cs="Lucida Sans Unicode"/>
          <w:color w:val="auto"/>
          <w:sz w:val="28"/>
          <w:szCs w:val="28"/>
          <w:highlight w:val="none"/>
        </w:rPr>
        <w:t>于响应性文件内。</w:t>
      </w:r>
    </w:p>
    <w:p w14:paraId="7057EBB7">
      <w:pPr>
        <w:snapToGrid w:val="0"/>
        <w:jc w:val="left"/>
        <w:rPr>
          <w:rFonts w:ascii="仿宋_GB2312" w:hAnsi="宋体" w:eastAsia="仿宋_GB2312" w:cs="Lucida Sans Unicode"/>
          <w:color w:val="auto"/>
          <w:sz w:val="30"/>
          <w:szCs w:val="30"/>
          <w:highlight w:val="none"/>
        </w:rPr>
      </w:pPr>
    </w:p>
    <w:p w14:paraId="659C871B">
      <w:pPr>
        <w:snapToGrid w:val="0"/>
        <w:jc w:val="left"/>
        <w:rPr>
          <w:rFonts w:ascii="仿宋_GB2312" w:hAnsi="宋体" w:eastAsia="仿宋_GB2312" w:cs="Lucida Sans Unicode"/>
          <w:color w:val="auto"/>
          <w:sz w:val="30"/>
          <w:szCs w:val="30"/>
          <w:highlight w:val="none"/>
        </w:rPr>
      </w:pPr>
    </w:p>
    <w:p w14:paraId="64859426">
      <w:pPr>
        <w:snapToGrid w:val="0"/>
        <w:jc w:val="left"/>
        <w:rPr>
          <w:rFonts w:ascii="仿宋_GB2312" w:hAnsi="宋体" w:eastAsia="仿宋_GB2312" w:cs="Lucida Sans Unicode"/>
          <w:color w:val="auto"/>
          <w:sz w:val="30"/>
          <w:szCs w:val="30"/>
          <w:highlight w:val="none"/>
        </w:rPr>
      </w:pPr>
    </w:p>
    <w:p w14:paraId="3F724A9D">
      <w:pPr>
        <w:snapToGrid w:val="0"/>
        <w:jc w:val="left"/>
        <w:rPr>
          <w:rFonts w:hint="eastAsia" w:ascii="仿宋_GB2312" w:hAnsi="宋体" w:eastAsia="仿宋_GB2312" w:cs="Lucida Sans Unicode"/>
          <w:color w:val="auto"/>
          <w:sz w:val="30"/>
          <w:szCs w:val="30"/>
          <w:highlight w:val="none"/>
        </w:rPr>
      </w:pPr>
    </w:p>
    <w:p w14:paraId="1729506C">
      <w:pPr>
        <w:snapToGrid w:val="0"/>
        <w:jc w:val="left"/>
        <w:rPr>
          <w:rFonts w:hint="eastAsia" w:ascii="仿宋_GB2312" w:hAnsi="宋体" w:eastAsia="仿宋_GB2312" w:cs="Lucida Sans Unicode"/>
          <w:color w:val="auto"/>
          <w:sz w:val="30"/>
          <w:szCs w:val="30"/>
          <w:highlight w:val="none"/>
        </w:rPr>
      </w:pPr>
    </w:p>
    <w:p w14:paraId="3ED4A5EA">
      <w:pPr>
        <w:snapToGrid w:val="0"/>
        <w:jc w:val="left"/>
        <w:rPr>
          <w:rFonts w:hint="eastAsia" w:ascii="仿宋_GB2312" w:hAnsi="宋体" w:eastAsia="仿宋_GB2312" w:cs="Lucida Sans Unicode"/>
          <w:color w:val="auto"/>
          <w:sz w:val="28"/>
          <w:szCs w:val="28"/>
          <w:highlight w:val="none"/>
        </w:rPr>
      </w:pPr>
    </w:p>
    <w:p w14:paraId="4F001C04">
      <w:pPr>
        <w:pStyle w:val="11"/>
        <w:rPr>
          <w:rFonts w:hint="eastAsia" w:ascii="仿宋_GB2312" w:hAnsi="宋体" w:eastAsia="仿宋_GB2312" w:cs="Lucida Sans Unicode"/>
          <w:color w:val="auto"/>
          <w:sz w:val="28"/>
          <w:szCs w:val="28"/>
          <w:highlight w:val="none"/>
        </w:rPr>
      </w:pPr>
    </w:p>
    <w:p w14:paraId="38DA9B36">
      <w:pPr>
        <w:rPr>
          <w:rFonts w:hint="eastAsia" w:ascii="仿宋_GB2312" w:hAnsi="宋体" w:eastAsia="仿宋_GB2312" w:cs="Lucida Sans Unicode"/>
          <w:color w:val="auto"/>
          <w:sz w:val="28"/>
          <w:szCs w:val="28"/>
          <w:highlight w:val="none"/>
        </w:rPr>
      </w:pPr>
    </w:p>
    <w:p w14:paraId="5FE3793B">
      <w:pPr>
        <w:pStyle w:val="11"/>
        <w:rPr>
          <w:rFonts w:hint="eastAsia" w:ascii="仿宋_GB2312" w:hAnsi="宋体" w:eastAsia="仿宋_GB2312" w:cs="Lucida Sans Unicode"/>
          <w:color w:val="auto"/>
          <w:sz w:val="28"/>
          <w:szCs w:val="28"/>
          <w:highlight w:val="none"/>
        </w:rPr>
      </w:pPr>
    </w:p>
    <w:p w14:paraId="6858E89C">
      <w:pPr>
        <w:rPr>
          <w:rFonts w:hint="eastAsia" w:ascii="仿宋_GB2312" w:hAnsi="宋体" w:eastAsia="仿宋_GB2312" w:cs="Lucida Sans Unicode"/>
          <w:color w:val="auto"/>
          <w:sz w:val="28"/>
          <w:szCs w:val="28"/>
          <w:highlight w:val="none"/>
        </w:rPr>
      </w:pPr>
    </w:p>
    <w:p w14:paraId="1E28F201">
      <w:pPr>
        <w:pStyle w:val="11"/>
        <w:rPr>
          <w:rFonts w:hint="eastAsia" w:ascii="仿宋_GB2312" w:hAnsi="宋体" w:eastAsia="仿宋_GB2312" w:cs="Lucida Sans Unicode"/>
          <w:color w:val="auto"/>
          <w:sz w:val="28"/>
          <w:szCs w:val="28"/>
          <w:highlight w:val="none"/>
        </w:rPr>
      </w:pPr>
    </w:p>
    <w:p w14:paraId="662D5A76">
      <w:pPr>
        <w:rPr>
          <w:rFonts w:hint="eastAsia" w:ascii="仿宋_GB2312" w:hAnsi="宋体" w:eastAsia="仿宋_GB2312" w:cs="Lucida Sans Unicode"/>
          <w:color w:val="auto"/>
          <w:sz w:val="28"/>
          <w:szCs w:val="28"/>
          <w:highlight w:val="none"/>
        </w:rPr>
      </w:pPr>
    </w:p>
    <w:p w14:paraId="086E3856">
      <w:pPr>
        <w:pStyle w:val="11"/>
        <w:rPr>
          <w:rFonts w:hint="eastAsia" w:ascii="仿宋_GB2312" w:hAnsi="宋体" w:eastAsia="仿宋_GB2312" w:cs="Lucida Sans Unicode"/>
          <w:color w:val="auto"/>
          <w:sz w:val="28"/>
          <w:szCs w:val="28"/>
          <w:highlight w:val="none"/>
        </w:rPr>
      </w:pPr>
    </w:p>
    <w:p w14:paraId="78B83884">
      <w:pPr>
        <w:rPr>
          <w:rFonts w:hint="eastAsia" w:ascii="仿宋_GB2312" w:hAnsi="宋体" w:eastAsia="仿宋_GB2312" w:cs="Lucida Sans Unicode"/>
          <w:color w:val="auto"/>
          <w:sz w:val="28"/>
          <w:szCs w:val="28"/>
          <w:highlight w:val="none"/>
        </w:rPr>
      </w:pPr>
    </w:p>
    <w:p w14:paraId="0685BC64">
      <w:pPr>
        <w:snapToGrid w:val="0"/>
        <w:jc w:val="left"/>
        <w:rPr>
          <w:rFonts w:ascii="仿宋_GB2312" w:hAnsi="宋体" w:eastAsia="仿宋_GB2312" w:cs="Lucida Sans Unicode"/>
          <w:color w:val="auto"/>
          <w:sz w:val="28"/>
          <w:szCs w:val="28"/>
          <w:highlight w:val="none"/>
        </w:rPr>
      </w:pPr>
      <w:r>
        <w:rPr>
          <w:rFonts w:hint="eastAsia" w:ascii="仿宋_GB2312" w:hAnsi="宋体" w:eastAsia="仿宋_GB2312" w:cs="Lucida Sans Unicode"/>
          <w:color w:val="auto"/>
          <w:sz w:val="28"/>
          <w:szCs w:val="28"/>
          <w:highlight w:val="none"/>
        </w:rPr>
        <w:t>格式1</w:t>
      </w:r>
    </w:p>
    <w:p w14:paraId="42A351ED">
      <w:pPr>
        <w:spacing w:line="360" w:lineRule="auto"/>
        <w:jc w:val="center"/>
        <w:rPr>
          <w:rFonts w:ascii="仿宋_GB2312" w:eastAsia="仿宋_GB2312"/>
          <w:color w:val="auto"/>
          <w:sz w:val="28"/>
          <w:szCs w:val="28"/>
          <w:highlight w:val="none"/>
        </w:rPr>
      </w:pPr>
      <w:r>
        <w:rPr>
          <w:rFonts w:hint="eastAsia" w:ascii="黑体" w:eastAsia="黑体"/>
          <w:color w:val="auto"/>
          <w:sz w:val="28"/>
          <w:szCs w:val="28"/>
          <w:highlight w:val="none"/>
        </w:rPr>
        <w:t>封  皮</w:t>
      </w:r>
    </w:p>
    <w:tbl>
      <w:tblPr>
        <w:tblStyle w:val="21"/>
        <w:tblW w:w="0" w:type="auto"/>
        <w:tblInd w:w="28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60"/>
      </w:tblGrid>
      <w:tr w14:paraId="344223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85" w:hRule="atLeast"/>
        </w:trPr>
        <w:tc>
          <w:tcPr>
            <w:tcW w:w="8460" w:type="dxa"/>
            <w:noWrap w:val="0"/>
            <w:vAlign w:val="top"/>
          </w:tcPr>
          <w:p w14:paraId="66B6E271">
            <w:pPr>
              <w:spacing w:line="360" w:lineRule="auto"/>
              <w:jc w:val="center"/>
              <w:rPr>
                <w:color w:val="auto"/>
                <w:sz w:val="28"/>
                <w:szCs w:val="28"/>
                <w:highlight w:val="none"/>
              </w:rPr>
            </w:pPr>
            <w:r>
              <w:rPr>
                <w:rFonts w:hint="eastAsia" w:ascii="仿宋_GB2312" w:eastAsia="仿宋_GB2312"/>
                <w:color w:val="auto"/>
                <w:sz w:val="28"/>
                <w:szCs w:val="28"/>
                <w:highlight w:val="none"/>
              </w:rPr>
              <w:t xml:space="preserve">                                </w:t>
            </w:r>
            <w:r>
              <w:rPr>
                <w:rFonts w:hint="eastAsia"/>
                <w:color w:val="auto"/>
                <w:sz w:val="28"/>
                <w:szCs w:val="28"/>
                <w:highlight w:val="none"/>
              </w:rPr>
              <w:t xml:space="preserve">           </w:t>
            </w:r>
          </w:p>
          <w:p w14:paraId="401F63A2">
            <w:pPr>
              <w:spacing w:line="360" w:lineRule="auto"/>
              <w:ind w:firstLine="140" w:firstLineChars="50"/>
              <w:rPr>
                <w:color w:val="auto"/>
                <w:sz w:val="28"/>
                <w:szCs w:val="28"/>
                <w:highlight w:val="none"/>
              </w:rPr>
            </w:pPr>
          </w:p>
          <w:p w14:paraId="24159345">
            <w:pPr>
              <w:spacing w:line="360" w:lineRule="auto"/>
              <w:jc w:val="center"/>
              <w:rPr>
                <w:color w:val="auto"/>
                <w:sz w:val="28"/>
                <w:szCs w:val="28"/>
                <w:highlight w:val="none"/>
              </w:rPr>
            </w:pPr>
            <w:r>
              <w:rPr>
                <w:rFonts w:hint="eastAsia"/>
                <w:color w:val="auto"/>
                <w:sz w:val="28"/>
                <w:szCs w:val="28"/>
                <w:highlight w:val="none"/>
              </w:rPr>
              <w:t>（项目名称）</w:t>
            </w:r>
          </w:p>
          <w:p w14:paraId="412C4317">
            <w:pPr>
              <w:spacing w:line="360" w:lineRule="auto"/>
              <w:jc w:val="center"/>
              <w:rPr>
                <w:color w:val="auto"/>
                <w:sz w:val="28"/>
                <w:szCs w:val="28"/>
                <w:highlight w:val="none"/>
              </w:rPr>
            </w:pPr>
          </w:p>
          <w:p w14:paraId="0D5F1498">
            <w:pPr>
              <w:pStyle w:val="9"/>
              <w:jc w:val="both"/>
              <w:rPr>
                <w:color w:val="auto"/>
                <w:sz w:val="28"/>
                <w:szCs w:val="28"/>
                <w:highlight w:val="none"/>
              </w:rPr>
            </w:pPr>
          </w:p>
          <w:p w14:paraId="6ED522AB">
            <w:pPr>
              <w:rPr>
                <w:color w:val="auto"/>
                <w:highlight w:val="none"/>
              </w:rPr>
            </w:pPr>
          </w:p>
          <w:p w14:paraId="2C4E1EA2">
            <w:pPr>
              <w:spacing w:line="360" w:lineRule="auto"/>
              <w:jc w:val="center"/>
              <w:rPr>
                <w:b/>
                <w:color w:val="auto"/>
                <w:sz w:val="28"/>
                <w:szCs w:val="28"/>
                <w:highlight w:val="none"/>
              </w:rPr>
            </w:pPr>
            <w:r>
              <w:rPr>
                <w:rFonts w:hint="eastAsia"/>
                <w:b/>
                <w:color w:val="auto"/>
                <w:sz w:val="28"/>
                <w:szCs w:val="28"/>
                <w:highlight w:val="none"/>
              </w:rPr>
              <w:t>响 应 性 文 件</w:t>
            </w:r>
          </w:p>
          <w:p w14:paraId="12D40CF0">
            <w:pPr>
              <w:spacing w:line="360" w:lineRule="auto"/>
              <w:jc w:val="center"/>
              <w:rPr>
                <w:color w:val="auto"/>
                <w:sz w:val="28"/>
                <w:szCs w:val="28"/>
                <w:highlight w:val="none"/>
              </w:rPr>
            </w:pPr>
            <w:r>
              <w:rPr>
                <w:rFonts w:hint="eastAsia"/>
                <w:color w:val="auto"/>
                <w:sz w:val="28"/>
                <w:szCs w:val="28"/>
                <w:highlight w:val="none"/>
              </w:rPr>
              <w:t>（项目编号）</w:t>
            </w:r>
          </w:p>
          <w:p w14:paraId="4AE10546">
            <w:pPr>
              <w:spacing w:line="360" w:lineRule="auto"/>
              <w:ind w:firstLine="140" w:firstLineChars="50"/>
              <w:rPr>
                <w:color w:val="auto"/>
                <w:sz w:val="28"/>
                <w:szCs w:val="28"/>
                <w:highlight w:val="none"/>
              </w:rPr>
            </w:pPr>
          </w:p>
          <w:p w14:paraId="08C7BE86">
            <w:pPr>
              <w:spacing w:line="360" w:lineRule="auto"/>
              <w:ind w:firstLine="140" w:firstLineChars="50"/>
              <w:rPr>
                <w:color w:val="auto"/>
                <w:sz w:val="28"/>
                <w:szCs w:val="28"/>
                <w:highlight w:val="none"/>
              </w:rPr>
            </w:pPr>
          </w:p>
          <w:p w14:paraId="01648AA4">
            <w:pPr>
              <w:spacing w:line="360" w:lineRule="auto"/>
              <w:ind w:firstLine="140" w:firstLineChars="50"/>
              <w:rPr>
                <w:color w:val="auto"/>
                <w:sz w:val="28"/>
                <w:szCs w:val="28"/>
                <w:highlight w:val="none"/>
              </w:rPr>
            </w:pPr>
          </w:p>
          <w:p w14:paraId="48028233">
            <w:pPr>
              <w:spacing w:line="360" w:lineRule="auto"/>
              <w:ind w:firstLine="140" w:firstLineChars="50"/>
              <w:rPr>
                <w:color w:val="auto"/>
                <w:sz w:val="28"/>
                <w:szCs w:val="28"/>
                <w:highlight w:val="none"/>
              </w:rPr>
            </w:pPr>
          </w:p>
          <w:p w14:paraId="04225604">
            <w:pPr>
              <w:spacing w:line="360" w:lineRule="auto"/>
              <w:ind w:firstLine="140" w:firstLineChars="50"/>
              <w:rPr>
                <w:color w:val="auto"/>
                <w:sz w:val="28"/>
                <w:szCs w:val="28"/>
                <w:highlight w:val="none"/>
              </w:rPr>
            </w:pPr>
          </w:p>
          <w:p w14:paraId="6F6F87F6">
            <w:pPr>
              <w:spacing w:line="360" w:lineRule="auto"/>
              <w:ind w:firstLine="1540" w:firstLineChars="550"/>
              <w:rPr>
                <w:color w:val="auto"/>
                <w:sz w:val="28"/>
                <w:szCs w:val="28"/>
                <w:highlight w:val="none"/>
              </w:rPr>
            </w:pPr>
          </w:p>
          <w:p w14:paraId="1E71A680">
            <w:pPr>
              <w:spacing w:line="360" w:lineRule="auto"/>
              <w:rPr>
                <w:rFonts w:hint="default" w:eastAsia="宋体"/>
                <w:color w:val="auto"/>
                <w:sz w:val="28"/>
                <w:szCs w:val="28"/>
                <w:highlight w:val="none"/>
                <w:lang w:val="en-US" w:eastAsia="zh-CN"/>
              </w:rPr>
            </w:pPr>
            <w:r>
              <w:rPr>
                <w:rFonts w:hint="eastAsia"/>
                <w:color w:val="auto"/>
                <w:sz w:val="28"/>
                <w:szCs w:val="28"/>
                <w:highlight w:val="none"/>
                <w:lang w:val="en-US" w:eastAsia="zh-CN"/>
              </w:rPr>
              <w:t xml:space="preserve">       </w:t>
            </w:r>
          </w:p>
          <w:p w14:paraId="6E76D32D">
            <w:pPr>
              <w:spacing w:line="360" w:lineRule="auto"/>
              <w:jc w:val="center"/>
              <w:rPr>
                <w:color w:val="auto"/>
                <w:sz w:val="28"/>
                <w:szCs w:val="28"/>
                <w:highlight w:val="none"/>
              </w:rPr>
            </w:pPr>
            <w:r>
              <w:rPr>
                <w:rFonts w:hint="eastAsia"/>
                <w:color w:val="auto"/>
                <w:sz w:val="28"/>
                <w:szCs w:val="28"/>
                <w:highlight w:val="none"/>
              </w:rPr>
              <w:t>供  应  商：</w:t>
            </w:r>
            <w:r>
              <w:rPr>
                <w:rFonts w:hint="eastAsia"/>
                <w:color w:val="auto"/>
                <w:sz w:val="28"/>
                <w:szCs w:val="28"/>
                <w:highlight w:val="none"/>
                <w:u w:val="single"/>
              </w:rPr>
              <w:t xml:space="preserve">  （全称）   </w:t>
            </w:r>
            <w:r>
              <w:rPr>
                <w:rFonts w:hint="eastAsia"/>
                <w:color w:val="auto"/>
                <w:sz w:val="28"/>
                <w:szCs w:val="28"/>
                <w:highlight w:val="none"/>
              </w:rPr>
              <w:t>（</w:t>
            </w:r>
            <w:r>
              <w:rPr>
                <w:rFonts w:hint="eastAsia"/>
                <w:color w:val="auto"/>
                <w:sz w:val="28"/>
                <w:szCs w:val="28"/>
                <w:highlight w:val="none"/>
                <w:lang w:val="en-US" w:eastAsia="zh-CN"/>
              </w:rPr>
              <w:t>单位公章</w:t>
            </w:r>
            <w:r>
              <w:rPr>
                <w:rFonts w:hint="eastAsia"/>
                <w:color w:val="auto"/>
                <w:sz w:val="28"/>
                <w:szCs w:val="28"/>
                <w:highlight w:val="none"/>
              </w:rPr>
              <w:t>）</w:t>
            </w:r>
          </w:p>
          <w:p w14:paraId="55170F56">
            <w:pPr>
              <w:spacing w:line="360" w:lineRule="auto"/>
              <w:jc w:val="center"/>
              <w:rPr>
                <w:color w:val="auto"/>
                <w:sz w:val="28"/>
                <w:szCs w:val="28"/>
                <w:highlight w:val="none"/>
              </w:rPr>
            </w:pPr>
            <w:r>
              <w:rPr>
                <w:rFonts w:hint="eastAsia"/>
                <w:color w:val="auto"/>
                <w:sz w:val="28"/>
                <w:szCs w:val="28"/>
                <w:highlight w:val="none"/>
              </w:rPr>
              <w:t>法定代表人：</w:t>
            </w:r>
            <w:r>
              <w:rPr>
                <w:rFonts w:hint="eastAsia"/>
                <w:color w:val="auto"/>
                <w:sz w:val="28"/>
                <w:szCs w:val="28"/>
                <w:highlight w:val="none"/>
                <w:u w:val="single"/>
              </w:rPr>
              <w:t xml:space="preserve">          </w:t>
            </w:r>
            <w:r>
              <w:rPr>
                <w:rFonts w:hint="eastAsia"/>
                <w:color w:val="auto"/>
                <w:sz w:val="28"/>
                <w:szCs w:val="28"/>
                <w:highlight w:val="none"/>
                <w:u w:val="single"/>
                <w:lang w:val="en-US" w:eastAsia="zh-CN"/>
              </w:rPr>
              <w:t xml:space="preserve">  </w:t>
            </w:r>
            <w:r>
              <w:rPr>
                <w:rFonts w:hint="eastAsia"/>
                <w:color w:val="auto"/>
                <w:sz w:val="28"/>
                <w:szCs w:val="28"/>
                <w:highlight w:val="none"/>
                <w:u w:val="single"/>
              </w:rPr>
              <w:t xml:space="preserve"> </w:t>
            </w:r>
            <w:r>
              <w:rPr>
                <w:rFonts w:hint="eastAsia"/>
                <w:color w:val="auto"/>
                <w:sz w:val="28"/>
                <w:szCs w:val="28"/>
                <w:highlight w:val="none"/>
              </w:rPr>
              <w:t>（</w:t>
            </w:r>
            <w:r>
              <w:rPr>
                <w:rFonts w:hint="eastAsia"/>
                <w:color w:val="auto"/>
                <w:sz w:val="28"/>
                <w:szCs w:val="28"/>
                <w:highlight w:val="none"/>
                <w:lang w:val="en-US" w:eastAsia="zh-CN"/>
              </w:rPr>
              <w:t>电子签章</w:t>
            </w:r>
            <w:r>
              <w:rPr>
                <w:rFonts w:hint="eastAsia"/>
                <w:color w:val="auto"/>
                <w:sz w:val="28"/>
                <w:szCs w:val="28"/>
                <w:highlight w:val="none"/>
              </w:rPr>
              <w:t>）</w:t>
            </w:r>
          </w:p>
          <w:p w14:paraId="37BFD3E9">
            <w:pPr>
              <w:spacing w:line="360" w:lineRule="auto"/>
              <w:rPr>
                <w:color w:val="auto"/>
                <w:sz w:val="28"/>
                <w:szCs w:val="28"/>
                <w:highlight w:val="none"/>
              </w:rPr>
            </w:pPr>
            <w:r>
              <w:rPr>
                <w:rFonts w:hint="eastAsia"/>
                <w:color w:val="auto"/>
                <w:sz w:val="28"/>
                <w:szCs w:val="28"/>
                <w:highlight w:val="none"/>
              </w:rPr>
              <w:t xml:space="preserve">           地      址：</w:t>
            </w:r>
            <w:r>
              <w:rPr>
                <w:rFonts w:hint="eastAsia"/>
                <w:color w:val="auto"/>
                <w:sz w:val="28"/>
                <w:szCs w:val="28"/>
                <w:highlight w:val="none"/>
                <w:u w:val="single"/>
              </w:rPr>
              <w:t xml:space="preserve">                       </w:t>
            </w:r>
          </w:p>
          <w:p w14:paraId="0D5DBCA8">
            <w:pPr>
              <w:spacing w:line="360" w:lineRule="auto"/>
              <w:rPr>
                <w:rFonts w:ascii="仿宋_GB2312" w:eastAsia="仿宋_GB2312"/>
                <w:color w:val="auto"/>
                <w:sz w:val="28"/>
                <w:szCs w:val="28"/>
                <w:highlight w:val="none"/>
              </w:rPr>
            </w:pPr>
            <w:r>
              <w:rPr>
                <w:rFonts w:hint="eastAsia"/>
                <w:color w:val="auto"/>
                <w:sz w:val="28"/>
                <w:szCs w:val="28"/>
                <w:highlight w:val="none"/>
              </w:rPr>
              <w:t xml:space="preserve">           日      期：</w:t>
            </w:r>
            <w:r>
              <w:rPr>
                <w:rFonts w:hint="eastAsia"/>
                <w:color w:val="auto"/>
                <w:sz w:val="28"/>
                <w:szCs w:val="28"/>
                <w:highlight w:val="none"/>
                <w:u w:val="single"/>
              </w:rPr>
              <w:t xml:space="preserve">        </w:t>
            </w:r>
            <w:r>
              <w:rPr>
                <w:rFonts w:hint="eastAsia"/>
                <w:color w:val="auto"/>
                <w:sz w:val="28"/>
                <w:szCs w:val="28"/>
                <w:highlight w:val="none"/>
              </w:rPr>
              <w:t>年</w:t>
            </w:r>
            <w:r>
              <w:rPr>
                <w:rFonts w:hint="eastAsia"/>
                <w:color w:val="auto"/>
                <w:sz w:val="28"/>
                <w:szCs w:val="28"/>
                <w:highlight w:val="none"/>
                <w:u w:val="single"/>
              </w:rPr>
              <w:t xml:space="preserve">     </w:t>
            </w:r>
            <w:r>
              <w:rPr>
                <w:rFonts w:hint="eastAsia"/>
                <w:color w:val="auto"/>
                <w:sz w:val="28"/>
                <w:szCs w:val="28"/>
                <w:highlight w:val="none"/>
              </w:rPr>
              <w:t>月</w:t>
            </w:r>
            <w:r>
              <w:rPr>
                <w:rFonts w:hint="eastAsia"/>
                <w:color w:val="auto"/>
                <w:sz w:val="28"/>
                <w:szCs w:val="28"/>
                <w:highlight w:val="none"/>
                <w:u w:val="single"/>
              </w:rPr>
              <w:t xml:space="preserve">     </w:t>
            </w:r>
            <w:r>
              <w:rPr>
                <w:rFonts w:hint="eastAsia"/>
                <w:color w:val="auto"/>
                <w:sz w:val="28"/>
                <w:szCs w:val="28"/>
                <w:highlight w:val="none"/>
              </w:rPr>
              <w:t>日</w:t>
            </w:r>
          </w:p>
        </w:tc>
      </w:tr>
    </w:tbl>
    <w:p w14:paraId="104D7019">
      <w:pPr>
        <w:spacing w:line="360" w:lineRule="auto"/>
        <w:jc w:val="left"/>
        <w:rPr>
          <w:rFonts w:hint="eastAsia" w:ascii="仿宋_GB2312" w:hAnsi="宋体" w:eastAsia="仿宋_GB2312" w:cs="Lucida Sans Unicode"/>
          <w:color w:val="auto"/>
          <w:sz w:val="28"/>
          <w:szCs w:val="28"/>
          <w:highlight w:val="none"/>
        </w:rPr>
      </w:pPr>
    </w:p>
    <w:p w14:paraId="7ABD7A8E">
      <w:pPr>
        <w:spacing w:line="360" w:lineRule="auto"/>
        <w:jc w:val="left"/>
        <w:rPr>
          <w:rFonts w:hint="eastAsia" w:ascii="仿宋_GB2312" w:hAnsi="宋体" w:eastAsia="仿宋_GB2312" w:cs="Lucida Sans Unicode"/>
          <w:color w:val="auto"/>
          <w:sz w:val="28"/>
          <w:szCs w:val="28"/>
          <w:highlight w:val="none"/>
        </w:rPr>
      </w:pPr>
    </w:p>
    <w:p w14:paraId="4C4525EF">
      <w:pPr>
        <w:spacing w:line="360" w:lineRule="auto"/>
        <w:jc w:val="left"/>
        <w:rPr>
          <w:rFonts w:hint="eastAsia" w:ascii="仿宋_GB2312" w:hAnsi="宋体" w:eastAsia="仿宋_GB2312" w:cs="Lucida Sans Unicode"/>
          <w:color w:val="auto"/>
          <w:sz w:val="28"/>
          <w:szCs w:val="28"/>
          <w:highlight w:val="none"/>
          <w:lang w:eastAsia="zh-CN"/>
        </w:rPr>
      </w:pPr>
      <w:r>
        <w:rPr>
          <w:rFonts w:hint="eastAsia" w:ascii="仿宋_GB2312" w:hAnsi="宋体" w:eastAsia="仿宋_GB2312" w:cs="Lucida Sans Unicode"/>
          <w:color w:val="auto"/>
          <w:sz w:val="28"/>
          <w:szCs w:val="28"/>
          <w:highlight w:val="none"/>
        </w:rPr>
        <w:t>格式</w:t>
      </w:r>
      <w:r>
        <w:rPr>
          <w:rFonts w:hint="eastAsia" w:ascii="仿宋_GB2312" w:hAnsi="宋体" w:eastAsia="仿宋_GB2312" w:cs="Lucida Sans Unicode"/>
          <w:color w:val="auto"/>
          <w:sz w:val="28"/>
          <w:szCs w:val="28"/>
          <w:highlight w:val="none"/>
          <w:lang w:val="en-US" w:eastAsia="zh-CN"/>
        </w:rPr>
        <w:t>2</w:t>
      </w:r>
    </w:p>
    <w:p w14:paraId="26627586">
      <w:pPr>
        <w:spacing w:line="360" w:lineRule="auto"/>
        <w:jc w:val="left"/>
        <w:rPr>
          <w:rFonts w:ascii="仿宋_GB2312" w:hAnsi="宋体" w:eastAsia="仿宋_GB2312" w:cs="Lucida Sans Unicode"/>
          <w:color w:val="auto"/>
          <w:sz w:val="28"/>
          <w:szCs w:val="28"/>
          <w:highlight w:val="none"/>
        </w:rPr>
      </w:pPr>
    </w:p>
    <w:p w14:paraId="44627738">
      <w:pPr>
        <w:spacing w:line="560" w:lineRule="exact"/>
        <w:jc w:val="center"/>
        <w:rPr>
          <w:rFonts w:ascii="黑体" w:eastAsia="黑体"/>
          <w:color w:val="auto"/>
          <w:sz w:val="28"/>
          <w:szCs w:val="28"/>
          <w:highlight w:val="none"/>
        </w:rPr>
      </w:pPr>
      <w:r>
        <w:rPr>
          <w:rFonts w:hint="eastAsia" w:ascii="黑体" w:eastAsia="黑体"/>
          <w:color w:val="auto"/>
          <w:sz w:val="28"/>
          <w:szCs w:val="28"/>
          <w:highlight w:val="none"/>
        </w:rPr>
        <w:t>响应性文件目录</w:t>
      </w:r>
    </w:p>
    <w:p w14:paraId="4E6CAF1B">
      <w:pPr>
        <w:widowControl/>
        <w:spacing w:line="480" w:lineRule="exact"/>
        <w:ind w:firstLine="627" w:firstLineChars="224"/>
        <w:rPr>
          <w:rFonts w:ascii="仿宋" w:hAnsi="仿宋" w:eastAsia="仿宋" w:cs="Lucida Sans Unicode"/>
          <w:color w:val="auto"/>
          <w:sz w:val="28"/>
          <w:szCs w:val="28"/>
          <w:highlight w:val="none"/>
        </w:rPr>
      </w:pPr>
    </w:p>
    <w:p w14:paraId="05C6ADE4">
      <w:pPr>
        <w:widowControl/>
        <w:spacing w:line="480" w:lineRule="exact"/>
        <w:ind w:firstLine="627" w:firstLineChars="224"/>
        <w:outlineLvl w:val="0"/>
        <w:rPr>
          <w:rFonts w:ascii="仿宋" w:hAnsi="仿宋" w:eastAsia="仿宋" w:cs="Lucida Sans Unicode"/>
          <w:color w:val="auto"/>
          <w:sz w:val="28"/>
          <w:szCs w:val="28"/>
          <w:highlight w:val="none"/>
        </w:rPr>
      </w:pPr>
      <w:r>
        <w:rPr>
          <w:rFonts w:hint="eastAsia" w:ascii="仿宋" w:hAnsi="仿宋" w:eastAsia="仿宋" w:cs="Lucida Sans Unicode"/>
          <w:color w:val="auto"/>
          <w:sz w:val="28"/>
          <w:szCs w:val="28"/>
          <w:highlight w:val="none"/>
        </w:rPr>
        <w:t>一、资格性证明材料</w:t>
      </w:r>
    </w:p>
    <w:p w14:paraId="6E9727B3">
      <w:pPr>
        <w:widowControl/>
        <w:spacing w:line="480" w:lineRule="exact"/>
        <w:ind w:firstLine="627" w:firstLineChars="224"/>
        <w:jc w:val="left"/>
        <w:rPr>
          <w:rFonts w:ascii="仿宋" w:hAnsi="仿宋" w:eastAsia="仿宋" w:cs="Lucida Sans Unicode"/>
          <w:color w:val="auto"/>
          <w:sz w:val="28"/>
          <w:szCs w:val="28"/>
          <w:highlight w:val="none"/>
        </w:rPr>
      </w:pPr>
      <w:r>
        <w:rPr>
          <w:rFonts w:hint="eastAsia" w:ascii="仿宋" w:hAnsi="仿宋" w:eastAsia="仿宋" w:cs="Lucida Sans Unicode"/>
          <w:color w:val="auto"/>
          <w:sz w:val="28"/>
          <w:szCs w:val="28"/>
          <w:highlight w:val="none"/>
        </w:rPr>
        <w:t>1.1焦作市政府采购供应商资格信用承诺函……………所在页码</w:t>
      </w:r>
    </w:p>
    <w:p w14:paraId="0013C3C2">
      <w:pPr>
        <w:widowControl/>
        <w:spacing w:line="480" w:lineRule="exact"/>
        <w:ind w:firstLine="627" w:firstLineChars="224"/>
        <w:rPr>
          <w:rFonts w:ascii="仿宋" w:hAnsi="仿宋" w:eastAsia="仿宋" w:cs="Lucida Sans Unicode"/>
          <w:color w:val="auto"/>
          <w:sz w:val="28"/>
          <w:szCs w:val="28"/>
          <w:highlight w:val="none"/>
        </w:rPr>
      </w:pPr>
      <w:r>
        <w:rPr>
          <w:rFonts w:hint="eastAsia" w:ascii="仿宋" w:hAnsi="仿宋" w:eastAsia="仿宋" w:cs="Lucida Sans Unicode"/>
          <w:color w:val="auto"/>
          <w:sz w:val="28"/>
          <w:szCs w:val="28"/>
          <w:highlight w:val="none"/>
        </w:rPr>
        <w:t>1.2其他资格要求（如有需提供）………………………所在页码</w:t>
      </w:r>
    </w:p>
    <w:p w14:paraId="74C84593">
      <w:pPr>
        <w:widowControl/>
        <w:spacing w:line="480" w:lineRule="exact"/>
        <w:ind w:firstLine="627" w:firstLineChars="224"/>
        <w:rPr>
          <w:rFonts w:ascii="仿宋" w:hAnsi="仿宋" w:eastAsia="仿宋" w:cs="Lucida Sans Unicode"/>
          <w:color w:val="auto"/>
          <w:sz w:val="28"/>
          <w:szCs w:val="28"/>
          <w:highlight w:val="none"/>
        </w:rPr>
      </w:pPr>
      <w:r>
        <w:rPr>
          <w:rFonts w:hint="eastAsia" w:ascii="仿宋" w:hAnsi="仿宋" w:eastAsia="仿宋" w:cs="Lucida Sans Unicode"/>
          <w:color w:val="auto"/>
          <w:sz w:val="28"/>
          <w:szCs w:val="28"/>
          <w:highlight w:val="none"/>
        </w:rPr>
        <w:t>1.3法定代表人身份证明书或授权委托书………………所在页码</w:t>
      </w:r>
    </w:p>
    <w:p w14:paraId="724D0F1F">
      <w:pPr>
        <w:widowControl/>
        <w:spacing w:line="480" w:lineRule="exact"/>
        <w:ind w:firstLine="627" w:firstLineChars="224"/>
        <w:rPr>
          <w:rFonts w:ascii="仿宋" w:hAnsi="仿宋" w:eastAsia="仿宋" w:cs="Lucida Sans Unicode"/>
          <w:color w:val="auto"/>
          <w:sz w:val="28"/>
          <w:szCs w:val="28"/>
          <w:highlight w:val="none"/>
        </w:rPr>
      </w:pPr>
      <w:r>
        <w:rPr>
          <w:rFonts w:hint="eastAsia" w:ascii="仿宋" w:hAnsi="仿宋" w:eastAsia="仿宋" w:cs="Lucida Sans Unicode"/>
          <w:color w:val="auto"/>
          <w:sz w:val="28"/>
          <w:szCs w:val="28"/>
          <w:highlight w:val="none"/>
        </w:rPr>
        <w:t>……</w:t>
      </w:r>
    </w:p>
    <w:p w14:paraId="43CB5494">
      <w:pPr>
        <w:widowControl/>
        <w:spacing w:line="480" w:lineRule="exact"/>
        <w:ind w:firstLine="627" w:firstLineChars="224"/>
        <w:outlineLvl w:val="0"/>
        <w:rPr>
          <w:rFonts w:ascii="仿宋" w:hAnsi="仿宋" w:eastAsia="仿宋" w:cs="Lucida Sans Unicode"/>
          <w:color w:val="auto"/>
          <w:sz w:val="28"/>
          <w:szCs w:val="28"/>
          <w:highlight w:val="none"/>
        </w:rPr>
      </w:pPr>
      <w:r>
        <w:rPr>
          <w:rFonts w:hint="eastAsia" w:ascii="仿宋" w:hAnsi="仿宋" w:eastAsia="仿宋" w:cs="Lucida Sans Unicode"/>
          <w:color w:val="auto"/>
          <w:sz w:val="28"/>
          <w:szCs w:val="28"/>
          <w:highlight w:val="none"/>
        </w:rPr>
        <w:t xml:space="preserve"> 二、符合性证明材料</w:t>
      </w:r>
    </w:p>
    <w:p w14:paraId="76926FA8">
      <w:pPr>
        <w:widowControl/>
        <w:spacing w:line="480" w:lineRule="exact"/>
        <w:ind w:firstLine="627" w:firstLineChars="224"/>
        <w:rPr>
          <w:rFonts w:ascii="仿宋" w:hAnsi="仿宋" w:eastAsia="仿宋" w:cs="Lucida Sans Unicode"/>
          <w:color w:val="auto"/>
          <w:sz w:val="28"/>
          <w:szCs w:val="28"/>
          <w:highlight w:val="none"/>
        </w:rPr>
      </w:pPr>
      <w:r>
        <w:rPr>
          <w:rFonts w:hint="eastAsia" w:ascii="仿宋" w:hAnsi="仿宋" w:eastAsia="仿宋" w:cs="Lucida Sans Unicode"/>
          <w:color w:val="auto"/>
          <w:sz w:val="28"/>
          <w:szCs w:val="28"/>
          <w:highlight w:val="none"/>
        </w:rPr>
        <w:t>2.1磋商承诺函……………………………………………所在页码</w:t>
      </w:r>
    </w:p>
    <w:p w14:paraId="5E24F879">
      <w:pPr>
        <w:widowControl/>
        <w:spacing w:line="480" w:lineRule="exact"/>
        <w:ind w:firstLine="627" w:firstLineChars="224"/>
        <w:jc w:val="left"/>
        <w:rPr>
          <w:rFonts w:hint="eastAsia" w:ascii="仿宋" w:hAnsi="仿宋" w:eastAsia="仿宋" w:cs="Lucida Sans Unicode"/>
          <w:color w:val="auto"/>
          <w:sz w:val="28"/>
          <w:szCs w:val="28"/>
          <w:highlight w:val="none"/>
        </w:rPr>
      </w:pPr>
      <w:r>
        <w:rPr>
          <w:rFonts w:hint="eastAsia" w:ascii="仿宋" w:hAnsi="仿宋" w:eastAsia="仿宋" w:cs="Lucida Sans Unicode"/>
          <w:color w:val="auto"/>
          <w:sz w:val="28"/>
          <w:szCs w:val="28"/>
          <w:highlight w:val="none"/>
        </w:rPr>
        <w:t>2.2供应商公司基本情况简介……………………………所在页码</w:t>
      </w:r>
    </w:p>
    <w:p w14:paraId="39D1857A">
      <w:pPr>
        <w:widowControl/>
        <w:spacing w:line="480" w:lineRule="exact"/>
        <w:ind w:firstLine="627" w:firstLineChars="224"/>
        <w:jc w:val="left"/>
        <w:rPr>
          <w:rFonts w:ascii="仿宋" w:hAnsi="仿宋" w:eastAsia="仿宋" w:cs="Lucida Sans Unicode"/>
          <w:color w:val="auto"/>
          <w:sz w:val="28"/>
          <w:szCs w:val="28"/>
          <w:highlight w:val="none"/>
        </w:rPr>
      </w:pPr>
      <w:r>
        <w:rPr>
          <w:rFonts w:hint="eastAsia" w:ascii="仿宋" w:hAnsi="仿宋" w:eastAsia="仿宋" w:cs="Lucida Sans Unicode"/>
          <w:color w:val="auto"/>
          <w:sz w:val="28"/>
          <w:szCs w:val="28"/>
          <w:highlight w:val="none"/>
          <w:lang w:val="en-US" w:eastAsia="zh-CN"/>
        </w:rPr>
        <w:t>2.3反商业贿赂承诺书</w:t>
      </w:r>
      <w:r>
        <w:rPr>
          <w:rFonts w:hint="eastAsia" w:ascii="仿宋" w:hAnsi="仿宋" w:eastAsia="仿宋" w:cs="Lucida Sans Unicode"/>
          <w:color w:val="auto"/>
          <w:sz w:val="28"/>
          <w:szCs w:val="28"/>
          <w:highlight w:val="none"/>
        </w:rPr>
        <w:t>……………………………………所在页码</w:t>
      </w:r>
    </w:p>
    <w:p w14:paraId="1F904C93">
      <w:pPr>
        <w:widowControl/>
        <w:spacing w:line="480" w:lineRule="exact"/>
        <w:ind w:firstLine="627" w:firstLineChars="224"/>
        <w:jc w:val="left"/>
        <w:rPr>
          <w:rFonts w:ascii="仿宋" w:hAnsi="仿宋" w:eastAsia="仿宋" w:cs="Lucida Sans Unicode"/>
          <w:color w:val="auto"/>
          <w:sz w:val="28"/>
          <w:szCs w:val="28"/>
          <w:highlight w:val="none"/>
        </w:rPr>
      </w:pPr>
      <w:r>
        <w:rPr>
          <w:rFonts w:hint="eastAsia" w:ascii="仿宋" w:hAnsi="仿宋" w:eastAsia="仿宋" w:cs="Lucida Sans Unicode"/>
          <w:color w:val="auto"/>
          <w:sz w:val="28"/>
          <w:szCs w:val="28"/>
          <w:highlight w:val="none"/>
          <w:lang w:val="en-US" w:eastAsia="zh-CN"/>
        </w:rPr>
        <w:t>2.4</w:t>
      </w:r>
      <w:r>
        <w:rPr>
          <w:rFonts w:hint="eastAsia" w:ascii="仿宋" w:hAnsi="仿宋" w:eastAsia="仿宋" w:cs="Lucida Sans Unicode"/>
          <w:color w:val="auto"/>
          <w:sz w:val="28"/>
          <w:szCs w:val="28"/>
          <w:highlight w:val="none"/>
        </w:rPr>
        <w:t>报价一览表……………………………………………所在页码</w:t>
      </w:r>
    </w:p>
    <w:p w14:paraId="35EA3124">
      <w:pPr>
        <w:widowControl/>
        <w:spacing w:line="480" w:lineRule="exact"/>
        <w:ind w:firstLine="627" w:firstLineChars="224"/>
        <w:rPr>
          <w:rFonts w:ascii="仿宋" w:hAnsi="仿宋" w:eastAsia="仿宋" w:cs="Lucida Sans Unicode"/>
          <w:color w:val="auto"/>
          <w:sz w:val="28"/>
          <w:szCs w:val="28"/>
          <w:highlight w:val="none"/>
        </w:rPr>
      </w:pPr>
      <w:r>
        <w:rPr>
          <w:rFonts w:hint="eastAsia" w:ascii="仿宋" w:hAnsi="仿宋" w:eastAsia="仿宋" w:cs="Lucida Sans Unicode"/>
          <w:color w:val="auto"/>
          <w:sz w:val="28"/>
          <w:szCs w:val="28"/>
          <w:highlight w:val="none"/>
        </w:rPr>
        <w:t>……</w:t>
      </w:r>
    </w:p>
    <w:p w14:paraId="3BC9D417">
      <w:pPr>
        <w:widowControl/>
        <w:spacing w:line="480" w:lineRule="exact"/>
        <w:ind w:firstLine="627" w:firstLineChars="224"/>
        <w:rPr>
          <w:rFonts w:ascii="仿宋" w:hAnsi="仿宋" w:eastAsia="仿宋" w:cs="Lucida Sans Unicode"/>
          <w:color w:val="auto"/>
          <w:sz w:val="28"/>
          <w:szCs w:val="28"/>
          <w:highlight w:val="none"/>
        </w:rPr>
      </w:pPr>
      <w:r>
        <w:rPr>
          <w:rFonts w:hint="eastAsia" w:ascii="仿宋" w:hAnsi="仿宋" w:eastAsia="仿宋"/>
          <w:color w:val="auto"/>
          <w:kern w:val="0"/>
          <w:sz w:val="28"/>
          <w:szCs w:val="28"/>
          <w:highlight w:val="none"/>
        </w:rPr>
        <w:t>2.X</w:t>
      </w:r>
      <w:r>
        <w:rPr>
          <w:rFonts w:hint="eastAsia" w:ascii="仿宋" w:hAnsi="仿宋" w:eastAsia="仿宋" w:cs="Lucida Sans Unicode"/>
          <w:color w:val="auto"/>
          <w:sz w:val="28"/>
          <w:szCs w:val="28"/>
          <w:highlight w:val="none"/>
        </w:rPr>
        <w:t>商务响应表……………………………………………所在页码</w:t>
      </w:r>
    </w:p>
    <w:p w14:paraId="1FDA38A9">
      <w:pPr>
        <w:widowControl/>
        <w:spacing w:line="480" w:lineRule="exact"/>
        <w:ind w:firstLine="627" w:firstLineChars="224"/>
        <w:outlineLvl w:val="0"/>
        <w:rPr>
          <w:rFonts w:ascii="仿宋" w:hAnsi="仿宋" w:eastAsia="仿宋" w:cs="Lucida Sans Unicode"/>
          <w:color w:val="auto"/>
          <w:sz w:val="28"/>
          <w:szCs w:val="28"/>
          <w:highlight w:val="none"/>
        </w:rPr>
      </w:pPr>
      <w:r>
        <w:rPr>
          <w:rFonts w:hint="eastAsia" w:ascii="仿宋" w:hAnsi="仿宋" w:eastAsia="仿宋" w:cs="Lucida Sans Unicode"/>
          <w:color w:val="auto"/>
          <w:sz w:val="28"/>
          <w:szCs w:val="28"/>
          <w:highlight w:val="none"/>
        </w:rPr>
        <w:t>三、其他材料</w:t>
      </w:r>
    </w:p>
    <w:p w14:paraId="232D373B">
      <w:pPr>
        <w:widowControl/>
        <w:spacing w:line="480" w:lineRule="exact"/>
        <w:ind w:firstLine="627" w:firstLineChars="224"/>
        <w:rPr>
          <w:rFonts w:ascii="仿宋" w:hAnsi="仿宋" w:eastAsia="仿宋"/>
          <w:color w:val="auto"/>
          <w:sz w:val="28"/>
          <w:szCs w:val="28"/>
          <w:highlight w:val="none"/>
        </w:rPr>
      </w:pPr>
      <w:r>
        <w:rPr>
          <w:rFonts w:hint="eastAsia" w:ascii="仿宋" w:hAnsi="仿宋" w:eastAsia="仿宋" w:cs="Lucida Sans Unicode"/>
          <w:color w:val="auto"/>
          <w:sz w:val="28"/>
          <w:szCs w:val="28"/>
          <w:highlight w:val="none"/>
        </w:rPr>
        <w:t>……</w:t>
      </w:r>
    </w:p>
    <w:p w14:paraId="5331E738">
      <w:pPr>
        <w:spacing w:line="360" w:lineRule="auto"/>
        <w:jc w:val="left"/>
        <w:rPr>
          <w:rFonts w:hint="eastAsia" w:ascii="仿宋_GB2312" w:hAnsi="宋体" w:eastAsia="仿宋_GB2312" w:cs="Lucida Sans Unicode"/>
          <w:color w:val="auto"/>
          <w:sz w:val="28"/>
          <w:szCs w:val="28"/>
          <w:highlight w:val="none"/>
          <w:lang w:eastAsia="zh-CN"/>
        </w:rPr>
      </w:pPr>
      <w:r>
        <w:rPr>
          <w:rFonts w:ascii="宋体" w:hAnsi="宋体"/>
          <w:color w:val="auto"/>
          <w:sz w:val="30"/>
          <w:szCs w:val="30"/>
          <w:highlight w:val="none"/>
        </w:rPr>
        <w:br w:type="page"/>
      </w:r>
      <w:r>
        <w:rPr>
          <w:rFonts w:hint="eastAsia" w:ascii="仿宋_GB2312" w:hAnsi="宋体" w:eastAsia="仿宋_GB2312" w:cs="Lucida Sans Unicode"/>
          <w:color w:val="auto"/>
          <w:sz w:val="28"/>
          <w:szCs w:val="28"/>
          <w:highlight w:val="none"/>
        </w:rPr>
        <w:t>格式</w:t>
      </w:r>
      <w:r>
        <w:rPr>
          <w:rFonts w:hint="eastAsia" w:ascii="仿宋_GB2312" w:hAnsi="宋体" w:eastAsia="仿宋_GB2312" w:cs="Lucida Sans Unicode"/>
          <w:color w:val="auto"/>
          <w:sz w:val="28"/>
          <w:szCs w:val="28"/>
          <w:highlight w:val="none"/>
          <w:lang w:val="en-US" w:eastAsia="zh-CN"/>
        </w:rPr>
        <w:t>3</w:t>
      </w:r>
    </w:p>
    <w:p w14:paraId="634FF2A8">
      <w:pPr>
        <w:spacing w:line="560" w:lineRule="exact"/>
        <w:ind w:firstLine="562" w:firstLineChars="200"/>
        <w:jc w:val="center"/>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焦作市政府采购供应商资格信用承诺函</w:t>
      </w:r>
    </w:p>
    <w:p w14:paraId="14E1DCF5">
      <w:pPr>
        <w:widowControl w:val="0"/>
        <w:wordWrap/>
        <w:adjustRightInd w:val="0"/>
        <w:snapToGrid/>
        <w:spacing w:line="560" w:lineRule="exact"/>
        <w:textAlignment w:val="baseline"/>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致</w:t>
      </w:r>
      <w:r>
        <w:rPr>
          <w:rFonts w:hint="eastAsia" w:ascii="仿宋" w:hAnsi="仿宋" w:eastAsia="仿宋" w:cs="仿宋"/>
          <w:color w:val="auto"/>
          <w:sz w:val="28"/>
          <w:szCs w:val="28"/>
          <w:highlight w:val="none"/>
          <w:u w:val="single"/>
          <w:lang w:eastAsia="zh-CN"/>
        </w:rPr>
        <w:t>（采购人）</w:t>
      </w:r>
      <w:r>
        <w:rPr>
          <w:rFonts w:hint="eastAsia" w:ascii="仿宋" w:hAnsi="仿宋" w:eastAsia="仿宋" w:cs="仿宋"/>
          <w:color w:val="auto"/>
          <w:sz w:val="28"/>
          <w:szCs w:val="28"/>
          <w:highlight w:val="none"/>
          <w:lang w:eastAsia="zh-CN"/>
        </w:rPr>
        <w:t xml:space="preserve"> ：</w:t>
      </w:r>
    </w:p>
    <w:p w14:paraId="445144D8">
      <w:pPr>
        <w:widowControl w:val="0"/>
        <w:wordWrap/>
        <w:adjustRightInd w:val="0"/>
        <w:snapToGrid/>
        <w:spacing w:line="560" w:lineRule="exact"/>
        <w:ind w:firstLine="560" w:firstLineChars="200"/>
        <w:jc w:val="both"/>
        <w:textAlignment w:val="baseline"/>
        <w:rPr>
          <w:rFonts w:hint="default" w:ascii="仿宋_GB2312" w:hAnsi="宋体" w:eastAsia="仿宋_GB2312" w:cs="Lucida Sans Unicode"/>
          <w:color w:val="auto"/>
          <w:sz w:val="28"/>
          <w:szCs w:val="28"/>
          <w:highlight w:val="none"/>
          <w:u w:val="single"/>
          <w:lang w:val="en-US" w:eastAsia="zh-CN"/>
        </w:rPr>
      </w:pPr>
      <w:r>
        <w:rPr>
          <w:rFonts w:hint="eastAsia" w:ascii="仿宋_GB2312" w:hAnsi="宋体" w:eastAsia="仿宋_GB2312" w:cs="Lucida Sans Unicode"/>
          <w:color w:val="auto"/>
          <w:sz w:val="28"/>
          <w:szCs w:val="28"/>
          <w:highlight w:val="none"/>
          <w:lang w:eastAsia="zh-CN"/>
        </w:rPr>
        <w:t>供应商名称</w:t>
      </w:r>
      <w:r>
        <w:rPr>
          <w:rFonts w:hint="eastAsia" w:ascii="仿宋_GB2312" w:hAnsi="宋体" w:eastAsia="仿宋_GB2312" w:cs="Lucida Sans Unicode"/>
          <w:color w:val="auto"/>
          <w:sz w:val="28"/>
          <w:szCs w:val="28"/>
          <w:highlight w:val="none"/>
          <w:u w:val="single"/>
          <w:lang w:eastAsia="zh-CN"/>
        </w:rPr>
        <w:t>：</w:t>
      </w:r>
      <w:r>
        <w:rPr>
          <w:rFonts w:hint="eastAsia" w:ascii="仿宋_GB2312" w:hAnsi="宋体" w:eastAsia="仿宋_GB2312" w:cs="Lucida Sans Unicode"/>
          <w:color w:val="auto"/>
          <w:sz w:val="28"/>
          <w:szCs w:val="28"/>
          <w:highlight w:val="none"/>
          <w:u w:val="single"/>
          <w:lang w:val="en-US" w:eastAsia="zh-CN"/>
        </w:rPr>
        <w:t xml:space="preserve"> </w:t>
      </w:r>
    </w:p>
    <w:p w14:paraId="30B2F059">
      <w:pPr>
        <w:widowControl w:val="0"/>
        <w:wordWrap/>
        <w:adjustRightInd w:val="0"/>
        <w:snapToGrid/>
        <w:spacing w:line="560" w:lineRule="exact"/>
        <w:ind w:firstLine="560" w:firstLineChars="200"/>
        <w:jc w:val="both"/>
        <w:textAlignment w:val="baseline"/>
        <w:rPr>
          <w:rFonts w:hint="default" w:ascii="仿宋_GB2312" w:hAnsi="宋体" w:eastAsia="仿宋_GB2312" w:cs="Lucida Sans Unicode"/>
          <w:color w:val="auto"/>
          <w:sz w:val="28"/>
          <w:szCs w:val="28"/>
          <w:highlight w:val="none"/>
          <w:u w:val="single"/>
          <w:lang w:val="en-US" w:eastAsia="zh-CN"/>
        </w:rPr>
      </w:pPr>
      <w:r>
        <w:rPr>
          <w:rFonts w:hint="eastAsia" w:ascii="仿宋_GB2312" w:hAnsi="宋体" w:eastAsia="仿宋_GB2312" w:cs="Lucida Sans Unicode"/>
          <w:color w:val="auto"/>
          <w:sz w:val="28"/>
          <w:szCs w:val="28"/>
          <w:highlight w:val="none"/>
          <w:lang w:eastAsia="zh-CN"/>
        </w:rPr>
        <w:t>统一社会信用代码</w:t>
      </w:r>
      <w:r>
        <w:rPr>
          <w:rFonts w:hint="eastAsia" w:ascii="仿宋_GB2312" w:hAnsi="宋体" w:eastAsia="仿宋_GB2312" w:cs="Lucida Sans Unicode"/>
          <w:color w:val="auto"/>
          <w:sz w:val="28"/>
          <w:szCs w:val="28"/>
          <w:highlight w:val="none"/>
          <w:u w:val="single"/>
          <w:lang w:eastAsia="zh-CN"/>
        </w:rPr>
        <w:t>：</w:t>
      </w:r>
      <w:r>
        <w:rPr>
          <w:rFonts w:hint="eastAsia" w:ascii="仿宋_GB2312" w:hAnsi="宋体" w:eastAsia="仿宋_GB2312" w:cs="Lucida Sans Unicode"/>
          <w:color w:val="auto"/>
          <w:sz w:val="28"/>
          <w:szCs w:val="28"/>
          <w:highlight w:val="none"/>
          <w:u w:val="single"/>
          <w:lang w:val="en-US" w:eastAsia="zh-CN"/>
        </w:rPr>
        <w:t xml:space="preserve">                                   </w:t>
      </w:r>
    </w:p>
    <w:p w14:paraId="0CC227E7">
      <w:pPr>
        <w:widowControl w:val="0"/>
        <w:wordWrap/>
        <w:adjustRightInd w:val="0"/>
        <w:snapToGrid/>
        <w:spacing w:line="560" w:lineRule="exact"/>
        <w:ind w:firstLine="560" w:firstLineChars="200"/>
        <w:jc w:val="both"/>
        <w:textAlignment w:val="baseline"/>
        <w:rPr>
          <w:rFonts w:hint="default" w:ascii="仿宋_GB2312" w:hAnsi="宋体" w:eastAsia="仿宋_GB2312" w:cs="Lucida Sans Unicode"/>
          <w:color w:val="auto"/>
          <w:sz w:val="28"/>
          <w:szCs w:val="28"/>
          <w:highlight w:val="none"/>
          <w:u w:val="single"/>
          <w:lang w:val="en-US" w:eastAsia="zh-CN"/>
        </w:rPr>
      </w:pPr>
      <w:r>
        <w:rPr>
          <w:rFonts w:hint="eastAsia" w:ascii="仿宋_GB2312" w:hAnsi="宋体" w:eastAsia="仿宋_GB2312" w:cs="Lucida Sans Unicode"/>
          <w:color w:val="auto"/>
          <w:sz w:val="28"/>
          <w:szCs w:val="28"/>
          <w:highlight w:val="none"/>
          <w:lang w:eastAsia="zh-CN"/>
        </w:rPr>
        <w:t>供应商地址</w:t>
      </w:r>
      <w:r>
        <w:rPr>
          <w:rFonts w:hint="eastAsia" w:ascii="仿宋_GB2312" w:hAnsi="宋体" w:eastAsia="仿宋_GB2312" w:cs="Lucida Sans Unicode"/>
          <w:color w:val="auto"/>
          <w:sz w:val="28"/>
          <w:szCs w:val="28"/>
          <w:highlight w:val="none"/>
          <w:u w:val="single"/>
          <w:lang w:eastAsia="zh-CN"/>
        </w:rPr>
        <w:t>：</w:t>
      </w:r>
      <w:r>
        <w:rPr>
          <w:rFonts w:hint="eastAsia" w:ascii="仿宋_GB2312" w:hAnsi="宋体" w:eastAsia="仿宋_GB2312" w:cs="Lucida Sans Unicode"/>
          <w:color w:val="auto"/>
          <w:sz w:val="28"/>
          <w:szCs w:val="28"/>
          <w:highlight w:val="none"/>
          <w:u w:val="single"/>
          <w:lang w:val="en-US" w:eastAsia="zh-CN"/>
        </w:rPr>
        <w:t xml:space="preserve">                           </w:t>
      </w:r>
    </w:p>
    <w:p w14:paraId="2F20DF0D">
      <w:pPr>
        <w:widowControl w:val="0"/>
        <w:wordWrap/>
        <w:adjustRightInd w:val="0"/>
        <w:snapToGrid/>
        <w:spacing w:line="560" w:lineRule="exact"/>
        <w:ind w:firstLine="560" w:firstLineChars="200"/>
        <w:jc w:val="both"/>
        <w:textAlignment w:val="baseline"/>
        <w:rPr>
          <w:rFonts w:hint="eastAsia" w:ascii="仿宋_GB2312" w:hAnsi="宋体" w:eastAsia="仿宋_GB2312" w:cs="Lucida Sans Unicode"/>
          <w:color w:val="auto"/>
          <w:sz w:val="28"/>
          <w:szCs w:val="28"/>
          <w:highlight w:val="none"/>
          <w:lang w:eastAsia="zh-CN"/>
        </w:rPr>
      </w:pPr>
      <w:r>
        <w:rPr>
          <w:rFonts w:hint="eastAsia" w:ascii="仿宋_GB2312" w:hAnsi="宋体" w:eastAsia="仿宋_GB2312" w:cs="Lucida Sans Unicode"/>
          <w:color w:val="auto"/>
          <w:sz w:val="28"/>
          <w:szCs w:val="28"/>
          <w:highlight w:val="none"/>
          <w:lang w:eastAsia="zh-CN"/>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129D2314">
      <w:pPr>
        <w:widowControl w:val="0"/>
        <w:wordWrap/>
        <w:adjustRightInd w:val="0"/>
        <w:snapToGrid/>
        <w:spacing w:line="560" w:lineRule="exact"/>
        <w:ind w:firstLine="560" w:firstLineChars="200"/>
        <w:jc w:val="both"/>
        <w:textAlignment w:val="baseline"/>
        <w:rPr>
          <w:rFonts w:hint="eastAsia" w:ascii="仿宋_GB2312" w:hAnsi="宋体" w:eastAsia="仿宋_GB2312" w:cs="Lucida Sans Unicode"/>
          <w:color w:val="auto"/>
          <w:sz w:val="28"/>
          <w:szCs w:val="28"/>
          <w:highlight w:val="none"/>
          <w:lang w:eastAsia="zh-CN"/>
        </w:rPr>
      </w:pPr>
      <w:r>
        <w:rPr>
          <w:rFonts w:hint="eastAsia" w:ascii="仿宋_GB2312" w:hAnsi="宋体" w:eastAsia="仿宋_GB2312" w:cs="Lucida Sans Unicode"/>
          <w:color w:val="auto"/>
          <w:sz w:val="28"/>
          <w:szCs w:val="28"/>
          <w:highlight w:val="none"/>
          <w:lang w:eastAsia="zh-CN"/>
        </w:rPr>
        <w:t>1.我单位具有符合采购文件资格要求独立承担民事责任的能力。</w:t>
      </w:r>
    </w:p>
    <w:p w14:paraId="4BCE921F">
      <w:pPr>
        <w:widowControl w:val="0"/>
        <w:wordWrap/>
        <w:adjustRightInd w:val="0"/>
        <w:snapToGrid/>
        <w:spacing w:line="560" w:lineRule="exact"/>
        <w:ind w:firstLine="560" w:firstLineChars="200"/>
        <w:jc w:val="both"/>
        <w:textAlignment w:val="baseline"/>
        <w:rPr>
          <w:rFonts w:hint="eastAsia" w:ascii="仿宋_GB2312" w:hAnsi="宋体" w:eastAsia="仿宋_GB2312" w:cs="Lucida Sans Unicode"/>
          <w:color w:val="auto"/>
          <w:sz w:val="28"/>
          <w:szCs w:val="28"/>
          <w:highlight w:val="none"/>
          <w:lang w:eastAsia="zh-CN"/>
        </w:rPr>
      </w:pPr>
      <w:r>
        <w:rPr>
          <w:rFonts w:hint="eastAsia" w:ascii="仿宋_GB2312" w:hAnsi="宋体" w:eastAsia="仿宋_GB2312" w:cs="Lucida Sans Unicode"/>
          <w:color w:val="auto"/>
          <w:sz w:val="28"/>
          <w:szCs w:val="28"/>
          <w:highlight w:val="none"/>
          <w:lang w:eastAsia="zh-CN"/>
        </w:rPr>
        <w:t>2.我单位具有符合采购文件资格要求的财务状况报告。</w:t>
      </w:r>
    </w:p>
    <w:p w14:paraId="59CC3A8D">
      <w:pPr>
        <w:widowControl w:val="0"/>
        <w:wordWrap/>
        <w:adjustRightInd w:val="0"/>
        <w:snapToGrid/>
        <w:spacing w:line="560" w:lineRule="exact"/>
        <w:ind w:firstLine="560" w:firstLineChars="200"/>
        <w:jc w:val="both"/>
        <w:textAlignment w:val="baseline"/>
        <w:rPr>
          <w:rFonts w:hint="eastAsia" w:ascii="仿宋_GB2312" w:hAnsi="宋体" w:eastAsia="仿宋_GB2312" w:cs="Lucida Sans Unicode"/>
          <w:color w:val="auto"/>
          <w:sz w:val="28"/>
          <w:szCs w:val="28"/>
          <w:highlight w:val="none"/>
          <w:lang w:eastAsia="zh-CN"/>
        </w:rPr>
      </w:pPr>
      <w:r>
        <w:rPr>
          <w:rFonts w:hint="eastAsia" w:ascii="仿宋_GB2312" w:hAnsi="宋体" w:eastAsia="仿宋_GB2312" w:cs="Lucida Sans Unicode"/>
          <w:color w:val="auto"/>
          <w:sz w:val="28"/>
          <w:szCs w:val="28"/>
          <w:highlight w:val="none"/>
          <w:lang w:eastAsia="zh-CN"/>
        </w:rPr>
        <w:t>3.我单位具有符合采购文件资格要求的依法缴纳税收和社会保障记录的良好记录。</w:t>
      </w:r>
    </w:p>
    <w:p w14:paraId="07B93852">
      <w:pPr>
        <w:widowControl w:val="0"/>
        <w:wordWrap/>
        <w:adjustRightInd w:val="0"/>
        <w:snapToGrid/>
        <w:spacing w:line="560" w:lineRule="exact"/>
        <w:ind w:firstLine="560" w:firstLineChars="200"/>
        <w:jc w:val="both"/>
        <w:textAlignment w:val="baseline"/>
        <w:rPr>
          <w:rFonts w:hint="eastAsia" w:ascii="仿宋_GB2312" w:hAnsi="宋体" w:eastAsia="仿宋_GB2312" w:cs="Lucida Sans Unicode"/>
          <w:color w:val="auto"/>
          <w:sz w:val="28"/>
          <w:szCs w:val="28"/>
          <w:highlight w:val="none"/>
          <w:lang w:eastAsia="zh-CN"/>
        </w:rPr>
      </w:pPr>
      <w:r>
        <w:rPr>
          <w:rFonts w:hint="eastAsia" w:ascii="仿宋_GB2312" w:hAnsi="宋体" w:eastAsia="仿宋_GB2312" w:cs="Lucida Sans Unicode"/>
          <w:color w:val="auto"/>
          <w:sz w:val="28"/>
          <w:szCs w:val="28"/>
          <w:highlight w:val="none"/>
          <w:lang w:eastAsia="zh-CN"/>
        </w:rPr>
        <w:t>4.我单位具有符合采购文件资格要求履行合同所必需的设备和专业技术能力。</w:t>
      </w:r>
    </w:p>
    <w:p w14:paraId="01FD942A">
      <w:pPr>
        <w:widowControl w:val="0"/>
        <w:wordWrap/>
        <w:adjustRightInd w:val="0"/>
        <w:snapToGrid/>
        <w:spacing w:line="560" w:lineRule="exact"/>
        <w:ind w:firstLine="560" w:firstLineChars="200"/>
        <w:jc w:val="both"/>
        <w:textAlignment w:val="baseline"/>
        <w:rPr>
          <w:rFonts w:hint="eastAsia" w:ascii="仿宋_GB2312" w:hAnsi="宋体" w:eastAsia="仿宋_GB2312" w:cs="Lucida Sans Unicode"/>
          <w:color w:val="auto"/>
          <w:sz w:val="28"/>
          <w:szCs w:val="28"/>
          <w:highlight w:val="none"/>
          <w:lang w:eastAsia="zh-CN"/>
        </w:rPr>
      </w:pPr>
      <w:r>
        <w:rPr>
          <w:rFonts w:hint="eastAsia" w:ascii="仿宋_GB2312" w:hAnsi="宋体" w:eastAsia="仿宋_GB2312" w:cs="Lucida Sans Unicode"/>
          <w:color w:val="auto"/>
          <w:sz w:val="28"/>
          <w:szCs w:val="28"/>
          <w:highlight w:val="none"/>
          <w:lang w:eastAsia="zh-CN"/>
        </w:rPr>
        <w:t>5.参加政府采购活动前三年内，在经营活动中没有重大违法记录。</w:t>
      </w:r>
    </w:p>
    <w:p w14:paraId="54941CD0">
      <w:pPr>
        <w:widowControl w:val="0"/>
        <w:wordWrap/>
        <w:adjustRightInd w:val="0"/>
        <w:snapToGrid/>
        <w:spacing w:line="560" w:lineRule="exact"/>
        <w:ind w:firstLine="560" w:firstLineChars="200"/>
        <w:jc w:val="both"/>
        <w:textAlignment w:val="baseline"/>
        <w:rPr>
          <w:rFonts w:hint="eastAsia" w:ascii="仿宋_GB2312" w:hAnsi="宋体" w:eastAsia="仿宋_GB2312" w:cs="Lucida Sans Unicode"/>
          <w:color w:val="auto"/>
          <w:sz w:val="28"/>
          <w:szCs w:val="28"/>
          <w:highlight w:val="none"/>
          <w:lang w:eastAsia="zh-CN"/>
        </w:rPr>
      </w:pPr>
      <w:r>
        <w:rPr>
          <w:rFonts w:hint="eastAsia" w:ascii="仿宋_GB2312" w:hAnsi="宋体" w:eastAsia="仿宋_GB2312" w:cs="Lucida Sans Unicode"/>
          <w:color w:val="auto"/>
          <w:sz w:val="28"/>
          <w:szCs w:val="28"/>
          <w:highlight w:val="none"/>
          <w:lang w:eastAsia="zh-CN"/>
        </w:rPr>
        <w:t>若我单位承诺不实，自愿承担提供虚假材料谋取中标、成交的法律责任。</w:t>
      </w:r>
    </w:p>
    <w:p w14:paraId="1FA55373">
      <w:pPr>
        <w:widowControl w:val="0"/>
        <w:wordWrap/>
        <w:adjustRightInd w:val="0"/>
        <w:snapToGrid/>
        <w:spacing w:line="560" w:lineRule="exact"/>
        <w:ind w:firstLine="560" w:firstLineChars="200"/>
        <w:jc w:val="right"/>
        <w:textAlignment w:val="baseline"/>
        <w:rPr>
          <w:rFonts w:hint="default" w:ascii="仿宋_GB2312" w:hAnsi="宋体" w:eastAsia="仿宋_GB2312" w:cs="Lucida Sans Unicode"/>
          <w:color w:val="auto"/>
          <w:sz w:val="28"/>
          <w:szCs w:val="28"/>
          <w:highlight w:val="none"/>
          <w:u w:val="single"/>
          <w:lang w:val="en-US" w:eastAsia="zh-CN"/>
        </w:rPr>
      </w:pPr>
      <w:r>
        <w:rPr>
          <w:rFonts w:hint="eastAsia" w:ascii="仿宋_GB2312" w:hAnsi="宋体" w:eastAsia="仿宋_GB2312" w:cs="Lucida Sans Unicode"/>
          <w:color w:val="auto"/>
          <w:sz w:val="28"/>
          <w:szCs w:val="28"/>
          <w:highlight w:val="none"/>
          <w:lang w:eastAsia="zh-CN"/>
        </w:rPr>
        <w:t>承诺供应商（全称并加盖公章）</w:t>
      </w:r>
      <w:r>
        <w:rPr>
          <w:rFonts w:hint="eastAsia" w:ascii="仿宋_GB2312" w:hAnsi="宋体" w:eastAsia="仿宋_GB2312" w:cs="Lucida Sans Unicode"/>
          <w:color w:val="auto"/>
          <w:sz w:val="28"/>
          <w:szCs w:val="28"/>
          <w:highlight w:val="none"/>
          <w:u w:val="single"/>
          <w:lang w:eastAsia="zh-CN"/>
        </w:rPr>
        <w:t>：</w:t>
      </w:r>
      <w:r>
        <w:rPr>
          <w:rFonts w:hint="eastAsia" w:ascii="仿宋_GB2312" w:hAnsi="宋体" w:eastAsia="仿宋_GB2312" w:cs="Lucida Sans Unicode"/>
          <w:color w:val="auto"/>
          <w:sz w:val="28"/>
          <w:szCs w:val="28"/>
          <w:highlight w:val="none"/>
          <w:u w:val="single"/>
          <w:lang w:val="en-US" w:eastAsia="zh-CN"/>
        </w:rPr>
        <w:t xml:space="preserve">             </w:t>
      </w:r>
    </w:p>
    <w:p w14:paraId="6C5AF211">
      <w:pPr>
        <w:widowControl w:val="0"/>
        <w:wordWrap/>
        <w:adjustRightInd w:val="0"/>
        <w:snapToGrid/>
        <w:spacing w:line="560" w:lineRule="exact"/>
        <w:ind w:firstLine="560" w:firstLineChars="200"/>
        <w:jc w:val="right"/>
        <w:textAlignment w:val="baseline"/>
        <w:rPr>
          <w:rFonts w:hint="default" w:ascii="仿宋_GB2312" w:hAnsi="宋体" w:eastAsia="仿宋_GB2312" w:cs="Lucida Sans Unicode"/>
          <w:color w:val="auto"/>
          <w:sz w:val="28"/>
          <w:szCs w:val="28"/>
          <w:highlight w:val="none"/>
          <w:lang w:val="en-US" w:eastAsia="zh-CN"/>
        </w:rPr>
      </w:pPr>
      <w:r>
        <w:rPr>
          <w:rFonts w:hint="eastAsia" w:ascii="仿宋_GB2312" w:hAnsi="宋体" w:eastAsia="仿宋_GB2312" w:cs="Lucida Sans Unicode"/>
          <w:color w:val="auto"/>
          <w:sz w:val="28"/>
          <w:szCs w:val="28"/>
          <w:highlight w:val="none"/>
          <w:lang w:eastAsia="zh-CN"/>
        </w:rPr>
        <w:t>法定代表人或授权代表(签字或签章)</w:t>
      </w:r>
      <w:r>
        <w:rPr>
          <w:rFonts w:hint="eastAsia" w:ascii="仿宋_GB2312" w:hAnsi="宋体" w:eastAsia="仿宋_GB2312" w:cs="Lucida Sans Unicode"/>
          <w:color w:val="auto"/>
          <w:sz w:val="28"/>
          <w:szCs w:val="28"/>
          <w:highlight w:val="none"/>
          <w:u w:val="single"/>
          <w:lang w:eastAsia="zh-CN"/>
        </w:rPr>
        <w:t>：</w:t>
      </w:r>
      <w:r>
        <w:rPr>
          <w:rFonts w:hint="eastAsia" w:ascii="仿宋_GB2312" w:hAnsi="宋体" w:eastAsia="仿宋_GB2312" w:cs="Lucida Sans Unicode"/>
          <w:color w:val="auto"/>
          <w:sz w:val="28"/>
          <w:szCs w:val="28"/>
          <w:highlight w:val="none"/>
          <w:u w:val="single"/>
          <w:lang w:val="en-US" w:eastAsia="zh-CN"/>
        </w:rPr>
        <w:t xml:space="preserve">       </w:t>
      </w:r>
    </w:p>
    <w:p w14:paraId="3296B790">
      <w:pPr>
        <w:widowControl w:val="0"/>
        <w:wordWrap/>
        <w:adjustRightInd w:val="0"/>
        <w:snapToGrid/>
        <w:spacing w:line="560" w:lineRule="exact"/>
        <w:ind w:firstLine="560" w:firstLineChars="200"/>
        <w:jc w:val="right"/>
        <w:textAlignment w:val="baseline"/>
        <w:rPr>
          <w:rFonts w:hint="eastAsia" w:ascii="仿宋_GB2312" w:hAnsi="宋体" w:eastAsia="仿宋_GB2312" w:cs="Lucida Sans Unicode"/>
          <w:color w:val="auto"/>
          <w:sz w:val="28"/>
          <w:szCs w:val="28"/>
          <w:highlight w:val="none"/>
          <w:lang w:eastAsia="zh-CN"/>
        </w:rPr>
      </w:pPr>
    </w:p>
    <w:p w14:paraId="3A980E0A">
      <w:pPr>
        <w:widowControl w:val="0"/>
        <w:wordWrap/>
        <w:adjustRightInd w:val="0"/>
        <w:snapToGrid/>
        <w:spacing w:line="560" w:lineRule="exact"/>
        <w:ind w:firstLine="560" w:firstLineChars="200"/>
        <w:jc w:val="right"/>
        <w:textAlignment w:val="baseline"/>
        <w:rPr>
          <w:rFonts w:hint="eastAsia" w:ascii="仿宋_GB2312" w:hAnsi="宋体" w:eastAsia="仿宋_GB2312" w:cs="Lucida Sans Unicode"/>
          <w:color w:val="auto"/>
          <w:sz w:val="28"/>
          <w:szCs w:val="28"/>
          <w:highlight w:val="none"/>
          <w:lang w:eastAsia="zh-CN"/>
        </w:rPr>
      </w:pPr>
      <w:r>
        <w:rPr>
          <w:rFonts w:hint="eastAsia" w:ascii="仿宋_GB2312" w:hAnsi="宋体" w:eastAsia="仿宋_GB2312" w:cs="Lucida Sans Unicode"/>
          <w:color w:val="auto"/>
          <w:sz w:val="28"/>
          <w:szCs w:val="28"/>
          <w:highlight w:val="none"/>
          <w:lang w:eastAsia="zh-CN"/>
        </w:rPr>
        <w:t>日期：</w:t>
      </w:r>
      <w:r>
        <w:rPr>
          <w:rFonts w:hint="eastAsia" w:ascii="仿宋_GB2312" w:hAnsi="宋体" w:eastAsia="仿宋_GB2312" w:cs="Lucida Sans Unicode"/>
          <w:color w:val="auto"/>
          <w:sz w:val="28"/>
          <w:szCs w:val="28"/>
          <w:highlight w:val="none"/>
          <w:lang w:val="en-US" w:eastAsia="zh-CN"/>
        </w:rPr>
        <w:t xml:space="preserve">  </w:t>
      </w:r>
      <w:r>
        <w:rPr>
          <w:rFonts w:hint="eastAsia" w:ascii="仿宋_GB2312" w:hAnsi="宋体" w:eastAsia="仿宋_GB2312" w:cs="Lucida Sans Unicode"/>
          <w:color w:val="auto"/>
          <w:sz w:val="28"/>
          <w:szCs w:val="28"/>
          <w:highlight w:val="none"/>
          <w:lang w:eastAsia="zh-CN"/>
        </w:rPr>
        <w:t>年</w:t>
      </w:r>
      <w:r>
        <w:rPr>
          <w:rFonts w:hint="eastAsia" w:ascii="仿宋_GB2312" w:hAnsi="宋体" w:eastAsia="仿宋_GB2312" w:cs="Lucida Sans Unicode"/>
          <w:color w:val="auto"/>
          <w:sz w:val="28"/>
          <w:szCs w:val="28"/>
          <w:highlight w:val="none"/>
          <w:lang w:val="en-US" w:eastAsia="zh-CN"/>
        </w:rPr>
        <w:t xml:space="preserve">    </w:t>
      </w:r>
      <w:r>
        <w:rPr>
          <w:rFonts w:hint="eastAsia" w:ascii="仿宋_GB2312" w:hAnsi="宋体" w:eastAsia="仿宋_GB2312" w:cs="Lucida Sans Unicode"/>
          <w:color w:val="auto"/>
          <w:sz w:val="28"/>
          <w:szCs w:val="28"/>
          <w:highlight w:val="none"/>
          <w:lang w:eastAsia="zh-CN"/>
        </w:rPr>
        <w:t>月</w:t>
      </w:r>
      <w:r>
        <w:rPr>
          <w:rFonts w:hint="eastAsia" w:ascii="仿宋_GB2312" w:hAnsi="宋体" w:eastAsia="仿宋_GB2312" w:cs="Lucida Sans Unicode"/>
          <w:color w:val="auto"/>
          <w:sz w:val="28"/>
          <w:szCs w:val="28"/>
          <w:highlight w:val="none"/>
          <w:lang w:val="en-US" w:eastAsia="zh-CN"/>
        </w:rPr>
        <w:t xml:space="preserve">    </w:t>
      </w:r>
      <w:r>
        <w:rPr>
          <w:rFonts w:hint="eastAsia" w:ascii="仿宋_GB2312" w:hAnsi="宋体" w:eastAsia="仿宋_GB2312" w:cs="Lucida Sans Unicode"/>
          <w:color w:val="auto"/>
          <w:sz w:val="28"/>
          <w:szCs w:val="28"/>
          <w:highlight w:val="none"/>
          <w:lang w:eastAsia="zh-CN"/>
        </w:rPr>
        <w:t>日</w:t>
      </w:r>
    </w:p>
    <w:p w14:paraId="4C684AE7">
      <w:pPr>
        <w:widowControl w:val="0"/>
        <w:wordWrap/>
        <w:adjustRightInd w:val="0"/>
        <w:snapToGrid/>
        <w:spacing w:line="560" w:lineRule="exact"/>
        <w:ind w:firstLine="560" w:firstLineChars="200"/>
        <w:jc w:val="left"/>
        <w:textAlignment w:val="baseline"/>
        <w:rPr>
          <w:rFonts w:hint="eastAsia" w:ascii="仿宋_GB2312" w:hAnsi="宋体" w:eastAsia="仿宋_GB2312" w:cs="Lucida Sans Unicode"/>
          <w:color w:val="auto"/>
          <w:sz w:val="28"/>
          <w:szCs w:val="28"/>
          <w:highlight w:val="none"/>
          <w:lang w:eastAsia="zh-CN"/>
        </w:rPr>
      </w:pPr>
      <w:r>
        <w:rPr>
          <w:rFonts w:hint="eastAsia" w:ascii="仿宋_GB2312" w:hAnsi="宋体" w:eastAsia="仿宋_GB2312" w:cs="Lucida Sans Unicode"/>
          <w:color w:val="auto"/>
          <w:sz w:val="28"/>
          <w:szCs w:val="28"/>
          <w:highlight w:val="none"/>
          <w:lang w:eastAsia="zh-CN"/>
        </w:rPr>
        <w:t>注：1.</w:t>
      </w:r>
      <w:r>
        <w:rPr>
          <w:rFonts w:hint="eastAsia" w:ascii="仿宋_GB2312" w:hAnsi="宋体" w:eastAsia="仿宋_GB2312" w:cs="Lucida Sans Unicode"/>
          <w:color w:val="auto"/>
          <w:sz w:val="28"/>
          <w:szCs w:val="28"/>
          <w:highlight w:val="none"/>
          <w:lang w:val="en-US" w:eastAsia="zh-CN"/>
        </w:rPr>
        <w:t>供应商</w:t>
      </w:r>
      <w:r>
        <w:rPr>
          <w:rFonts w:hint="eastAsia" w:ascii="仿宋_GB2312" w:hAnsi="宋体" w:eastAsia="仿宋_GB2312" w:cs="Lucida Sans Unicode"/>
          <w:color w:val="auto"/>
          <w:sz w:val="28"/>
          <w:szCs w:val="28"/>
          <w:highlight w:val="none"/>
          <w:lang w:eastAsia="zh-CN"/>
        </w:rPr>
        <w:t>须在</w:t>
      </w:r>
      <w:r>
        <w:rPr>
          <w:rFonts w:hint="eastAsia" w:ascii="仿宋_GB2312" w:hAnsi="宋体" w:eastAsia="仿宋_GB2312" w:cs="Lucida Sans Unicode"/>
          <w:color w:val="auto"/>
          <w:sz w:val="28"/>
          <w:szCs w:val="28"/>
          <w:highlight w:val="none"/>
          <w:lang w:val="en-US" w:eastAsia="zh-CN"/>
        </w:rPr>
        <w:t>响应性</w:t>
      </w:r>
      <w:r>
        <w:rPr>
          <w:rFonts w:hint="eastAsia" w:ascii="仿宋_GB2312" w:hAnsi="宋体" w:eastAsia="仿宋_GB2312" w:cs="Lucida Sans Unicode"/>
          <w:color w:val="auto"/>
          <w:sz w:val="28"/>
          <w:szCs w:val="28"/>
          <w:highlight w:val="none"/>
          <w:lang w:eastAsia="zh-CN"/>
        </w:rPr>
        <w:t>文件中按此模板提供承诺函，未提供视为未实质性响应</w:t>
      </w:r>
      <w:r>
        <w:rPr>
          <w:rFonts w:hint="eastAsia" w:ascii="仿宋_GB2312" w:hAnsi="宋体" w:eastAsia="仿宋_GB2312" w:cs="Lucida Sans Unicode"/>
          <w:color w:val="auto"/>
          <w:sz w:val="28"/>
          <w:szCs w:val="28"/>
          <w:highlight w:val="none"/>
          <w:lang w:val="en-US" w:eastAsia="zh-CN"/>
        </w:rPr>
        <w:t>竞争性磋商</w:t>
      </w:r>
      <w:r>
        <w:rPr>
          <w:rFonts w:hint="eastAsia" w:ascii="仿宋_GB2312" w:hAnsi="宋体" w:eastAsia="仿宋_GB2312" w:cs="Lucida Sans Unicode"/>
          <w:color w:val="auto"/>
          <w:sz w:val="28"/>
          <w:szCs w:val="28"/>
          <w:highlight w:val="none"/>
          <w:lang w:eastAsia="zh-CN"/>
        </w:rPr>
        <w:t>文件要求，按无效</w:t>
      </w:r>
      <w:r>
        <w:rPr>
          <w:rFonts w:hint="eastAsia" w:ascii="仿宋_GB2312" w:hAnsi="宋体" w:eastAsia="仿宋_GB2312" w:cs="Lucida Sans Unicode"/>
          <w:color w:val="auto"/>
          <w:sz w:val="28"/>
          <w:szCs w:val="28"/>
          <w:highlight w:val="none"/>
          <w:lang w:val="en-US" w:eastAsia="zh-CN"/>
        </w:rPr>
        <w:t>响应</w:t>
      </w:r>
      <w:r>
        <w:rPr>
          <w:rFonts w:hint="eastAsia" w:ascii="仿宋_GB2312" w:hAnsi="宋体" w:eastAsia="仿宋_GB2312" w:cs="Lucida Sans Unicode"/>
          <w:color w:val="auto"/>
          <w:sz w:val="28"/>
          <w:szCs w:val="28"/>
          <w:highlight w:val="none"/>
          <w:lang w:eastAsia="zh-CN"/>
        </w:rPr>
        <w:t>处理。</w:t>
      </w:r>
    </w:p>
    <w:p w14:paraId="6ADE260F">
      <w:pPr>
        <w:widowControl w:val="0"/>
        <w:wordWrap/>
        <w:adjustRightInd w:val="0"/>
        <w:snapToGrid/>
        <w:spacing w:line="560" w:lineRule="exact"/>
        <w:ind w:firstLine="560" w:firstLineChars="200"/>
        <w:jc w:val="left"/>
        <w:textAlignment w:val="baseline"/>
        <w:rPr>
          <w:rFonts w:hint="eastAsia" w:ascii="仿宋_GB2312" w:hAnsi="宋体" w:eastAsia="仿宋_GB2312" w:cs="Lucida Sans Unicode"/>
          <w:color w:val="auto"/>
          <w:sz w:val="28"/>
          <w:szCs w:val="28"/>
          <w:highlight w:val="none"/>
          <w:lang w:eastAsia="zh-CN"/>
        </w:rPr>
      </w:pPr>
      <w:r>
        <w:rPr>
          <w:rFonts w:hint="eastAsia" w:ascii="仿宋_GB2312" w:hAnsi="宋体" w:eastAsia="仿宋_GB2312" w:cs="Lucida Sans Unicode"/>
          <w:color w:val="auto"/>
          <w:sz w:val="28"/>
          <w:szCs w:val="28"/>
          <w:highlight w:val="none"/>
          <w:lang w:val="en-US" w:eastAsia="zh-CN"/>
        </w:rPr>
        <w:t>2.</w:t>
      </w:r>
      <w:r>
        <w:rPr>
          <w:rFonts w:hint="eastAsia" w:ascii="仿宋_GB2312" w:hAnsi="宋体" w:eastAsia="仿宋_GB2312" w:cs="Lucida Sans Unicode"/>
          <w:color w:val="auto"/>
          <w:sz w:val="28"/>
          <w:szCs w:val="28"/>
          <w:highlight w:val="none"/>
          <w:lang w:eastAsia="zh-CN"/>
        </w:rPr>
        <w:t>供应商的法定代表人（其他组织的为负责人）或者授权代表的签字或盖章应真实、有效，如由授权代表签字或盖章的，应提供“授权委托书”。</w:t>
      </w:r>
    </w:p>
    <w:p w14:paraId="66BA5C96">
      <w:pPr>
        <w:numPr>
          <w:ilvl w:val="0"/>
          <w:numId w:val="0"/>
        </w:numPr>
        <w:spacing w:line="360" w:lineRule="auto"/>
        <w:jc w:val="center"/>
        <w:rPr>
          <w:rFonts w:hint="eastAsia" w:ascii="黑体" w:eastAsia="黑体"/>
          <w:color w:val="auto"/>
          <w:sz w:val="28"/>
          <w:szCs w:val="28"/>
          <w:highlight w:val="none"/>
        </w:rPr>
      </w:pPr>
    </w:p>
    <w:p w14:paraId="3236CFEB">
      <w:pPr>
        <w:numPr>
          <w:ilvl w:val="0"/>
          <w:numId w:val="0"/>
        </w:numPr>
        <w:spacing w:line="360" w:lineRule="auto"/>
        <w:jc w:val="center"/>
        <w:rPr>
          <w:rFonts w:hint="eastAsia" w:ascii="黑体" w:eastAsia="黑体"/>
          <w:color w:val="auto"/>
          <w:sz w:val="28"/>
          <w:szCs w:val="28"/>
          <w:highlight w:val="none"/>
        </w:rPr>
      </w:pPr>
    </w:p>
    <w:p w14:paraId="4E31EB69">
      <w:pPr>
        <w:numPr>
          <w:ilvl w:val="0"/>
          <w:numId w:val="0"/>
        </w:numPr>
        <w:spacing w:line="360" w:lineRule="auto"/>
        <w:jc w:val="center"/>
        <w:rPr>
          <w:rFonts w:hint="eastAsia" w:ascii="黑体" w:eastAsia="黑体"/>
          <w:color w:val="auto"/>
          <w:sz w:val="28"/>
          <w:szCs w:val="28"/>
          <w:highlight w:val="none"/>
        </w:rPr>
      </w:pPr>
    </w:p>
    <w:p w14:paraId="2E9AABC2">
      <w:pPr>
        <w:numPr>
          <w:ilvl w:val="0"/>
          <w:numId w:val="0"/>
        </w:numPr>
        <w:spacing w:line="360" w:lineRule="auto"/>
        <w:jc w:val="center"/>
        <w:rPr>
          <w:rFonts w:hint="eastAsia" w:ascii="黑体" w:eastAsia="黑体"/>
          <w:color w:val="auto"/>
          <w:sz w:val="28"/>
          <w:szCs w:val="28"/>
          <w:highlight w:val="none"/>
        </w:rPr>
      </w:pPr>
    </w:p>
    <w:p w14:paraId="2A0827EA">
      <w:pPr>
        <w:numPr>
          <w:ilvl w:val="0"/>
          <w:numId w:val="0"/>
        </w:numPr>
        <w:spacing w:line="360" w:lineRule="auto"/>
        <w:jc w:val="center"/>
        <w:rPr>
          <w:rFonts w:hint="eastAsia" w:ascii="黑体" w:eastAsia="黑体"/>
          <w:color w:val="auto"/>
          <w:sz w:val="28"/>
          <w:szCs w:val="28"/>
          <w:highlight w:val="none"/>
        </w:rPr>
      </w:pPr>
    </w:p>
    <w:p w14:paraId="31405E82">
      <w:pPr>
        <w:numPr>
          <w:ilvl w:val="0"/>
          <w:numId w:val="0"/>
        </w:numPr>
        <w:spacing w:line="360" w:lineRule="auto"/>
        <w:jc w:val="center"/>
        <w:rPr>
          <w:rFonts w:hint="eastAsia" w:ascii="黑体" w:eastAsia="黑体"/>
          <w:color w:val="auto"/>
          <w:sz w:val="28"/>
          <w:szCs w:val="28"/>
          <w:highlight w:val="none"/>
        </w:rPr>
      </w:pPr>
    </w:p>
    <w:p w14:paraId="4C09FFCD">
      <w:pPr>
        <w:numPr>
          <w:ilvl w:val="0"/>
          <w:numId w:val="0"/>
        </w:numPr>
        <w:spacing w:line="360" w:lineRule="auto"/>
        <w:jc w:val="center"/>
        <w:rPr>
          <w:rFonts w:hint="eastAsia" w:ascii="黑体" w:eastAsia="黑体"/>
          <w:color w:val="auto"/>
          <w:sz w:val="28"/>
          <w:szCs w:val="28"/>
          <w:highlight w:val="none"/>
        </w:rPr>
      </w:pPr>
    </w:p>
    <w:p w14:paraId="704349ED">
      <w:pPr>
        <w:numPr>
          <w:ilvl w:val="0"/>
          <w:numId w:val="0"/>
        </w:numPr>
        <w:spacing w:line="360" w:lineRule="auto"/>
        <w:jc w:val="center"/>
        <w:rPr>
          <w:rFonts w:hint="eastAsia" w:ascii="黑体" w:eastAsia="黑体"/>
          <w:color w:val="auto"/>
          <w:sz w:val="28"/>
          <w:szCs w:val="28"/>
          <w:highlight w:val="none"/>
        </w:rPr>
      </w:pPr>
    </w:p>
    <w:p w14:paraId="017D42CB">
      <w:pPr>
        <w:numPr>
          <w:ilvl w:val="0"/>
          <w:numId w:val="0"/>
        </w:numPr>
        <w:spacing w:line="360" w:lineRule="auto"/>
        <w:jc w:val="center"/>
        <w:rPr>
          <w:rFonts w:hint="eastAsia" w:ascii="黑体" w:eastAsia="黑体"/>
          <w:color w:val="auto"/>
          <w:sz w:val="28"/>
          <w:szCs w:val="28"/>
          <w:highlight w:val="none"/>
        </w:rPr>
      </w:pPr>
    </w:p>
    <w:p w14:paraId="147BF74F">
      <w:pPr>
        <w:numPr>
          <w:ilvl w:val="0"/>
          <w:numId w:val="0"/>
        </w:numPr>
        <w:spacing w:line="360" w:lineRule="auto"/>
        <w:jc w:val="center"/>
        <w:rPr>
          <w:rFonts w:hint="eastAsia" w:ascii="黑体" w:eastAsia="黑体"/>
          <w:color w:val="auto"/>
          <w:sz w:val="28"/>
          <w:szCs w:val="28"/>
          <w:highlight w:val="none"/>
        </w:rPr>
      </w:pPr>
    </w:p>
    <w:p w14:paraId="74AB2A07">
      <w:pPr>
        <w:numPr>
          <w:ilvl w:val="0"/>
          <w:numId w:val="0"/>
        </w:numPr>
        <w:spacing w:line="360" w:lineRule="auto"/>
        <w:jc w:val="center"/>
        <w:rPr>
          <w:rFonts w:hint="eastAsia" w:ascii="黑体" w:eastAsia="黑体"/>
          <w:color w:val="auto"/>
          <w:sz w:val="28"/>
          <w:szCs w:val="28"/>
          <w:highlight w:val="none"/>
        </w:rPr>
      </w:pPr>
    </w:p>
    <w:p w14:paraId="514C28D1">
      <w:pPr>
        <w:numPr>
          <w:ilvl w:val="0"/>
          <w:numId w:val="0"/>
        </w:numPr>
        <w:spacing w:line="360" w:lineRule="auto"/>
        <w:jc w:val="center"/>
        <w:rPr>
          <w:rFonts w:hint="eastAsia" w:ascii="黑体" w:eastAsia="黑体"/>
          <w:color w:val="auto"/>
          <w:sz w:val="28"/>
          <w:szCs w:val="28"/>
          <w:highlight w:val="none"/>
        </w:rPr>
      </w:pPr>
    </w:p>
    <w:p w14:paraId="357AC375">
      <w:pPr>
        <w:numPr>
          <w:ilvl w:val="0"/>
          <w:numId w:val="0"/>
        </w:numPr>
        <w:spacing w:line="360" w:lineRule="auto"/>
        <w:jc w:val="center"/>
        <w:rPr>
          <w:rFonts w:hint="eastAsia" w:ascii="黑体" w:eastAsia="黑体"/>
          <w:color w:val="auto"/>
          <w:sz w:val="28"/>
          <w:szCs w:val="28"/>
          <w:highlight w:val="none"/>
        </w:rPr>
      </w:pPr>
    </w:p>
    <w:p w14:paraId="7AF7FA74">
      <w:pPr>
        <w:numPr>
          <w:ilvl w:val="0"/>
          <w:numId w:val="0"/>
        </w:numPr>
        <w:spacing w:line="360" w:lineRule="auto"/>
        <w:jc w:val="center"/>
        <w:rPr>
          <w:rFonts w:hint="eastAsia" w:ascii="黑体" w:eastAsia="黑体"/>
          <w:color w:val="auto"/>
          <w:sz w:val="28"/>
          <w:szCs w:val="28"/>
          <w:highlight w:val="none"/>
        </w:rPr>
      </w:pPr>
    </w:p>
    <w:p w14:paraId="1095B9C2">
      <w:pPr>
        <w:numPr>
          <w:ilvl w:val="0"/>
          <w:numId w:val="0"/>
        </w:numPr>
        <w:spacing w:line="360" w:lineRule="auto"/>
        <w:jc w:val="center"/>
        <w:rPr>
          <w:rFonts w:hint="eastAsia" w:ascii="黑体" w:eastAsia="黑体"/>
          <w:color w:val="auto"/>
          <w:sz w:val="28"/>
          <w:szCs w:val="28"/>
          <w:highlight w:val="none"/>
        </w:rPr>
      </w:pPr>
    </w:p>
    <w:p w14:paraId="597F7C43">
      <w:pPr>
        <w:numPr>
          <w:ilvl w:val="0"/>
          <w:numId w:val="0"/>
        </w:numPr>
        <w:spacing w:line="360" w:lineRule="auto"/>
        <w:jc w:val="center"/>
        <w:rPr>
          <w:rFonts w:hint="eastAsia" w:ascii="黑体" w:eastAsia="黑体"/>
          <w:color w:val="auto"/>
          <w:sz w:val="28"/>
          <w:szCs w:val="28"/>
          <w:highlight w:val="none"/>
        </w:rPr>
      </w:pPr>
    </w:p>
    <w:p w14:paraId="4730D115">
      <w:pPr>
        <w:numPr>
          <w:ilvl w:val="0"/>
          <w:numId w:val="0"/>
        </w:numPr>
        <w:spacing w:line="360" w:lineRule="auto"/>
        <w:jc w:val="center"/>
        <w:rPr>
          <w:rFonts w:hint="eastAsia" w:ascii="黑体" w:eastAsia="黑体"/>
          <w:color w:val="auto"/>
          <w:sz w:val="28"/>
          <w:szCs w:val="28"/>
          <w:highlight w:val="none"/>
        </w:rPr>
      </w:pPr>
    </w:p>
    <w:p w14:paraId="359E0964">
      <w:pPr>
        <w:numPr>
          <w:ilvl w:val="0"/>
          <w:numId w:val="0"/>
        </w:numPr>
        <w:spacing w:line="360" w:lineRule="auto"/>
        <w:jc w:val="center"/>
        <w:rPr>
          <w:rFonts w:hint="eastAsia" w:ascii="黑体" w:eastAsia="黑体"/>
          <w:color w:val="auto"/>
          <w:sz w:val="28"/>
          <w:szCs w:val="28"/>
          <w:highlight w:val="none"/>
        </w:rPr>
      </w:pPr>
    </w:p>
    <w:p w14:paraId="7D53F03D">
      <w:pPr>
        <w:spacing w:line="360" w:lineRule="auto"/>
        <w:jc w:val="left"/>
        <w:rPr>
          <w:rFonts w:ascii="仿宋_GB2312" w:hAnsi="宋体" w:eastAsia="仿宋_GB2312" w:cs="Lucida Sans Unicode"/>
          <w:color w:val="auto"/>
          <w:sz w:val="28"/>
          <w:szCs w:val="28"/>
          <w:highlight w:val="none"/>
        </w:rPr>
      </w:pPr>
      <w:r>
        <w:rPr>
          <w:rFonts w:hint="eastAsia" w:ascii="仿宋_GB2312" w:eastAsia="仿宋_GB2312"/>
          <w:color w:val="auto"/>
          <w:sz w:val="30"/>
          <w:szCs w:val="30"/>
          <w:highlight w:val="none"/>
        </w:rPr>
        <w:br w:type="page"/>
      </w:r>
      <w:r>
        <w:rPr>
          <w:rFonts w:hint="eastAsia" w:ascii="仿宋_GB2312" w:hAnsi="宋体" w:eastAsia="仿宋_GB2312" w:cs="Lucida Sans Unicode"/>
          <w:color w:val="auto"/>
          <w:sz w:val="28"/>
          <w:szCs w:val="28"/>
          <w:highlight w:val="none"/>
        </w:rPr>
        <w:t>格式</w:t>
      </w:r>
      <w:r>
        <w:rPr>
          <w:rFonts w:hint="eastAsia" w:ascii="仿宋_GB2312" w:hAnsi="宋体" w:eastAsia="仿宋_GB2312" w:cs="Lucida Sans Unicode"/>
          <w:color w:val="auto"/>
          <w:sz w:val="28"/>
          <w:szCs w:val="28"/>
          <w:highlight w:val="none"/>
          <w:lang w:val="en-US" w:eastAsia="zh-CN"/>
        </w:rPr>
        <w:t>4</w:t>
      </w:r>
      <w:r>
        <w:rPr>
          <w:rFonts w:hint="eastAsia" w:ascii="仿宋_GB2312" w:hAnsi="宋体" w:eastAsia="仿宋_GB2312" w:cs="Lucida Sans Unicode"/>
          <w:color w:val="auto"/>
          <w:sz w:val="28"/>
          <w:szCs w:val="28"/>
          <w:highlight w:val="none"/>
        </w:rPr>
        <w:t>-1</w:t>
      </w:r>
    </w:p>
    <w:p w14:paraId="77DE9462">
      <w:pPr>
        <w:spacing w:line="360" w:lineRule="auto"/>
        <w:jc w:val="center"/>
        <w:rPr>
          <w:rFonts w:ascii="黑体" w:eastAsia="黑体"/>
          <w:color w:val="auto"/>
          <w:sz w:val="28"/>
          <w:szCs w:val="28"/>
          <w:highlight w:val="none"/>
        </w:rPr>
      </w:pPr>
      <w:r>
        <w:rPr>
          <w:rFonts w:hint="eastAsia" w:ascii="黑体" w:eastAsia="黑体"/>
          <w:color w:val="auto"/>
          <w:sz w:val="28"/>
          <w:szCs w:val="28"/>
          <w:highlight w:val="none"/>
        </w:rPr>
        <w:t>法定代表人身份证明书</w:t>
      </w:r>
    </w:p>
    <w:p w14:paraId="4B992A66">
      <w:pPr>
        <w:spacing w:line="360" w:lineRule="auto"/>
        <w:jc w:val="center"/>
        <w:rPr>
          <w:rFonts w:ascii="黑体" w:eastAsia="黑体"/>
          <w:color w:val="auto"/>
          <w:sz w:val="28"/>
          <w:szCs w:val="28"/>
          <w:highlight w:val="none"/>
        </w:rPr>
      </w:pPr>
      <w:r>
        <w:rPr>
          <w:rFonts w:hint="eastAsia" w:ascii="仿宋_GB2312" w:hAnsi="仿宋_GB2312" w:eastAsia="仿宋_GB2312" w:cs="仿宋_GB2312"/>
          <w:color w:val="auto"/>
          <w:sz w:val="28"/>
          <w:szCs w:val="28"/>
          <w:highlight w:val="none"/>
        </w:rPr>
        <w:t>（法定代表人参加竞争性磋商的，出具此证明书）</w:t>
      </w:r>
    </w:p>
    <w:p w14:paraId="7E208DFB">
      <w:pPr>
        <w:spacing w:line="360" w:lineRule="auto"/>
        <w:ind w:firstLine="560" w:firstLineChars="200"/>
        <w:rPr>
          <w:rFonts w:ascii="仿宋_GB2312" w:eastAsia="仿宋_GB2312"/>
          <w:color w:val="auto"/>
          <w:sz w:val="28"/>
          <w:szCs w:val="28"/>
          <w:highlight w:val="none"/>
        </w:rPr>
      </w:pPr>
    </w:p>
    <w:p w14:paraId="337FE153">
      <w:pPr>
        <w:spacing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同志，系我单位法定代表人，任</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职务。</w:t>
      </w:r>
    </w:p>
    <w:p w14:paraId="125ED116">
      <w:pPr>
        <w:spacing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特此证明。</w:t>
      </w:r>
    </w:p>
    <w:p w14:paraId="4616C84D">
      <w:pPr>
        <w:spacing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附：联系地址：               </w:t>
      </w:r>
    </w:p>
    <w:p w14:paraId="61420E98">
      <w:pPr>
        <w:spacing w:line="360" w:lineRule="auto"/>
        <w:ind w:firstLine="1120" w:firstLineChars="400"/>
        <w:rPr>
          <w:rFonts w:ascii="仿宋_GB2312" w:eastAsia="仿宋_GB2312"/>
          <w:b/>
          <w:color w:val="auto"/>
          <w:sz w:val="28"/>
          <w:szCs w:val="28"/>
          <w:highlight w:val="none"/>
        </w:rPr>
      </w:pPr>
      <w:r>
        <w:rPr>
          <w:rFonts w:hint="eastAsia" w:ascii="仿宋_GB2312" w:eastAsia="仿宋_GB2312"/>
          <w:color w:val="auto"/>
          <w:sz w:val="28"/>
          <w:szCs w:val="28"/>
          <w:highlight w:val="none"/>
        </w:rPr>
        <w:t>联系电话：</w:t>
      </w:r>
    </w:p>
    <w:tbl>
      <w:tblPr>
        <w:tblStyle w:val="21"/>
        <w:tblpPr w:leftFromText="180" w:rightFromText="18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14:paraId="21697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noWrap w:val="0"/>
            <w:vAlign w:val="top"/>
          </w:tcPr>
          <w:p w14:paraId="47963F0A">
            <w:pPr>
              <w:spacing w:line="480" w:lineRule="exact"/>
              <w:rPr>
                <w:rFonts w:ascii="楷体_GB2312" w:hAnsi="楷体_GB2312" w:eastAsia="楷体_GB2312" w:cs="Lucida Sans Unicode"/>
                <w:b/>
                <w:bCs/>
                <w:color w:val="auto"/>
                <w:sz w:val="28"/>
                <w:szCs w:val="28"/>
                <w:highlight w:val="none"/>
              </w:rPr>
            </w:pPr>
          </w:p>
          <w:p w14:paraId="5AD261E2">
            <w:pPr>
              <w:spacing w:line="480" w:lineRule="exact"/>
              <w:rPr>
                <w:rFonts w:ascii="楷体_GB2312" w:hAnsi="楷体_GB2312" w:eastAsia="楷体_GB2312" w:cs="Lucida Sans Unicode"/>
                <w:b/>
                <w:bCs/>
                <w:color w:val="auto"/>
                <w:sz w:val="28"/>
                <w:szCs w:val="28"/>
                <w:highlight w:val="none"/>
              </w:rPr>
            </w:pPr>
          </w:p>
          <w:p w14:paraId="388E9600">
            <w:pPr>
              <w:spacing w:line="480" w:lineRule="exact"/>
              <w:jc w:val="center"/>
              <w:rPr>
                <w:rFonts w:ascii="楷体_GB2312" w:hAnsi="楷体_GB2312" w:eastAsia="楷体_GB2312" w:cs="Lucida Sans Unicode"/>
                <w:b/>
                <w:bCs/>
                <w:color w:val="auto"/>
                <w:sz w:val="28"/>
                <w:szCs w:val="28"/>
                <w:highlight w:val="none"/>
              </w:rPr>
            </w:pPr>
            <w:r>
              <w:rPr>
                <w:rFonts w:hint="eastAsia" w:ascii="楷体_GB2312" w:hAnsi="楷体_GB2312" w:eastAsia="楷体_GB2312" w:cs="Lucida Sans Unicode"/>
                <w:b/>
                <w:bCs/>
                <w:color w:val="auto"/>
                <w:sz w:val="28"/>
                <w:szCs w:val="28"/>
                <w:highlight w:val="none"/>
              </w:rPr>
              <w:t>（※附：法定代表人身份证复印件※）</w:t>
            </w:r>
          </w:p>
          <w:p w14:paraId="4EA4D5C7">
            <w:pPr>
              <w:spacing w:line="480" w:lineRule="exact"/>
              <w:rPr>
                <w:rFonts w:ascii="仿宋_GB2312" w:hAnsi="Lucida Sans Unicode" w:eastAsia="仿宋_GB2312" w:cs="Lucida Sans Unicode"/>
                <w:color w:val="auto"/>
                <w:sz w:val="28"/>
                <w:szCs w:val="28"/>
                <w:highlight w:val="none"/>
              </w:rPr>
            </w:pPr>
          </w:p>
          <w:p w14:paraId="62649DAE">
            <w:pPr>
              <w:spacing w:line="480" w:lineRule="exact"/>
              <w:rPr>
                <w:rFonts w:ascii="仿宋_GB2312" w:hAnsi="Lucida Sans Unicode" w:eastAsia="仿宋_GB2312" w:cs="Lucida Sans Unicode"/>
                <w:color w:val="auto"/>
                <w:sz w:val="28"/>
                <w:szCs w:val="28"/>
                <w:highlight w:val="none"/>
              </w:rPr>
            </w:pPr>
          </w:p>
        </w:tc>
      </w:tr>
    </w:tbl>
    <w:p w14:paraId="7126A24A">
      <w:pPr>
        <w:spacing w:line="360" w:lineRule="auto"/>
        <w:ind w:firstLine="1124" w:firstLineChars="400"/>
        <w:rPr>
          <w:rFonts w:ascii="仿宋_GB2312" w:eastAsia="仿宋_GB2312"/>
          <w:color w:val="auto"/>
          <w:sz w:val="28"/>
          <w:szCs w:val="28"/>
          <w:highlight w:val="none"/>
        </w:rPr>
      </w:pPr>
      <w:r>
        <w:rPr>
          <w:rFonts w:hint="eastAsia" w:ascii="仿宋_GB2312" w:eastAsia="仿宋_GB2312"/>
          <w:b/>
          <w:color w:val="auto"/>
          <w:sz w:val="28"/>
          <w:szCs w:val="28"/>
          <w:highlight w:val="none"/>
        </w:rPr>
        <w:t xml:space="preserve">               </w:t>
      </w:r>
    </w:p>
    <w:p w14:paraId="1C5BE654">
      <w:pPr>
        <w:spacing w:line="360" w:lineRule="auto"/>
        <w:ind w:firstLine="4480" w:firstLineChars="1600"/>
        <w:rPr>
          <w:rFonts w:ascii="仿宋_GB2312" w:eastAsia="仿宋_GB2312"/>
          <w:color w:val="auto"/>
          <w:sz w:val="28"/>
          <w:szCs w:val="28"/>
          <w:highlight w:val="none"/>
        </w:rPr>
      </w:pPr>
    </w:p>
    <w:p w14:paraId="30FC7497">
      <w:pPr>
        <w:spacing w:line="360" w:lineRule="auto"/>
        <w:ind w:firstLine="4480" w:firstLineChars="1600"/>
        <w:rPr>
          <w:rFonts w:ascii="仿宋_GB2312" w:eastAsia="仿宋_GB2312"/>
          <w:color w:val="auto"/>
          <w:sz w:val="28"/>
          <w:szCs w:val="28"/>
          <w:highlight w:val="none"/>
        </w:rPr>
      </w:pPr>
    </w:p>
    <w:p w14:paraId="1619B4CC">
      <w:pPr>
        <w:spacing w:line="360" w:lineRule="auto"/>
        <w:ind w:firstLine="4480" w:firstLineChars="1600"/>
        <w:rPr>
          <w:rFonts w:ascii="仿宋_GB2312" w:eastAsia="仿宋_GB2312"/>
          <w:color w:val="auto"/>
          <w:sz w:val="28"/>
          <w:szCs w:val="28"/>
          <w:highlight w:val="none"/>
        </w:rPr>
      </w:pPr>
    </w:p>
    <w:p w14:paraId="2F96B965">
      <w:pPr>
        <w:spacing w:line="360" w:lineRule="auto"/>
        <w:jc w:val="center"/>
        <w:rPr>
          <w:rFonts w:ascii="仿宋_GB2312" w:eastAsia="仿宋_GB2312"/>
          <w:color w:val="auto"/>
          <w:sz w:val="28"/>
          <w:szCs w:val="28"/>
          <w:highlight w:val="none"/>
        </w:rPr>
      </w:pPr>
    </w:p>
    <w:p w14:paraId="2E3AF7AE">
      <w:pPr>
        <w:spacing w:line="360" w:lineRule="auto"/>
        <w:jc w:val="center"/>
        <w:rPr>
          <w:rFonts w:ascii="仿宋_GB2312" w:eastAsia="仿宋_GB2312"/>
          <w:color w:val="auto"/>
          <w:sz w:val="28"/>
          <w:szCs w:val="28"/>
          <w:highlight w:val="none"/>
        </w:rPr>
      </w:pPr>
    </w:p>
    <w:p w14:paraId="5AB4ED2C">
      <w:pPr>
        <w:spacing w:line="360" w:lineRule="auto"/>
        <w:jc w:val="center"/>
        <w:rPr>
          <w:rFonts w:ascii="仿宋_GB2312" w:eastAsia="仿宋_GB2312"/>
          <w:color w:val="auto"/>
          <w:sz w:val="28"/>
          <w:szCs w:val="28"/>
          <w:highlight w:val="none"/>
        </w:rPr>
      </w:pPr>
    </w:p>
    <w:p w14:paraId="3A0515C3">
      <w:pPr>
        <w:spacing w:line="360" w:lineRule="auto"/>
        <w:ind w:firstLine="4480" w:firstLineChars="160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供应商名称（单位公章）： </w:t>
      </w:r>
    </w:p>
    <w:p w14:paraId="3F48EA0B">
      <w:pPr>
        <w:spacing w:line="360" w:lineRule="auto"/>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                年   月  日</w:t>
      </w:r>
    </w:p>
    <w:p w14:paraId="17D8656E">
      <w:pPr>
        <w:spacing w:line="360" w:lineRule="auto"/>
        <w:jc w:val="center"/>
        <w:rPr>
          <w:rFonts w:ascii="仿宋_GB2312" w:eastAsia="仿宋_GB2312"/>
          <w:color w:val="auto"/>
          <w:sz w:val="30"/>
          <w:szCs w:val="30"/>
          <w:highlight w:val="none"/>
        </w:rPr>
      </w:pPr>
    </w:p>
    <w:p w14:paraId="31A1697E">
      <w:pPr>
        <w:spacing w:line="360" w:lineRule="auto"/>
        <w:rPr>
          <w:rFonts w:ascii="仿宋_GB2312" w:eastAsia="仿宋_GB2312"/>
          <w:color w:val="auto"/>
          <w:sz w:val="30"/>
          <w:szCs w:val="30"/>
          <w:highlight w:val="none"/>
        </w:rPr>
      </w:pPr>
    </w:p>
    <w:p w14:paraId="54F5806D">
      <w:pPr>
        <w:spacing w:line="360" w:lineRule="auto"/>
        <w:rPr>
          <w:rFonts w:ascii="仿宋_GB2312" w:eastAsia="仿宋_GB2312"/>
          <w:color w:val="auto"/>
          <w:sz w:val="30"/>
          <w:szCs w:val="30"/>
          <w:highlight w:val="none"/>
        </w:rPr>
      </w:pPr>
    </w:p>
    <w:p w14:paraId="2AB459A6">
      <w:pPr>
        <w:spacing w:line="360" w:lineRule="auto"/>
        <w:jc w:val="left"/>
        <w:rPr>
          <w:rFonts w:ascii="仿宋_GB2312" w:hAnsi="宋体" w:eastAsia="仿宋_GB2312" w:cs="Lucida Sans Unicode"/>
          <w:color w:val="auto"/>
          <w:sz w:val="30"/>
          <w:szCs w:val="30"/>
          <w:highlight w:val="none"/>
        </w:rPr>
      </w:pPr>
    </w:p>
    <w:p w14:paraId="47753D23">
      <w:pPr>
        <w:spacing w:line="360" w:lineRule="auto"/>
        <w:jc w:val="left"/>
        <w:rPr>
          <w:rFonts w:ascii="仿宋_GB2312" w:hAnsi="宋体" w:eastAsia="仿宋_GB2312" w:cs="Lucida Sans Unicode"/>
          <w:color w:val="auto"/>
          <w:sz w:val="28"/>
          <w:szCs w:val="28"/>
          <w:highlight w:val="none"/>
        </w:rPr>
      </w:pPr>
      <w:r>
        <w:rPr>
          <w:rFonts w:hint="eastAsia" w:ascii="仿宋_GB2312" w:hAnsi="宋体" w:eastAsia="仿宋_GB2312" w:cs="Lucida Sans Unicode"/>
          <w:color w:val="auto"/>
          <w:sz w:val="28"/>
          <w:szCs w:val="28"/>
          <w:highlight w:val="none"/>
        </w:rPr>
        <w:t>格式</w:t>
      </w:r>
      <w:r>
        <w:rPr>
          <w:rFonts w:hint="eastAsia" w:ascii="仿宋_GB2312" w:hAnsi="宋体" w:eastAsia="仿宋_GB2312" w:cs="Lucida Sans Unicode"/>
          <w:color w:val="auto"/>
          <w:sz w:val="28"/>
          <w:szCs w:val="28"/>
          <w:highlight w:val="none"/>
          <w:lang w:val="en-US" w:eastAsia="zh-CN"/>
        </w:rPr>
        <w:t>4</w:t>
      </w:r>
      <w:r>
        <w:rPr>
          <w:rFonts w:hint="eastAsia" w:ascii="仿宋_GB2312" w:hAnsi="宋体" w:eastAsia="仿宋_GB2312" w:cs="Lucida Sans Unicode"/>
          <w:color w:val="auto"/>
          <w:sz w:val="28"/>
          <w:szCs w:val="28"/>
          <w:highlight w:val="none"/>
        </w:rPr>
        <w:t>-2</w:t>
      </w:r>
    </w:p>
    <w:p w14:paraId="0DF62765">
      <w:pPr>
        <w:spacing w:line="360" w:lineRule="auto"/>
        <w:ind w:firstLine="560" w:firstLineChars="200"/>
        <w:jc w:val="center"/>
        <w:rPr>
          <w:rFonts w:ascii="黑体" w:eastAsia="黑体"/>
          <w:color w:val="auto"/>
          <w:sz w:val="28"/>
          <w:szCs w:val="28"/>
          <w:highlight w:val="none"/>
        </w:rPr>
      </w:pPr>
      <w:r>
        <w:rPr>
          <w:rFonts w:hint="eastAsia" w:ascii="黑体" w:eastAsia="黑体"/>
          <w:color w:val="auto"/>
          <w:sz w:val="28"/>
          <w:szCs w:val="28"/>
          <w:highlight w:val="none"/>
        </w:rPr>
        <w:t>授权委托书</w:t>
      </w:r>
    </w:p>
    <w:p w14:paraId="71B2226D">
      <w:pPr>
        <w:spacing w:line="360" w:lineRule="auto"/>
        <w:jc w:val="center"/>
        <w:rPr>
          <w:rFonts w:ascii="黑体" w:eastAsia="黑体"/>
          <w:color w:val="auto"/>
          <w:sz w:val="28"/>
          <w:szCs w:val="28"/>
          <w:highlight w:val="none"/>
        </w:rPr>
      </w:pPr>
      <w:r>
        <w:rPr>
          <w:rFonts w:hint="eastAsia" w:ascii="仿宋_GB2312" w:hAnsi="仿宋_GB2312" w:eastAsia="仿宋_GB2312" w:cs="仿宋_GB2312"/>
          <w:color w:val="auto"/>
          <w:sz w:val="28"/>
          <w:szCs w:val="28"/>
          <w:highlight w:val="none"/>
        </w:rPr>
        <w:t>（委托代理人参加竞争性磋商的，出具此证明书）</w:t>
      </w:r>
    </w:p>
    <w:p w14:paraId="78C17E19">
      <w:pPr>
        <w:spacing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 </w:t>
      </w:r>
    </w:p>
    <w:p w14:paraId="5CAA327C">
      <w:pPr>
        <w:spacing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委托人授权</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（被委托人的姓名、职务）为委托人的委托代理人，就项目编号为</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号的</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项目及合同的执行，以本单位名义处理一切与之有关的事务。</w:t>
      </w:r>
    </w:p>
    <w:p w14:paraId="480262D1">
      <w:pPr>
        <w:spacing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本授权书于</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年</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月</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日签字生效，特此声明。</w:t>
      </w:r>
    </w:p>
    <w:p w14:paraId="31AF2D8E">
      <w:pPr>
        <w:spacing w:line="360" w:lineRule="auto"/>
        <w:rPr>
          <w:rFonts w:ascii="仿宋_GB2312" w:eastAsia="仿宋_GB2312"/>
          <w:color w:val="auto"/>
          <w:sz w:val="28"/>
          <w:szCs w:val="28"/>
          <w:highlight w:val="none"/>
        </w:rPr>
      </w:pPr>
    </w:p>
    <w:p w14:paraId="6C8F4372">
      <w:pPr>
        <w:spacing w:line="360" w:lineRule="auto"/>
        <w:ind w:firstLine="560" w:firstLineChars="200"/>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rPr>
        <w:t>委托人：单位名称（单位公章）           被委托人：</w:t>
      </w:r>
      <w:r>
        <w:rPr>
          <w:rFonts w:hint="eastAsia" w:ascii="仿宋_GB2312" w:eastAsia="仿宋_GB2312"/>
          <w:color w:val="auto"/>
          <w:sz w:val="28"/>
          <w:szCs w:val="28"/>
          <w:highlight w:val="none"/>
          <w:lang w:eastAsia="zh-CN"/>
        </w:rPr>
        <w:t>（</w:t>
      </w:r>
      <w:r>
        <w:rPr>
          <w:rFonts w:hint="eastAsia" w:ascii="仿宋_GB2312" w:eastAsia="仿宋_GB2312"/>
          <w:color w:val="auto"/>
          <w:sz w:val="28"/>
          <w:szCs w:val="28"/>
          <w:highlight w:val="none"/>
          <w:lang w:val="en-US" w:eastAsia="zh-CN"/>
        </w:rPr>
        <w:t>签字</w:t>
      </w:r>
      <w:r>
        <w:rPr>
          <w:rFonts w:hint="eastAsia" w:ascii="仿宋_GB2312" w:eastAsia="仿宋_GB2312"/>
          <w:color w:val="auto"/>
          <w:sz w:val="28"/>
          <w:szCs w:val="28"/>
          <w:highlight w:val="none"/>
          <w:lang w:eastAsia="zh-CN"/>
        </w:rPr>
        <w:t>）</w:t>
      </w:r>
    </w:p>
    <w:p w14:paraId="5E3BD14A">
      <w:pPr>
        <w:spacing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法定代表人：（</w:t>
      </w:r>
      <w:r>
        <w:rPr>
          <w:rFonts w:hint="eastAsia" w:ascii="仿宋_GB2312" w:eastAsia="仿宋_GB2312"/>
          <w:color w:val="auto"/>
          <w:sz w:val="28"/>
          <w:szCs w:val="28"/>
          <w:highlight w:val="none"/>
          <w:lang w:val="en-US" w:eastAsia="zh-CN"/>
        </w:rPr>
        <w:t>电子签章</w:t>
      </w:r>
      <w:r>
        <w:rPr>
          <w:rFonts w:hint="eastAsia" w:ascii="仿宋_GB2312" w:eastAsia="仿宋_GB2312"/>
          <w:color w:val="auto"/>
          <w:sz w:val="28"/>
          <w:szCs w:val="28"/>
          <w:highlight w:val="none"/>
        </w:rPr>
        <w:t>）</w:t>
      </w:r>
    </w:p>
    <w:tbl>
      <w:tblPr>
        <w:tblStyle w:val="21"/>
        <w:tblpPr w:leftFromText="180" w:rightFromText="180" w:vertAnchor="text" w:horzAnchor="page" w:tblpX="3282" w:tblpY="2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14:paraId="6C308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noWrap w:val="0"/>
            <w:vAlign w:val="top"/>
          </w:tcPr>
          <w:p w14:paraId="3D7BA755">
            <w:pPr>
              <w:spacing w:line="480" w:lineRule="exact"/>
              <w:rPr>
                <w:rFonts w:ascii="楷体_GB2312" w:hAnsi="楷体_GB2312" w:eastAsia="楷体_GB2312" w:cs="Lucida Sans Unicode"/>
                <w:b/>
                <w:bCs/>
                <w:color w:val="auto"/>
                <w:sz w:val="28"/>
                <w:szCs w:val="28"/>
                <w:highlight w:val="none"/>
              </w:rPr>
            </w:pPr>
          </w:p>
          <w:p w14:paraId="32248419">
            <w:pPr>
              <w:spacing w:line="480" w:lineRule="exact"/>
              <w:rPr>
                <w:rFonts w:ascii="楷体_GB2312" w:hAnsi="楷体_GB2312" w:eastAsia="楷体_GB2312" w:cs="Lucida Sans Unicode"/>
                <w:b/>
                <w:bCs/>
                <w:color w:val="auto"/>
                <w:sz w:val="28"/>
                <w:szCs w:val="28"/>
                <w:highlight w:val="none"/>
              </w:rPr>
            </w:pPr>
          </w:p>
          <w:p w14:paraId="1B4AFE6F">
            <w:pPr>
              <w:spacing w:line="480" w:lineRule="exact"/>
              <w:jc w:val="center"/>
              <w:rPr>
                <w:rFonts w:ascii="仿宋_GB2312" w:hAnsi="Lucida Sans Unicode" w:eastAsia="仿宋_GB2312" w:cs="Lucida Sans Unicode"/>
                <w:color w:val="auto"/>
                <w:sz w:val="28"/>
                <w:szCs w:val="28"/>
                <w:highlight w:val="none"/>
              </w:rPr>
            </w:pPr>
            <w:r>
              <w:rPr>
                <w:rFonts w:hint="eastAsia" w:ascii="楷体_GB2312" w:hAnsi="楷体_GB2312" w:eastAsia="楷体_GB2312" w:cs="Lucida Sans Unicode"/>
                <w:b/>
                <w:bCs/>
                <w:color w:val="auto"/>
                <w:sz w:val="28"/>
                <w:szCs w:val="28"/>
                <w:highlight w:val="none"/>
              </w:rPr>
              <w:t>（※附：被委托人身份证复印件※）</w:t>
            </w:r>
          </w:p>
        </w:tc>
      </w:tr>
    </w:tbl>
    <w:p w14:paraId="26BC9BCA">
      <w:pPr>
        <w:spacing w:line="360" w:lineRule="auto"/>
        <w:ind w:firstLine="560" w:firstLineChars="200"/>
        <w:rPr>
          <w:rFonts w:ascii="仿宋_GB2312" w:eastAsia="仿宋_GB2312"/>
          <w:color w:val="auto"/>
          <w:sz w:val="28"/>
          <w:szCs w:val="28"/>
          <w:highlight w:val="none"/>
        </w:rPr>
      </w:pPr>
    </w:p>
    <w:p w14:paraId="672CBE32">
      <w:pPr>
        <w:spacing w:line="360" w:lineRule="auto"/>
        <w:ind w:firstLine="560" w:firstLineChars="200"/>
        <w:rPr>
          <w:rFonts w:ascii="仿宋_GB2312" w:eastAsia="仿宋_GB2312"/>
          <w:color w:val="auto"/>
          <w:sz w:val="28"/>
          <w:szCs w:val="28"/>
          <w:highlight w:val="none"/>
        </w:rPr>
      </w:pPr>
    </w:p>
    <w:p w14:paraId="4804DE13">
      <w:pPr>
        <w:spacing w:line="360" w:lineRule="auto"/>
        <w:ind w:firstLine="560" w:firstLineChars="200"/>
        <w:rPr>
          <w:rFonts w:ascii="仿宋_GB2312" w:eastAsia="仿宋_GB2312"/>
          <w:color w:val="auto"/>
          <w:sz w:val="28"/>
          <w:szCs w:val="28"/>
          <w:highlight w:val="none"/>
        </w:rPr>
      </w:pPr>
    </w:p>
    <w:p w14:paraId="53798D97">
      <w:pPr>
        <w:spacing w:line="360" w:lineRule="auto"/>
        <w:ind w:firstLine="5740" w:firstLineChars="205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      </w:t>
      </w:r>
    </w:p>
    <w:p w14:paraId="4AE7143D">
      <w:pPr>
        <w:spacing w:line="360" w:lineRule="auto"/>
        <w:jc w:val="center"/>
        <w:rPr>
          <w:rFonts w:ascii="仿宋_GB2312" w:eastAsia="仿宋_GB2312"/>
          <w:color w:val="auto"/>
          <w:sz w:val="28"/>
          <w:szCs w:val="28"/>
          <w:highlight w:val="none"/>
        </w:rPr>
      </w:pPr>
    </w:p>
    <w:p w14:paraId="76212850">
      <w:pPr>
        <w:spacing w:line="360" w:lineRule="auto"/>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                                        年   月   日</w:t>
      </w:r>
    </w:p>
    <w:p w14:paraId="32D317C8">
      <w:pPr>
        <w:spacing w:line="360" w:lineRule="auto"/>
        <w:jc w:val="center"/>
        <w:rPr>
          <w:rFonts w:ascii="仿宋_GB2312" w:eastAsia="仿宋_GB2312"/>
          <w:color w:val="auto"/>
          <w:sz w:val="30"/>
          <w:szCs w:val="30"/>
          <w:highlight w:val="none"/>
        </w:rPr>
      </w:pPr>
    </w:p>
    <w:p w14:paraId="43C0859F">
      <w:pPr>
        <w:spacing w:line="360" w:lineRule="auto"/>
        <w:jc w:val="center"/>
        <w:rPr>
          <w:rFonts w:ascii="仿宋_GB2312" w:eastAsia="仿宋_GB2312"/>
          <w:color w:val="auto"/>
          <w:sz w:val="30"/>
          <w:szCs w:val="30"/>
          <w:highlight w:val="none"/>
        </w:rPr>
      </w:pPr>
    </w:p>
    <w:p w14:paraId="3BAE5DD0">
      <w:pPr>
        <w:spacing w:line="360" w:lineRule="auto"/>
        <w:jc w:val="left"/>
        <w:rPr>
          <w:rFonts w:ascii="仿宋_GB2312" w:hAnsi="宋体" w:eastAsia="仿宋_GB2312" w:cs="Lucida Sans Unicode"/>
          <w:color w:val="auto"/>
          <w:sz w:val="30"/>
          <w:szCs w:val="30"/>
          <w:highlight w:val="none"/>
        </w:rPr>
      </w:pPr>
    </w:p>
    <w:p w14:paraId="6F66BC49">
      <w:pPr>
        <w:spacing w:line="360" w:lineRule="auto"/>
        <w:jc w:val="left"/>
        <w:rPr>
          <w:rFonts w:ascii="仿宋_GB2312" w:hAnsi="宋体" w:eastAsia="仿宋_GB2312" w:cs="Lucida Sans Unicode"/>
          <w:color w:val="auto"/>
          <w:sz w:val="30"/>
          <w:szCs w:val="30"/>
          <w:highlight w:val="none"/>
        </w:rPr>
      </w:pPr>
    </w:p>
    <w:p w14:paraId="6108F6D2">
      <w:pPr>
        <w:spacing w:line="360" w:lineRule="auto"/>
        <w:jc w:val="left"/>
        <w:rPr>
          <w:rFonts w:ascii="仿宋_GB2312" w:hAnsi="宋体" w:eastAsia="仿宋_GB2312" w:cs="Lucida Sans Unicode"/>
          <w:color w:val="auto"/>
          <w:sz w:val="30"/>
          <w:szCs w:val="30"/>
          <w:highlight w:val="none"/>
        </w:rPr>
      </w:pPr>
    </w:p>
    <w:p w14:paraId="25B73F0E">
      <w:pPr>
        <w:spacing w:line="360" w:lineRule="auto"/>
        <w:jc w:val="left"/>
        <w:rPr>
          <w:rFonts w:hint="eastAsia" w:ascii="仿宋_GB2312" w:hAnsi="宋体" w:eastAsia="仿宋_GB2312" w:cs="Lucida Sans Unicode"/>
          <w:color w:val="auto"/>
          <w:sz w:val="28"/>
          <w:szCs w:val="28"/>
          <w:highlight w:val="none"/>
          <w:lang w:val="en-US" w:eastAsia="zh-CN"/>
        </w:rPr>
      </w:pPr>
      <w:r>
        <w:rPr>
          <w:rFonts w:hint="eastAsia" w:ascii="仿宋_GB2312" w:hAnsi="宋体" w:eastAsia="仿宋_GB2312" w:cs="Lucida Sans Unicode"/>
          <w:color w:val="auto"/>
          <w:sz w:val="28"/>
          <w:szCs w:val="28"/>
          <w:highlight w:val="none"/>
        </w:rPr>
        <w:t>格式</w:t>
      </w:r>
      <w:r>
        <w:rPr>
          <w:rFonts w:hint="eastAsia" w:ascii="仿宋_GB2312" w:hAnsi="宋体" w:eastAsia="仿宋_GB2312" w:cs="Lucida Sans Unicode"/>
          <w:color w:val="auto"/>
          <w:sz w:val="28"/>
          <w:szCs w:val="28"/>
          <w:highlight w:val="none"/>
          <w:lang w:val="en-US" w:eastAsia="zh-CN"/>
        </w:rPr>
        <w:t>5</w:t>
      </w:r>
    </w:p>
    <w:p w14:paraId="72ADA053">
      <w:pPr>
        <w:jc w:val="center"/>
        <w:rPr>
          <w:rFonts w:hint="eastAsia" w:ascii="宋体" w:hAnsi="宋体" w:eastAsia="宋体" w:cs="Times New Roman"/>
          <w:color w:val="auto"/>
          <w:kern w:val="0"/>
          <w:sz w:val="44"/>
          <w:szCs w:val="44"/>
          <w:highlight w:val="none"/>
          <w:lang w:val="en-US" w:eastAsia="zh-CN" w:bidi="ar-SA"/>
        </w:rPr>
      </w:pPr>
      <w:r>
        <w:rPr>
          <w:rFonts w:hint="eastAsia" w:ascii="宋体" w:hAnsi="宋体" w:eastAsia="宋体" w:cs="Times New Roman"/>
          <w:color w:val="auto"/>
          <w:kern w:val="0"/>
          <w:sz w:val="44"/>
          <w:szCs w:val="44"/>
          <w:highlight w:val="none"/>
          <w:lang w:val="en-US" w:eastAsia="zh-CN" w:bidi="ar-SA"/>
        </w:rPr>
        <w:t>承诺函</w:t>
      </w:r>
    </w:p>
    <w:p w14:paraId="15189D08">
      <w:pPr>
        <w:adjustRightInd w:val="0"/>
        <w:spacing w:line="560" w:lineRule="exact"/>
        <w:textAlignment w:val="baseline"/>
        <w:rPr>
          <w:rFonts w:hint="eastAsia" w:ascii="仿宋" w:hAnsi="仿宋" w:eastAsia="仿宋" w:cs="仿宋"/>
          <w:color w:val="auto"/>
          <w:sz w:val="28"/>
          <w:szCs w:val="28"/>
          <w:highlight w:val="none"/>
        </w:rPr>
      </w:pPr>
    </w:p>
    <w:p w14:paraId="1CF9298D">
      <w:pPr>
        <w:keepNext w:val="0"/>
        <w:keepLines w:val="0"/>
        <w:pageBreakBefore w:val="0"/>
        <w:widowControl w:val="0"/>
        <w:kinsoku/>
        <w:wordWrap/>
        <w:overflowPunct/>
        <w:topLinePunct w:val="0"/>
        <w:autoSpaceDE/>
        <w:autoSpaceDN/>
        <w:bidi w:val="0"/>
        <w:adjustRightInd w:val="0"/>
        <w:snapToGrid/>
        <w:spacing w:line="560" w:lineRule="exact"/>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致（采购人） ：</w:t>
      </w:r>
    </w:p>
    <w:p w14:paraId="62C1A4BA">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供应商名称：                            </w:t>
      </w:r>
    </w:p>
    <w:p w14:paraId="311738D6">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统一社会信用代码：                      </w:t>
      </w:r>
    </w:p>
    <w:p w14:paraId="4EDE5519">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baseline"/>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供应商地址：</w:t>
      </w:r>
    </w:p>
    <w:p w14:paraId="775B3E80">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baseline"/>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我单位郑重承诺，</w:t>
      </w:r>
      <w:r>
        <w:rPr>
          <w:rFonts w:hint="eastAsia" w:ascii="仿宋" w:hAnsi="仿宋" w:eastAsia="仿宋" w:cs="仿宋"/>
          <w:color w:val="auto"/>
          <w:sz w:val="28"/>
          <w:szCs w:val="28"/>
          <w:highlight w:val="none"/>
          <w:lang w:val="en-US" w:eastAsia="zh-CN"/>
        </w:rPr>
        <w:t>未被人力资源社会保障主管部门列入拖欠农民工工资失信联合惩戒名单或无因拖欠农民工工资被县级及以上有关行政主管部门限制投标资格且在限制期限内。</w:t>
      </w:r>
    </w:p>
    <w:p w14:paraId="5B4E8122">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若我单位承诺不实，自愿承担提供虚假材料谋取中标、成交的法律责任。</w:t>
      </w:r>
    </w:p>
    <w:p w14:paraId="7B982F5B">
      <w:pPr>
        <w:keepNext w:val="0"/>
        <w:keepLines w:val="0"/>
        <w:pageBreakBefore w:val="0"/>
        <w:widowControl w:val="0"/>
        <w:kinsoku/>
        <w:wordWrap/>
        <w:overflowPunct/>
        <w:topLinePunct w:val="0"/>
        <w:autoSpaceDE/>
        <w:autoSpaceDN/>
        <w:bidi w:val="0"/>
        <w:adjustRightInd w:val="0"/>
        <w:snapToGrid/>
        <w:spacing w:line="560" w:lineRule="exact"/>
        <w:ind w:firstLine="3360" w:firstLineChars="1200"/>
        <w:textAlignment w:val="baseline"/>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 xml:space="preserve">承诺供应商（全称并加盖公章）： </w:t>
      </w:r>
      <w:r>
        <w:rPr>
          <w:rFonts w:hint="eastAsia" w:ascii="仿宋" w:hAnsi="仿宋" w:eastAsia="仿宋" w:cs="仿宋"/>
          <w:color w:val="auto"/>
          <w:sz w:val="28"/>
          <w:szCs w:val="28"/>
          <w:highlight w:val="none"/>
          <w:u w:val="single"/>
        </w:rPr>
        <w:t xml:space="preserve">          </w:t>
      </w:r>
    </w:p>
    <w:p w14:paraId="35D900A8">
      <w:pPr>
        <w:keepNext w:val="0"/>
        <w:keepLines w:val="0"/>
        <w:pageBreakBefore w:val="0"/>
        <w:widowControl w:val="0"/>
        <w:kinsoku/>
        <w:wordWrap/>
        <w:overflowPunct/>
        <w:topLinePunct w:val="0"/>
        <w:autoSpaceDE/>
        <w:autoSpaceDN/>
        <w:bidi w:val="0"/>
        <w:adjustRightInd w:val="0"/>
        <w:snapToGrid/>
        <w:spacing w:line="560" w:lineRule="exact"/>
        <w:ind w:firstLine="3360" w:firstLineChars="12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法定代表人或授权代表(签字或签章)：</w:t>
      </w:r>
      <w:r>
        <w:rPr>
          <w:rFonts w:hint="eastAsia" w:ascii="仿宋" w:hAnsi="仿宋" w:eastAsia="仿宋" w:cs="仿宋"/>
          <w:color w:val="auto"/>
          <w:sz w:val="28"/>
          <w:szCs w:val="28"/>
          <w:highlight w:val="none"/>
          <w:u w:val="single"/>
        </w:rPr>
        <w:t xml:space="preserve">       </w:t>
      </w:r>
    </w:p>
    <w:p w14:paraId="6E5500B9">
      <w:pPr>
        <w:adjustRightInd w:val="0"/>
        <w:spacing w:line="560" w:lineRule="exact"/>
        <w:ind w:firstLine="4760" w:firstLineChars="1700"/>
        <w:textAlignment w:val="baseline"/>
        <w:rPr>
          <w:rFonts w:hint="eastAsia" w:ascii="仿宋_GB2312" w:hAnsi="宋体" w:eastAsia="仿宋_GB2312" w:cs="Lucida Sans Unicode"/>
          <w:color w:val="auto"/>
          <w:sz w:val="28"/>
          <w:szCs w:val="28"/>
          <w:highlight w:val="none"/>
        </w:rPr>
      </w:pPr>
    </w:p>
    <w:p w14:paraId="350AF93C">
      <w:pPr>
        <w:adjustRightInd w:val="0"/>
        <w:spacing w:line="560" w:lineRule="exact"/>
        <w:ind w:firstLine="4760" w:firstLineChars="1700"/>
        <w:textAlignment w:val="baseline"/>
        <w:rPr>
          <w:rFonts w:hint="eastAsia" w:ascii="仿宋_GB2312" w:hAnsi="宋体" w:eastAsia="仿宋_GB2312" w:cs="Lucida Sans Unicode"/>
          <w:color w:val="auto"/>
          <w:sz w:val="28"/>
          <w:szCs w:val="28"/>
          <w:highlight w:val="none"/>
        </w:rPr>
      </w:pPr>
      <w:r>
        <w:rPr>
          <w:rFonts w:hint="eastAsia" w:ascii="仿宋_GB2312" w:hAnsi="宋体" w:eastAsia="仿宋_GB2312" w:cs="Lucida Sans Unicode"/>
          <w:color w:val="auto"/>
          <w:sz w:val="28"/>
          <w:szCs w:val="28"/>
          <w:highlight w:val="none"/>
        </w:rPr>
        <w:t>日期：  年    月    日</w:t>
      </w:r>
    </w:p>
    <w:p w14:paraId="4EE4A0D6">
      <w:pPr>
        <w:rPr>
          <w:rFonts w:hint="eastAsia" w:ascii="仿宋_GB2312" w:hAnsi="宋体" w:eastAsia="仿宋_GB2312" w:cs="Lucida Sans Unicode"/>
          <w:color w:val="auto"/>
          <w:sz w:val="28"/>
          <w:szCs w:val="28"/>
          <w:highlight w:val="none"/>
        </w:rPr>
      </w:pPr>
      <w:r>
        <w:rPr>
          <w:rFonts w:hint="eastAsia" w:ascii="仿宋_GB2312" w:hAnsi="宋体" w:eastAsia="仿宋_GB2312" w:cs="Lucida Sans Unicode"/>
          <w:color w:val="auto"/>
          <w:sz w:val="28"/>
          <w:szCs w:val="28"/>
          <w:highlight w:val="none"/>
        </w:rPr>
        <w:br w:type="page"/>
      </w:r>
    </w:p>
    <w:p w14:paraId="343713F1">
      <w:pPr>
        <w:numPr>
          <w:ilvl w:val="0"/>
          <w:numId w:val="0"/>
        </w:numPr>
        <w:spacing w:line="360" w:lineRule="auto"/>
        <w:jc w:val="left"/>
        <w:rPr>
          <w:rFonts w:hint="eastAsia" w:ascii="仿宋_GB2312" w:hAnsi="宋体" w:eastAsia="仿宋_GB2312" w:cs="Lucida Sans Unicode"/>
          <w:color w:val="auto"/>
          <w:sz w:val="28"/>
          <w:szCs w:val="28"/>
          <w:highlight w:val="none"/>
          <w:lang w:val="en-US" w:eastAsia="zh-CN"/>
        </w:rPr>
      </w:pPr>
      <w:r>
        <w:rPr>
          <w:rFonts w:hint="eastAsia" w:ascii="仿宋_GB2312" w:hAnsi="宋体" w:eastAsia="仿宋_GB2312" w:cs="Lucida Sans Unicode"/>
          <w:color w:val="auto"/>
          <w:sz w:val="28"/>
          <w:szCs w:val="28"/>
          <w:highlight w:val="none"/>
        </w:rPr>
        <w:t>格式</w:t>
      </w:r>
      <w:r>
        <w:rPr>
          <w:rFonts w:hint="eastAsia" w:ascii="仿宋_GB2312" w:hAnsi="宋体" w:eastAsia="仿宋_GB2312" w:cs="Lucida Sans Unicode"/>
          <w:color w:val="auto"/>
          <w:sz w:val="28"/>
          <w:szCs w:val="28"/>
          <w:highlight w:val="none"/>
          <w:lang w:val="en-US" w:eastAsia="zh-CN"/>
        </w:rPr>
        <w:t>6</w:t>
      </w:r>
    </w:p>
    <w:p w14:paraId="038F23FA">
      <w:pPr>
        <w:numPr>
          <w:ilvl w:val="0"/>
          <w:numId w:val="0"/>
        </w:numPr>
        <w:spacing w:line="360" w:lineRule="auto"/>
        <w:jc w:val="center"/>
        <w:rPr>
          <w:rFonts w:ascii="仿宋_GB2312" w:eastAsia="仿宋_GB2312"/>
          <w:color w:val="auto"/>
          <w:sz w:val="28"/>
          <w:szCs w:val="28"/>
          <w:highlight w:val="none"/>
        </w:rPr>
      </w:pPr>
      <w:r>
        <w:rPr>
          <w:rFonts w:hint="eastAsia" w:ascii="黑体" w:eastAsia="黑体"/>
          <w:color w:val="auto"/>
          <w:sz w:val="28"/>
          <w:szCs w:val="28"/>
          <w:highlight w:val="none"/>
        </w:rPr>
        <w:t>磋商承诺函</w:t>
      </w:r>
    </w:p>
    <w:p w14:paraId="7CDC82E9">
      <w:pPr>
        <w:adjustRightInd w:val="0"/>
        <w:spacing w:line="440" w:lineRule="exact"/>
        <w:textAlignment w:val="baseline"/>
        <w:rPr>
          <w:rFonts w:ascii="仿宋_GB2312" w:eastAsia="仿宋_GB2312"/>
          <w:color w:val="auto"/>
          <w:sz w:val="28"/>
          <w:szCs w:val="28"/>
          <w:highlight w:val="none"/>
        </w:rPr>
      </w:pPr>
    </w:p>
    <w:p w14:paraId="20FCB977">
      <w:pPr>
        <w:adjustRightInd w:val="0"/>
        <w:spacing w:line="560" w:lineRule="exact"/>
        <w:textAlignment w:val="baseline"/>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rPr>
        <w:t>致：</w:t>
      </w:r>
      <w:r>
        <w:rPr>
          <w:rFonts w:hint="eastAsia" w:ascii="仿宋_GB2312" w:eastAsia="仿宋_GB2312"/>
          <w:color w:val="auto"/>
          <w:sz w:val="28"/>
          <w:szCs w:val="28"/>
          <w:highlight w:val="none"/>
          <w:lang w:eastAsia="zh-CN"/>
        </w:rPr>
        <w:t>（</w:t>
      </w:r>
      <w:r>
        <w:rPr>
          <w:rFonts w:hint="eastAsia" w:ascii="仿宋_GB2312" w:eastAsia="仿宋_GB2312"/>
          <w:color w:val="auto"/>
          <w:sz w:val="28"/>
          <w:szCs w:val="28"/>
          <w:highlight w:val="none"/>
          <w:lang w:val="en-US" w:eastAsia="zh-CN"/>
        </w:rPr>
        <w:t>采购人</w:t>
      </w:r>
      <w:r>
        <w:rPr>
          <w:rFonts w:hint="eastAsia" w:ascii="仿宋_GB2312" w:eastAsia="仿宋_GB2312"/>
          <w:color w:val="auto"/>
          <w:sz w:val="28"/>
          <w:szCs w:val="28"/>
          <w:highlight w:val="none"/>
          <w:lang w:eastAsia="zh-CN"/>
        </w:rPr>
        <w:t>）</w:t>
      </w:r>
    </w:p>
    <w:p w14:paraId="63245B12">
      <w:pPr>
        <w:adjustRightInd w:val="0"/>
        <w:spacing w:line="560" w:lineRule="exact"/>
        <w:ind w:firstLine="560" w:firstLineChars="200"/>
        <w:textAlignment w:val="baseline"/>
        <w:rPr>
          <w:rFonts w:ascii="仿宋_GB2312" w:eastAsia="仿宋_GB2312"/>
          <w:color w:val="auto"/>
          <w:sz w:val="28"/>
          <w:szCs w:val="28"/>
          <w:highlight w:val="none"/>
        </w:rPr>
      </w:pPr>
      <w:r>
        <w:rPr>
          <w:rFonts w:hint="eastAsia" w:ascii="仿宋_GB2312" w:eastAsia="仿宋_GB2312"/>
          <w:color w:val="auto"/>
          <w:sz w:val="28"/>
          <w:szCs w:val="28"/>
          <w:highlight w:val="none"/>
        </w:rPr>
        <w:t>根据贵方</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项目的磋商邀请（项目编号：</w:t>
      </w:r>
      <w:r>
        <w:rPr>
          <w:rFonts w:hint="eastAsia" w:ascii="仿宋_GB2312" w:eastAsia="仿宋_GB2312"/>
          <w:color w:val="auto"/>
          <w:sz w:val="28"/>
          <w:szCs w:val="28"/>
          <w:highlight w:val="none"/>
          <w:u w:val="single"/>
          <w:lang w:val="en-US" w:eastAsia="zh-CN"/>
        </w:rPr>
        <w:t xml:space="preserve">                   </w:t>
      </w:r>
      <w:r>
        <w:rPr>
          <w:rFonts w:hint="eastAsia" w:ascii="仿宋_GB2312" w:eastAsia="仿宋_GB2312"/>
          <w:color w:val="auto"/>
          <w:sz w:val="28"/>
          <w:szCs w:val="28"/>
          <w:highlight w:val="none"/>
        </w:rPr>
        <w:t>），委托代理人</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(全名、职务)代表</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(供应商名称、地址)提交下述文件，并对之负法律责任。</w:t>
      </w:r>
    </w:p>
    <w:p w14:paraId="1701C898">
      <w:pPr>
        <w:adjustRightInd w:val="0"/>
        <w:spacing w:line="560" w:lineRule="exact"/>
        <w:ind w:firstLine="560" w:firstLineChars="200"/>
        <w:textAlignment w:val="baseline"/>
        <w:rPr>
          <w:rFonts w:ascii="仿宋_GB2312" w:eastAsia="仿宋_GB2312"/>
          <w:color w:val="auto"/>
          <w:sz w:val="28"/>
          <w:szCs w:val="28"/>
          <w:highlight w:val="none"/>
        </w:rPr>
      </w:pPr>
      <w:r>
        <w:rPr>
          <w:rFonts w:hint="eastAsia" w:ascii="仿宋_GB2312" w:eastAsia="仿宋_GB2312"/>
          <w:color w:val="auto"/>
          <w:sz w:val="28"/>
          <w:szCs w:val="28"/>
          <w:highlight w:val="none"/>
        </w:rPr>
        <w:t>据此函，承诺如下：</w:t>
      </w:r>
    </w:p>
    <w:p w14:paraId="331B18E2">
      <w:pPr>
        <w:numPr>
          <w:ilvl w:val="0"/>
          <w:numId w:val="0"/>
        </w:numPr>
        <w:adjustRightInd w:val="0"/>
        <w:spacing w:line="560" w:lineRule="exact"/>
        <w:ind w:firstLine="560" w:firstLineChars="200"/>
        <w:textAlignment w:val="baseline"/>
        <w:rPr>
          <w:rFonts w:ascii="仿宋_GB2312" w:eastAsia="仿宋_GB2312"/>
          <w:color w:val="auto"/>
          <w:sz w:val="28"/>
          <w:szCs w:val="28"/>
          <w:highlight w:val="none"/>
        </w:rPr>
      </w:pPr>
      <w:r>
        <w:rPr>
          <w:rFonts w:hint="eastAsia" w:ascii="仿宋_GB2312" w:eastAsia="仿宋_GB2312"/>
          <w:color w:val="auto"/>
          <w:sz w:val="28"/>
          <w:szCs w:val="28"/>
          <w:highlight w:val="none"/>
          <w:lang w:val="en-US" w:eastAsia="zh-CN"/>
        </w:rPr>
        <w:t>1.</w:t>
      </w:r>
      <w:r>
        <w:rPr>
          <w:rFonts w:hint="eastAsia" w:ascii="仿宋_GB2312" w:eastAsia="仿宋_GB2312"/>
          <w:color w:val="auto"/>
          <w:sz w:val="28"/>
          <w:szCs w:val="28"/>
          <w:highlight w:val="none"/>
        </w:rPr>
        <w:t>我们完全理解贵方不一定要接受最低报价，</w:t>
      </w:r>
      <w:r>
        <w:rPr>
          <w:rFonts w:hint="eastAsia" w:ascii="仿宋" w:hAnsi="仿宋" w:eastAsia="仿宋" w:cs="仿宋"/>
          <w:color w:val="auto"/>
          <w:sz w:val="28"/>
          <w:szCs w:val="28"/>
          <w:highlight w:val="none"/>
        </w:rPr>
        <w:t>保证报价不存在低于成本的恶意报价行为，</w:t>
      </w:r>
      <w:r>
        <w:rPr>
          <w:rFonts w:hint="eastAsia" w:ascii="仿宋_GB2312" w:eastAsia="仿宋_GB2312"/>
          <w:color w:val="auto"/>
          <w:sz w:val="28"/>
          <w:szCs w:val="28"/>
          <w:highlight w:val="none"/>
        </w:rPr>
        <w:t>并同意本文件规定的响应性文件有效期；</w:t>
      </w:r>
    </w:p>
    <w:p w14:paraId="168C8E12">
      <w:pPr>
        <w:adjustRightInd w:val="0"/>
        <w:spacing w:line="560" w:lineRule="exact"/>
        <w:ind w:firstLine="560" w:firstLineChars="200"/>
        <w:textAlignment w:val="baseline"/>
        <w:rPr>
          <w:rFonts w:ascii="仿宋_GB2312" w:eastAsia="仿宋_GB2312"/>
          <w:color w:val="auto"/>
          <w:sz w:val="28"/>
          <w:szCs w:val="28"/>
          <w:highlight w:val="none"/>
        </w:rPr>
      </w:pPr>
      <w:r>
        <w:rPr>
          <w:rFonts w:hint="eastAsia" w:ascii="仿宋_GB2312" w:eastAsia="仿宋_GB2312"/>
          <w:color w:val="auto"/>
          <w:sz w:val="28"/>
          <w:szCs w:val="28"/>
          <w:highlight w:val="none"/>
        </w:rPr>
        <w:t>2.保证响应性文件内容无任何虚假。若评审过程中查出有虚假，同意按无效处理并同意接受相关处罚；若成交之后查出有虚假的，同意被取消成交资格并愿意接受相关处罚；</w:t>
      </w:r>
    </w:p>
    <w:p w14:paraId="056A2BA0">
      <w:pPr>
        <w:adjustRightInd w:val="0"/>
        <w:spacing w:line="560" w:lineRule="exact"/>
        <w:ind w:firstLine="560" w:firstLineChars="200"/>
        <w:textAlignment w:val="baseline"/>
        <w:rPr>
          <w:rFonts w:ascii="仿宋_GB2312" w:eastAsia="仿宋_GB2312"/>
          <w:color w:val="auto"/>
          <w:sz w:val="28"/>
          <w:szCs w:val="28"/>
          <w:highlight w:val="none"/>
        </w:rPr>
      </w:pPr>
      <w:r>
        <w:rPr>
          <w:rFonts w:hint="eastAsia" w:ascii="仿宋_GB2312" w:eastAsia="仿宋_GB2312"/>
          <w:color w:val="auto"/>
          <w:sz w:val="28"/>
          <w:szCs w:val="28"/>
          <w:highlight w:val="none"/>
        </w:rPr>
        <w:t>3.如果我们的响应性文件被接受，我们将履行磋商文件中规定的每一项要求，按期、按质、按量履行每项规定；</w:t>
      </w:r>
    </w:p>
    <w:p w14:paraId="08740CB5">
      <w:pPr>
        <w:adjustRightInd w:val="0"/>
        <w:spacing w:line="560" w:lineRule="exact"/>
        <w:ind w:firstLine="560" w:firstLineChars="200"/>
        <w:textAlignment w:val="baseline"/>
        <w:rPr>
          <w:rFonts w:ascii="仿宋_GB2312" w:eastAsia="仿宋_GB2312"/>
          <w:color w:val="auto"/>
          <w:sz w:val="28"/>
          <w:szCs w:val="28"/>
          <w:highlight w:val="none"/>
        </w:rPr>
      </w:pPr>
      <w:r>
        <w:rPr>
          <w:rFonts w:hint="eastAsia" w:ascii="仿宋_GB2312" w:eastAsia="仿宋_GB2312"/>
          <w:color w:val="auto"/>
          <w:sz w:val="28"/>
          <w:szCs w:val="28"/>
          <w:highlight w:val="none"/>
        </w:rPr>
        <w:t>4.我们已详细审查全部磋商文件，完全理解并同意放弃对这方面有不明及误解的权利；</w:t>
      </w:r>
    </w:p>
    <w:p w14:paraId="0CF7F01E">
      <w:pPr>
        <w:adjustRightInd w:val="0"/>
        <w:spacing w:line="560" w:lineRule="exact"/>
        <w:ind w:firstLine="560" w:firstLineChars="200"/>
        <w:textAlignment w:val="baseline"/>
        <w:rPr>
          <w:rFonts w:ascii="仿宋_GB2312" w:eastAsia="仿宋_GB2312"/>
          <w:color w:val="auto"/>
          <w:sz w:val="28"/>
          <w:szCs w:val="28"/>
          <w:highlight w:val="none"/>
        </w:rPr>
      </w:pPr>
      <w:r>
        <w:rPr>
          <w:rFonts w:hint="eastAsia" w:ascii="仿宋_GB2312" w:eastAsia="仿宋_GB2312"/>
          <w:color w:val="auto"/>
          <w:sz w:val="28"/>
          <w:szCs w:val="28"/>
          <w:highlight w:val="none"/>
        </w:rPr>
        <w:t>5.如果在规定的磋商会时间后，</w:t>
      </w:r>
      <w:r>
        <w:rPr>
          <w:rFonts w:hint="eastAsia" w:ascii="仿宋_GB2312" w:hAnsi="仿宋_GB2312" w:eastAsia="仿宋_GB2312" w:cs="仿宋_GB2312"/>
          <w:color w:val="auto"/>
          <w:sz w:val="28"/>
          <w:szCs w:val="28"/>
          <w:highlight w:val="none"/>
        </w:rPr>
        <w:t>至响应性文件有效期满前撤回响应性文件，</w:t>
      </w:r>
      <w:r>
        <w:rPr>
          <w:rFonts w:hint="eastAsia" w:ascii="仿宋_GB2312" w:eastAsia="仿宋_GB2312"/>
          <w:color w:val="auto"/>
          <w:sz w:val="28"/>
          <w:szCs w:val="28"/>
          <w:highlight w:val="none"/>
        </w:rPr>
        <w:t>我们</w:t>
      </w:r>
      <w:r>
        <w:rPr>
          <w:rFonts w:hint="eastAsia" w:ascii="仿宋_GB2312" w:hAnsi="仿宋_GB2312" w:eastAsia="仿宋_GB2312" w:cs="仿宋_GB2312"/>
          <w:color w:val="auto"/>
          <w:sz w:val="28"/>
          <w:szCs w:val="28"/>
          <w:highlight w:val="none"/>
        </w:rPr>
        <w:t>将自愿接受相关处罚</w:t>
      </w:r>
      <w:r>
        <w:rPr>
          <w:rFonts w:hint="eastAsia" w:eastAsia="仿宋_GB2312"/>
          <w:color w:val="auto"/>
          <w:sz w:val="28"/>
          <w:szCs w:val="28"/>
          <w:highlight w:val="none"/>
        </w:rPr>
        <w:t>；</w:t>
      </w:r>
    </w:p>
    <w:p w14:paraId="1CB43439">
      <w:pPr>
        <w:adjustRightInd w:val="0"/>
        <w:spacing w:line="560" w:lineRule="exact"/>
        <w:ind w:firstLine="560" w:firstLineChars="200"/>
        <w:textAlignment w:val="baseline"/>
        <w:rPr>
          <w:rFonts w:ascii="仿宋_GB2312" w:eastAsia="仿宋_GB2312"/>
          <w:color w:val="auto"/>
          <w:sz w:val="28"/>
          <w:szCs w:val="28"/>
          <w:highlight w:val="none"/>
        </w:rPr>
      </w:pPr>
      <w:r>
        <w:rPr>
          <w:rFonts w:hint="eastAsia" w:ascii="仿宋_GB2312" w:eastAsia="仿宋_GB2312"/>
          <w:color w:val="auto"/>
          <w:sz w:val="28"/>
          <w:szCs w:val="28"/>
          <w:highlight w:val="none"/>
        </w:rPr>
        <w:t>6.保证成交之后按照磋商文件的要求提供相关货物或服务，如有违法，同意接受相关处罚；</w:t>
      </w:r>
    </w:p>
    <w:p w14:paraId="04ED5B75">
      <w:pPr>
        <w:autoSpaceDE w:val="0"/>
        <w:autoSpaceDN w:val="0"/>
        <w:adjustRightInd w:val="0"/>
        <w:spacing w:line="560" w:lineRule="exact"/>
        <w:ind w:firstLine="560" w:firstLineChars="200"/>
        <w:textAlignment w:val="baseline"/>
        <w:rPr>
          <w:rFonts w:ascii="仿宋_GB2312" w:hAnsi="宋体" w:eastAsia="仿宋_GB2312"/>
          <w:color w:val="auto"/>
          <w:kern w:val="0"/>
          <w:sz w:val="28"/>
          <w:szCs w:val="28"/>
          <w:highlight w:val="none"/>
        </w:rPr>
      </w:pPr>
      <w:r>
        <w:rPr>
          <w:rFonts w:hint="eastAsia" w:ascii="仿宋_GB2312" w:hAnsi="宋体" w:eastAsia="仿宋_GB2312"/>
          <w:color w:val="auto"/>
          <w:kern w:val="0"/>
          <w:sz w:val="28"/>
          <w:szCs w:val="28"/>
          <w:highlight w:val="none"/>
        </w:rPr>
        <w:t>7.成交后保证在与采购人签订合同之日起</w:t>
      </w:r>
      <w:r>
        <w:rPr>
          <w:rFonts w:hint="eastAsia" w:ascii="仿宋_GB2312" w:hAnsi="宋体" w:eastAsia="仿宋_GB2312"/>
          <w:color w:val="auto"/>
          <w:kern w:val="0"/>
          <w:sz w:val="28"/>
          <w:szCs w:val="28"/>
          <w:highlight w:val="none"/>
          <w:lang w:val="en-US" w:eastAsia="zh-CN"/>
        </w:rPr>
        <w:t>1</w:t>
      </w:r>
      <w:r>
        <w:rPr>
          <w:rFonts w:hint="eastAsia" w:ascii="仿宋_GB2312" w:hAnsi="宋体" w:eastAsia="仿宋_GB2312"/>
          <w:color w:val="auto"/>
          <w:kern w:val="0"/>
          <w:sz w:val="28"/>
          <w:szCs w:val="28"/>
          <w:highlight w:val="none"/>
        </w:rPr>
        <w:t>个工作日内将合同向采购代理机构备案。我单位保证项目验收合格之日起</w:t>
      </w:r>
      <w:r>
        <w:rPr>
          <w:rFonts w:hint="eastAsia" w:ascii="仿宋_GB2312" w:hAnsi="宋体" w:eastAsia="仿宋_GB2312"/>
          <w:color w:val="auto"/>
          <w:kern w:val="0"/>
          <w:sz w:val="28"/>
          <w:szCs w:val="28"/>
          <w:highlight w:val="none"/>
          <w:lang w:val="en-US" w:eastAsia="zh-CN"/>
        </w:rPr>
        <w:t>1</w:t>
      </w:r>
      <w:r>
        <w:rPr>
          <w:rFonts w:hint="eastAsia" w:ascii="仿宋_GB2312" w:hAnsi="宋体" w:eastAsia="仿宋_GB2312"/>
          <w:color w:val="auto"/>
          <w:kern w:val="0"/>
          <w:sz w:val="28"/>
          <w:szCs w:val="28"/>
          <w:highlight w:val="none"/>
        </w:rPr>
        <w:t>个工作日内将验收证明（验收书）向采购代理机构备案；</w:t>
      </w:r>
    </w:p>
    <w:p w14:paraId="521DC93D">
      <w:pPr>
        <w:adjustRightInd w:val="0"/>
        <w:spacing w:line="560" w:lineRule="exact"/>
        <w:ind w:firstLine="560" w:firstLineChars="200"/>
        <w:textAlignment w:val="baseline"/>
        <w:rPr>
          <w:rFonts w:ascii="仿宋_GB2312" w:hAnsi="宋体" w:eastAsia="仿宋_GB2312"/>
          <w:color w:val="auto"/>
          <w:kern w:val="0"/>
          <w:sz w:val="28"/>
          <w:szCs w:val="28"/>
          <w:highlight w:val="none"/>
        </w:rPr>
      </w:pPr>
      <w:r>
        <w:rPr>
          <w:rFonts w:hint="eastAsia" w:ascii="仿宋_GB2312" w:hAnsi="宋体" w:eastAsia="仿宋_GB2312"/>
          <w:color w:val="auto"/>
          <w:kern w:val="0"/>
          <w:sz w:val="28"/>
          <w:szCs w:val="28"/>
          <w:highlight w:val="none"/>
        </w:rPr>
        <w:t>8.保证成交之后按照磋商文件的要求提供相关货物或服务，如有违法或出现上述违背承诺的行为，我单位愿意接受按照国家法律法规等有关规定给予的处罚；</w:t>
      </w:r>
    </w:p>
    <w:p w14:paraId="55CE9D00">
      <w:pPr>
        <w:adjustRightInd w:val="0"/>
        <w:spacing w:line="560" w:lineRule="exact"/>
        <w:ind w:firstLine="560" w:firstLineChars="200"/>
        <w:textAlignment w:val="baseline"/>
        <w:rPr>
          <w:rFonts w:ascii="仿宋_GB2312" w:eastAsia="仿宋_GB2312"/>
          <w:color w:val="auto"/>
          <w:sz w:val="28"/>
          <w:szCs w:val="28"/>
          <w:highlight w:val="none"/>
        </w:rPr>
      </w:pPr>
      <w:r>
        <w:rPr>
          <w:rFonts w:hint="eastAsia" w:ascii="仿宋_GB2312" w:eastAsia="仿宋_GB2312"/>
          <w:color w:val="auto"/>
          <w:sz w:val="28"/>
          <w:szCs w:val="28"/>
          <w:highlight w:val="none"/>
        </w:rPr>
        <w:t>9.与磋商有关的一切正式往来请寄：</w:t>
      </w:r>
    </w:p>
    <w:p w14:paraId="0CBE6253">
      <w:pPr>
        <w:adjustRightInd w:val="0"/>
        <w:spacing w:line="560" w:lineRule="exact"/>
        <w:ind w:firstLine="560" w:firstLineChars="200"/>
        <w:textAlignment w:val="baseline"/>
        <w:rPr>
          <w:rFonts w:ascii="仿宋_GB2312" w:eastAsia="仿宋_GB2312"/>
          <w:color w:val="auto"/>
          <w:sz w:val="28"/>
          <w:szCs w:val="28"/>
          <w:highlight w:val="none"/>
        </w:rPr>
      </w:pPr>
      <w:r>
        <w:rPr>
          <w:rFonts w:hint="eastAsia" w:ascii="仿宋_GB2312" w:eastAsia="仿宋_GB2312"/>
          <w:color w:val="auto"/>
          <w:sz w:val="28"/>
          <w:szCs w:val="28"/>
          <w:highlight w:val="none"/>
        </w:rPr>
        <w:t>地址：                       邮箱：</w:t>
      </w:r>
    </w:p>
    <w:p w14:paraId="42A1834E">
      <w:pPr>
        <w:adjustRightInd w:val="0"/>
        <w:spacing w:line="560" w:lineRule="exact"/>
        <w:ind w:firstLine="560" w:firstLineChars="200"/>
        <w:textAlignment w:val="baseline"/>
        <w:rPr>
          <w:rFonts w:ascii="仿宋_GB2312" w:eastAsia="仿宋_GB2312"/>
          <w:color w:val="auto"/>
          <w:sz w:val="28"/>
          <w:szCs w:val="28"/>
          <w:highlight w:val="none"/>
        </w:rPr>
      </w:pPr>
      <w:r>
        <w:rPr>
          <w:rFonts w:hint="eastAsia" w:ascii="仿宋_GB2312" w:eastAsia="仿宋_GB2312"/>
          <w:color w:val="auto"/>
          <w:sz w:val="28"/>
          <w:szCs w:val="28"/>
          <w:highlight w:val="none"/>
        </w:rPr>
        <w:t>电话：                       传真：</w:t>
      </w:r>
    </w:p>
    <w:p w14:paraId="11C63B6E">
      <w:pPr>
        <w:adjustRightInd w:val="0"/>
        <w:spacing w:line="560" w:lineRule="exact"/>
        <w:ind w:firstLine="3640" w:firstLineChars="1300"/>
        <w:textAlignment w:val="baseline"/>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供应商名称：（单位公章）  </w:t>
      </w:r>
    </w:p>
    <w:p w14:paraId="6EAF41EE">
      <w:pPr>
        <w:adjustRightInd w:val="0"/>
        <w:spacing w:line="560" w:lineRule="exact"/>
        <w:ind w:firstLine="3640" w:firstLineChars="1300"/>
        <w:textAlignment w:val="baseline"/>
        <w:rPr>
          <w:rFonts w:ascii="仿宋_GB2312" w:eastAsia="仿宋_GB2312"/>
          <w:color w:val="auto"/>
          <w:sz w:val="28"/>
          <w:szCs w:val="28"/>
          <w:highlight w:val="none"/>
        </w:rPr>
      </w:pPr>
      <w:r>
        <w:rPr>
          <w:rFonts w:hint="eastAsia" w:ascii="仿宋_GB2312" w:eastAsia="仿宋_GB2312"/>
          <w:color w:val="auto"/>
          <w:sz w:val="28"/>
          <w:szCs w:val="28"/>
          <w:highlight w:val="none"/>
        </w:rPr>
        <w:t>法定代表人：（</w:t>
      </w:r>
      <w:r>
        <w:rPr>
          <w:rFonts w:hint="eastAsia" w:ascii="仿宋_GB2312" w:eastAsia="仿宋_GB2312"/>
          <w:color w:val="auto"/>
          <w:sz w:val="28"/>
          <w:szCs w:val="28"/>
          <w:highlight w:val="none"/>
          <w:lang w:val="en-US" w:eastAsia="zh-CN"/>
        </w:rPr>
        <w:t>电子签章</w:t>
      </w:r>
      <w:r>
        <w:rPr>
          <w:rFonts w:hint="eastAsia" w:ascii="仿宋_GB2312" w:eastAsia="仿宋_GB2312"/>
          <w:color w:val="auto"/>
          <w:sz w:val="28"/>
          <w:szCs w:val="28"/>
          <w:highlight w:val="none"/>
        </w:rPr>
        <w:t>）</w:t>
      </w:r>
    </w:p>
    <w:p w14:paraId="685FBF22">
      <w:pPr>
        <w:wordWrap w:val="0"/>
        <w:spacing w:line="360" w:lineRule="auto"/>
        <w:ind w:firstLine="560" w:firstLineChars="200"/>
        <w:jc w:val="right"/>
        <w:rPr>
          <w:rFonts w:ascii="仿宋_GB2312" w:eastAsia="仿宋_GB2312"/>
          <w:color w:val="auto"/>
          <w:sz w:val="28"/>
          <w:szCs w:val="28"/>
          <w:highlight w:val="none"/>
        </w:rPr>
      </w:pPr>
      <w:r>
        <w:rPr>
          <w:rFonts w:ascii="仿宋_GB2312" w:eastAsia="仿宋_GB2312"/>
          <w:color w:val="auto"/>
          <w:sz w:val="28"/>
          <w:szCs w:val="28"/>
          <w:highlight w:val="none"/>
        </w:rPr>
        <w:t xml:space="preserve">    </w:t>
      </w:r>
      <w:r>
        <w:rPr>
          <w:rFonts w:hint="eastAsia" w:ascii="仿宋_GB2312" w:eastAsia="仿宋_GB2312"/>
          <w:color w:val="auto"/>
          <w:sz w:val="28"/>
          <w:szCs w:val="28"/>
          <w:highlight w:val="none"/>
        </w:rPr>
        <w:t xml:space="preserve">     年  月  日</w:t>
      </w:r>
      <w:r>
        <w:rPr>
          <w:rFonts w:hint="eastAsia" w:ascii="黑体" w:eastAsia="黑体"/>
          <w:color w:val="auto"/>
          <w:sz w:val="28"/>
          <w:szCs w:val="28"/>
          <w:highlight w:val="none"/>
        </w:rPr>
        <w:t xml:space="preserve"> </w:t>
      </w:r>
    </w:p>
    <w:p w14:paraId="435EA77B">
      <w:pPr>
        <w:numPr>
          <w:ilvl w:val="0"/>
          <w:numId w:val="0"/>
        </w:numPr>
        <w:spacing w:line="360" w:lineRule="auto"/>
        <w:jc w:val="left"/>
        <w:rPr>
          <w:rFonts w:hint="eastAsia" w:ascii="仿宋_GB2312" w:hAnsi="宋体" w:eastAsia="仿宋_GB2312" w:cs="Lucida Sans Unicode"/>
          <w:color w:val="auto"/>
          <w:sz w:val="28"/>
          <w:szCs w:val="28"/>
          <w:highlight w:val="none"/>
        </w:rPr>
      </w:pPr>
    </w:p>
    <w:p w14:paraId="7D92438E">
      <w:pPr>
        <w:numPr>
          <w:ilvl w:val="0"/>
          <w:numId w:val="0"/>
        </w:numPr>
        <w:spacing w:line="360" w:lineRule="auto"/>
        <w:jc w:val="left"/>
        <w:rPr>
          <w:rFonts w:hint="eastAsia" w:ascii="仿宋_GB2312" w:hAnsi="宋体" w:eastAsia="仿宋_GB2312" w:cs="Lucida Sans Unicode"/>
          <w:color w:val="auto"/>
          <w:sz w:val="28"/>
          <w:szCs w:val="28"/>
          <w:highlight w:val="none"/>
        </w:rPr>
      </w:pPr>
    </w:p>
    <w:p w14:paraId="60D21F06">
      <w:pPr>
        <w:numPr>
          <w:ilvl w:val="0"/>
          <w:numId w:val="0"/>
        </w:numPr>
        <w:spacing w:line="360" w:lineRule="auto"/>
        <w:jc w:val="left"/>
        <w:rPr>
          <w:rFonts w:hint="eastAsia" w:ascii="仿宋_GB2312" w:hAnsi="宋体" w:eastAsia="仿宋_GB2312" w:cs="Lucida Sans Unicode"/>
          <w:color w:val="auto"/>
          <w:sz w:val="28"/>
          <w:szCs w:val="28"/>
          <w:highlight w:val="none"/>
        </w:rPr>
      </w:pPr>
    </w:p>
    <w:p w14:paraId="75FFE637">
      <w:pPr>
        <w:numPr>
          <w:ilvl w:val="0"/>
          <w:numId w:val="0"/>
        </w:numPr>
        <w:spacing w:line="360" w:lineRule="auto"/>
        <w:jc w:val="left"/>
        <w:rPr>
          <w:rFonts w:hint="eastAsia" w:ascii="仿宋_GB2312" w:hAnsi="宋体" w:eastAsia="仿宋_GB2312" w:cs="Lucida Sans Unicode"/>
          <w:color w:val="auto"/>
          <w:sz w:val="28"/>
          <w:szCs w:val="28"/>
          <w:highlight w:val="none"/>
        </w:rPr>
      </w:pPr>
    </w:p>
    <w:p w14:paraId="2F63C98A">
      <w:pPr>
        <w:numPr>
          <w:ilvl w:val="0"/>
          <w:numId w:val="0"/>
        </w:numPr>
        <w:spacing w:line="360" w:lineRule="auto"/>
        <w:jc w:val="left"/>
        <w:rPr>
          <w:rFonts w:hint="eastAsia" w:ascii="仿宋_GB2312" w:hAnsi="宋体" w:eastAsia="仿宋_GB2312" w:cs="Lucida Sans Unicode"/>
          <w:color w:val="auto"/>
          <w:sz w:val="28"/>
          <w:szCs w:val="28"/>
          <w:highlight w:val="none"/>
        </w:rPr>
      </w:pPr>
    </w:p>
    <w:p w14:paraId="57A1E219">
      <w:pPr>
        <w:numPr>
          <w:ilvl w:val="0"/>
          <w:numId w:val="0"/>
        </w:numPr>
        <w:spacing w:line="360" w:lineRule="auto"/>
        <w:jc w:val="left"/>
        <w:rPr>
          <w:rFonts w:hint="eastAsia" w:ascii="仿宋_GB2312" w:hAnsi="宋体" w:eastAsia="仿宋_GB2312" w:cs="Lucida Sans Unicode"/>
          <w:color w:val="auto"/>
          <w:sz w:val="28"/>
          <w:szCs w:val="28"/>
          <w:highlight w:val="none"/>
        </w:rPr>
      </w:pPr>
    </w:p>
    <w:p w14:paraId="4D3E01D6">
      <w:pPr>
        <w:numPr>
          <w:ilvl w:val="0"/>
          <w:numId w:val="0"/>
        </w:numPr>
        <w:spacing w:line="360" w:lineRule="auto"/>
        <w:jc w:val="left"/>
        <w:rPr>
          <w:rFonts w:hint="eastAsia" w:ascii="仿宋_GB2312" w:hAnsi="宋体" w:eastAsia="仿宋_GB2312" w:cs="Lucida Sans Unicode"/>
          <w:color w:val="auto"/>
          <w:sz w:val="28"/>
          <w:szCs w:val="28"/>
          <w:highlight w:val="none"/>
        </w:rPr>
      </w:pPr>
    </w:p>
    <w:p w14:paraId="108071F8">
      <w:pPr>
        <w:numPr>
          <w:ilvl w:val="0"/>
          <w:numId w:val="0"/>
        </w:numPr>
        <w:spacing w:line="360" w:lineRule="auto"/>
        <w:jc w:val="left"/>
        <w:rPr>
          <w:rFonts w:hint="eastAsia" w:ascii="仿宋_GB2312" w:hAnsi="宋体" w:eastAsia="仿宋_GB2312" w:cs="Lucida Sans Unicode"/>
          <w:color w:val="auto"/>
          <w:sz w:val="28"/>
          <w:szCs w:val="28"/>
          <w:highlight w:val="none"/>
        </w:rPr>
      </w:pPr>
    </w:p>
    <w:p w14:paraId="22249DE0">
      <w:pPr>
        <w:numPr>
          <w:ilvl w:val="0"/>
          <w:numId w:val="0"/>
        </w:numPr>
        <w:spacing w:line="360" w:lineRule="auto"/>
        <w:jc w:val="left"/>
        <w:rPr>
          <w:rFonts w:hint="eastAsia" w:ascii="仿宋_GB2312" w:hAnsi="宋体" w:eastAsia="仿宋_GB2312" w:cs="Lucida Sans Unicode"/>
          <w:color w:val="auto"/>
          <w:sz w:val="28"/>
          <w:szCs w:val="28"/>
          <w:highlight w:val="none"/>
        </w:rPr>
      </w:pPr>
    </w:p>
    <w:p w14:paraId="689FE8AF">
      <w:pPr>
        <w:numPr>
          <w:ilvl w:val="0"/>
          <w:numId w:val="0"/>
        </w:numPr>
        <w:spacing w:line="360" w:lineRule="auto"/>
        <w:jc w:val="left"/>
        <w:rPr>
          <w:rFonts w:hint="eastAsia" w:ascii="仿宋_GB2312" w:hAnsi="宋体" w:eastAsia="仿宋_GB2312" w:cs="Lucida Sans Unicode"/>
          <w:color w:val="auto"/>
          <w:sz w:val="28"/>
          <w:szCs w:val="28"/>
          <w:highlight w:val="none"/>
        </w:rPr>
      </w:pPr>
    </w:p>
    <w:p w14:paraId="5486808E">
      <w:pPr>
        <w:numPr>
          <w:ilvl w:val="0"/>
          <w:numId w:val="0"/>
        </w:numPr>
        <w:spacing w:line="360" w:lineRule="auto"/>
        <w:jc w:val="left"/>
        <w:rPr>
          <w:rFonts w:hint="eastAsia" w:ascii="仿宋_GB2312" w:hAnsi="宋体" w:eastAsia="仿宋_GB2312" w:cs="Lucida Sans Unicode"/>
          <w:color w:val="auto"/>
          <w:sz w:val="28"/>
          <w:szCs w:val="28"/>
          <w:highlight w:val="none"/>
        </w:rPr>
      </w:pPr>
    </w:p>
    <w:p w14:paraId="10690FA8">
      <w:pPr>
        <w:numPr>
          <w:ilvl w:val="0"/>
          <w:numId w:val="0"/>
        </w:numPr>
        <w:spacing w:line="360" w:lineRule="auto"/>
        <w:jc w:val="left"/>
        <w:rPr>
          <w:rFonts w:hint="eastAsia" w:ascii="仿宋_GB2312" w:hAnsi="宋体" w:eastAsia="仿宋_GB2312" w:cs="Lucida Sans Unicode"/>
          <w:color w:val="auto"/>
          <w:sz w:val="28"/>
          <w:szCs w:val="28"/>
          <w:highlight w:val="none"/>
        </w:rPr>
      </w:pPr>
    </w:p>
    <w:p w14:paraId="4DDFB1F2">
      <w:pPr>
        <w:numPr>
          <w:ilvl w:val="0"/>
          <w:numId w:val="0"/>
        </w:numPr>
        <w:spacing w:line="360" w:lineRule="auto"/>
        <w:jc w:val="left"/>
        <w:rPr>
          <w:rFonts w:hint="eastAsia" w:ascii="仿宋_GB2312" w:hAnsi="宋体" w:eastAsia="仿宋_GB2312" w:cs="Lucida Sans Unicode"/>
          <w:color w:val="auto"/>
          <w:sz w:val="28"/>
          <w:szCs w:val="28"/>
          <w:highlight w:val="none"/>
        </w:rPr>
      </w:pPr>
    </w:p>
    <w:p w14:paraId="24FD6785">
      <w:pPr>
        <w:numPr>
          <w:ilvl w:val="0"/>
          <w:numId w:val="0"/>
        </w:numPr>
        <w:spacing w:line="360" w:lineRule="auto"/>
        <w:jc w:val="left"/>
        <w:rPr>
          <w:rFonts w:hint="eastAsia" w:ascii="仿宋_GB2312" w:hAnsi="宋体" w:eastAsia="仿宋_GB2312" w:cs="Lucida Sans Unicode"/>
          <w:color w:val="auto"/>
          <w:sz w:val="28"/>
          <w:szCs w:val="28"/>
          <w:highlight w:val="none"/>
          <w:lang w:val="en-US" w:eastAsia="zh-CN"/>
        </w:rPr>
      </w:pPr>
      <w:r>
        <w:rPr>
          <w:rFonts w:hint="eastAsia" w:ascii="仿宋_GB2312" w:hAnsi="宋体" w:eastAsia="仿宋_GB2312" w:cs="Lucida Sans Unicode"/>
          <w:color w:val="auto"/>
          <w:sz w:val="28"/>
          <w:szCs w:val="28"/>
          <w:highlight w:val="none"/>
        </w:rPr>
        <w:t>格式</w:t>
      </w:r>
      <w:r>
        <w:rPr>
          <w:rFonts w:hint="eastAsia" w:ascii="仿宋_GB2312" w:hAnsi="宋体" w:eastAsia="仿宋_GB2312" w:cs="Lucida Sans Unicode"/>
          <w:color w:val="auto"/>
          <w:sz w:val="28"/>
          <w:szCs w:val="28"/>
          <w:highlight w:val="none"/>
          <w:lang w:val="en-US" w:eastAsia="zh-CN"/>
        </w:rPr>
        <w:t>7</w:t>
      </w:r>
    </w:p>
    <w:p w14:paraId="206B0BB7">
      <w:pPr>
        <w:spacing w:line="360" w:lineRule="auto"/>
        <w:jc w:val="left"/>
        <w:rPr>
          <w:rFonts w:hint="eastAsia" w:ascii="仿宋_GB2312" w:hAnsi="宋体" w:eastAsia="仿宋_GB2312" w:cs="Lucida Sans Unicode"/>
          <w:color w:val="auto"/>
          <w:sz w:val="28"/>
          <w:szCs w:val="28"/>
          <w:highlight w:val="none"/>
          <w:lang w:eastAsia="zh-CN"/>
        </w:rPr>
      </w:pPr>
    </w:p>
    <w:p w14:paraId="505ECF83">
      <w:pPr>
        <w:spacing w:line="360" w:lineRule="auto"/>
        <w:jc w:val="center"/>
        <w:rPr>
          <w:rFonts w:ascii="宋体" w:hAnsi="宋体"/>
          <w:b/>
          <w:color w:val="auto"/>
          <w:sz w:val="28"/>
          <w:szCs w:val="28"/>
          <w:highlight w:val="none"/>
        </w:rPr>
      </w:pPr>
      <w:r>
        <w:rPr>
          <w:rFonts w:hint="eastAsia" w:ascii="黑体" w:eastAsia="黑体"/>
          <w:color w:val="auto"/>
          <w:sz w:val="28"/>
          <w:szCs w:val="28"/>
          <w:highlight w:val="none"/>
        </w:rPr>
        <w:t>供应商公司基本情况简介</w:t>
      </w:r>
    </w:p>
    <w:tbl>
      <w:tblPr>
        <w:tblStyle w:val="21"/>
        <w:tblpPr w:leftFromText="180" w:rightFromText="180" w:vertAnchor="text" w:horzAnchor="margin" w:tblpXSpec="center" w:tblpY="2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1080"/>
        <w:gridCol w:w="1080"/>
        <w:gridCol w:w="285"/>
        <w:gridCol w:w="531"/>
        <w:gridCol w:w="705"/>
        <w:gridCol w:w="809"/>
        <w:gridCol w:w="816"/>
        <w:gridCol w:w="1395"/>
      </w:tblGrid>
      <w:tr w14:paraId="48AF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88" w:type="dxa"/>
            <w:noWrap w:val="0"/>
            <w:vAlign w:val="center"/>
          </w:tcPr>
          <w:p w14:paraId="52A99F83">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名称</w:t>
            </w:r>
          </w:p>
        </w:tc>
        <w:tc>
          <w:tcPr>
            <w:tcW w:w="6701" w:type="dxa"/>
            <w:gridSpan w:val="8"/>
            <w:noWrap w:val="0"/>
            <w:vAlign w:val="center"/>
          </w:tcPr>
          <w:p w14:paraId="1775995E">
            <w:pPr>
              <w:spacing w:line="360" w:lineRule="auto"/>
              <w:jc w:val="center"/>
              <w:rPr>
                <w:rFonts w:hint="eastAsia" w:ascii="宋体" w:hAnsi="宋体" w:eastAsia="宋体" w:cs="宋体"/>
                <w:color w:val="auto"/>
                <w:sz w:val="21"/>
                <w:szCs w:val="21"/>
                <w:highlight w:val="none"/>
              </w:rPr>
            </w:pPr>
          </w:p>
        </w:tc>
      </w:tr>
      <w:tr w14:paraId="0F68E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88" w:type="dxa"/>
            <w:noWrap w:val="0"/>
            <w:vAlign w:val="center"/>
          </w:tcPr>
          <w:p w14:paraId="1B88F245">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注册地址</w:t>
            </w:r>
          </w:p>
        </w:tc>
        <w:tc>
          <w:tcPr>
            <w:tcW w:w="2445" w:type="dxa"/>
            <w:gridSpan w:val="3"/>
            <w:noWrap w:val="0"/>
            <w:vAlign w:val="center"/>
          </w:tcPr>
          <w:p w14:paraId="0E66CAF6">
            <w:pPr>
              <w:spacing w:line="360" w:lineRule="auto"/>
              <w:jc w:val="center"/>
              <w:rPr>
                <w:rFonts w:hint="eastAsia" w:ascii="宋体" w:hAnsi="宋体" w:eastAsia="宋体" w:cs="宋体"/>
                <w:color w:val="auto"/>
                <w:sz w:val="21"/>
                <w:szCs w:val="21"/>
                <w:highlight w:val="none"/>
              </w:rPr>
            </w:pPr>
          </w:p>
        </w:tc>
        <w:tc>
          <w:tcPr>
            <w:tcW w:w="1236" w:type="dxa"/>
            <w:gridSpan w:val="2"/>
            <w:noWrap w:val="0"/>
            <w:vAlign w:val="center"/>
          </w:tcPr>
          <w:p w14:paraId="3BBECD4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c>
          <w:tcPr>
            <w:tcW w:w="3020" w:type="dxa"/>
            <w:gridSpan w:val="3"/>
            <w:noWrap w:val="0"/>
            <w:vAlign w:val="center"/>
          </w:tcPr>
          <w:p w14:paraId="000E1583">
            <w:pPr>
              <w:spacing w:line="360" w:lineRule="auto"/>
              <w:jc w:val="center"/>
              <w:rPr>
                <w:rFonts w:hint="eastAsia" w:ascii="宋体" w:hAnsi="宋体" w:eastAsia="宋体" w:cs="宋体"/>
                <w:color w:val="auto"/>
                <w:sz w:val="21"/>
                <w:szCs w:val="21"/>
                <w:highlight w:val="none"/>
              </w:rPr>
            </w:pPr>
          </w:p>
        </w:tc>
      </w:tr>
      <w:tr w14:paraId="17B0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88" w:type="dxa"/>
            <w:vMerge w:val="restart"/>
            <w:noWrap w:val="0"/>
            <w:vAlign w:val="center"/>
          </w:tcPr>
          <w:p w14:paraId="34C411B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联系方式</w:t>
            </w:r>
          </w:p>
        </w:tc>
        <w:tc>
          <w:tcPr>
            <w:tcW w:w="1080" w:type="dxa"/>
            <w:noWrap w:val="0"/>
            <w:vAlign w:val="center"/>
          </w:tcPr>
          <w:p w14:paraId="40FBE3EA">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p>
        </w:tc>
        <w:tc>
          <w:tcPr>
            <w:tcW w:w="1365" w:type="dxa"/>
            <w:gridSpan w:val="2"/>
            <w:noWrap w:val="0"/>
            <w:vAlign w:val="center"/>
          </w:tcPr>
          <w:p w14:paraId="41F01962">
            <w:pPr>
              <w:spacing w:line="360" w:lineRule="auto"/>
              <w:jc w:val="center"/>
              <w:rPr>
                <w:rFonts w:hint="eastAsia" w:ascii="宋体" w:hAnsi="宋体" w:eastAsia="宋体" w:cs="宋体"/>
                <w:color w:val="auto"/>
                <w:sz w:val="21"/>
                <w:szCs w:val="21"/>
                <w:highlight w:val="none"/>
              </w:rPr>
            </w:pPr>
          </w:p>
        </w:tc>
        <w:tc>
          <w:tcPr>
            <w:tcW w:w="1236" w:type="dxa"/>
            <w:gridSpan w:val="2"/>
            <w:noWrap w:val="0"/>
            <w:vAlign w:val="center"/>
          </w:tcPr>
          <w:p w14:paraId="41827544">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p>
        </w:tc>
        <w:tc>
          <w:tcPr>
            <w:tcW w:w="3020" w:type="dxa"/>
            <w:gridSpan w:val="3"/>
            <w:noWrap w:val="0"/>
            <w:vAlign w:val="center"/>
          </w:tcPr>
          <w:p w14:paraId="4D7BA433">
            <w:pPr>
              <w:spacing w:line="360" w:lineRule="auto"/>
              <w:jc w:val="center"/>
              <w:rPr>
                <w:rFonts w:hint="eastAsia" w:ascii="宋体" w:hAnsi="宋体" w:eastAsia="宋体" w:cs="宋体"/>
                <w:color w:val="auto"/>
                <w:sz w:val="21"/>
                <w:szCs w:val="21"/>
                <w:highlight w:val="none"/>
              </w:rPr>
            </w:pPr>
          </w:p>
        </w:tc>
      </w:tr>
      <w:tr w14:paraId="590A2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88" w:type="dxa"/>
            <w:vMerge w:val="continue"/>
            <w:noWrap w:val="0"/>
            <w:vAlign w:val="center"/>
          </w:tcPr>
          <w:p w14:paraId="29B19D97">
            <w:pPr>
              <w:spacing w:line="360" w:lineRule="auto"/>
              <w:jc w:val="center"/>
              <w:rPr>
                <w:rFonts w:hint="eastAsia" w:ascii="宋体" w:hAnsi="宋体" w:eastAsia="宋体" w:cs="宋体"/>
                <w:color w:val="auto"/>
                <w:sz w:val="21"/>
                <w:szCs w:val="21"/>
                <w:highlight w:val="none"/>
              </w:rPr>
            </w:pPr>
          </w:p>
        </w:tc>
        <w:tc>
          <w:tcPr>
            <w:tcW w:w="1080" w:type="dxa"/>
            <w:noWrap w:val="0"/>
            <w:vAlign w:val="center"/>
          </w:tcPr>
          <w:p w14:paraId="64A3710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传真</w:t>
            </w:r>
          </w:p>
        </w:tc>
        <w:tc>
          <w:tcPr>
            <w:tcW w:w="1365" w:type="dxa"/>
            <w:gridSpan w:val="2"/>
            <w:noWrap w:val="0"/>
            <w:vAlign w:val="center"/>
          </w:tcPr>
          <w:p w14:paraId="75224FE0">
            <w:pPr>
              <w:spacing w:line="360" w:lineRule="auto"/>
              <w:jc w:val="center"/>
              <w:rPr>
                <w:rFonts w:hint="eastAsia" w:ascii="宋体" w:hAnsi="宋体" w:eastAsia="宋体" w:cs="宋体"/>
                <w:color w:val="auto"/>
                <w:sz w:val="21"/>
                <w:szCs w:val="21"/>
                <w:highlight w:val="none"/>
              </w:rPr>
            </w:pPr>
          </w:p>
        </w:tc>
        <w:tc>
          <w:tcPr>
            <w:tcW w:w="1236" w:type="dxa"/>
            <w:gridSpan w:val="2"/>
            <w:noWrap w:val="0"/>
            <w:vAlign w:val="center"/>
          </w:tcPr>
          <w:p w14:paraId="2AD59A73">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网址</w:t>
            </w:r>
          </w:p>
        </w:tc>
        <w:tc>
          <w:tcPr>
            <w:tcW w:w="3020" w:type="dxa"/>
            <w:gridSpan w:val="3"/>
            <w:noWrap w:val="0"/>
            <w:vAlign w:val="center"/>
          </w:tcPr>
          <w:p w14:paraId="75FA71AA">
            <w:pPr>
              <w:spacing w:line="360" w:lineRule="auto"/>
              <w:jc w:val="center"/>
              <w:rPr>
                <w:rFonts w:hint="eastAsia" w:ascii="宋体" w:hAnsi="宋体" w:eastAsia="宋体" w:cs="宋体"/>
                <w:color w:val="auto"/>
                <w:sz w:val="21"/>
                <w:szCs w:val="21"/>
                <w:highlight w:val="none"/>
              </w:rPr>
            </w:pPr>
          </w:p>
        </w:tc>
      </w:tr>
      <w:tr w14:paraId="07E9A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88" w:type="dxa"/>
            <w:noWrap w:val="0"/>
            <w:vAlign w:val="center"/>
          </w:tcPr>
          <w:p w14:paraId="3F01EE0A">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营业执照号</w:t>
            </w:r>
          </w:p>
        </w:tc>
        <w:tc>
          <w:tcPr>
            <w:tcW w:w="6701" w:type="dxa"/>
            <w:gridSpan w:val="8"/>
            <w:noWrap w:val="0"/>
            <w:vAlign w:val="center"/>
          </w:tcPr>
          <w:p w14:paraId="5272C424">
            <w:pPr>
              <w:spacing w:line="360" w:lineRule="auto"/>
              <w:jc w:val="center"/>
              <w:rPr>
                <w:rFonts w:hint="eastAsia" w:ascii="宋体" w:hAnsi="宋体" w:eastAsia="宋体" w:cs="宋体"/>
                <w:color w:val="auto"/>
                <w:sz w:val="21"/>
                <w:szCs w:val="21"/>
                <w:highlight w:val="none"/>
              </w:rPr>
            </w:pPr>
          </w:p>
        </w:tc>
      </w:tr>
      <w:tr w14:paraId="6ACBE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88" w:type="dxa"/>
            <w:noWrap w:val="0"/>
            <w:vAlign w:val="center"/>
          </w:tcPr>
          <w:p w14:paraId="66F1AF4D">
            <w:pPr>
              <w:spacing w:line="2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税务登记证号</w:t>
            </w:r>
          </w:p>
        </w:tc>
        <w:tc>
          <w:tcPr>
            <w:tcW w:w="6701" w:type="dxa"/>
            <w:gridSpan w:val="8"/>
            <w:noWrap w:val="0"/>
            <w:vAlign w:val="center"/>
          </w:tcPr>
          <w:p w14:paraId="0C693612">
            <w:pPr>
              <w:spacing w:line="2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tc>
      </w:tr>
      <w:tr w14:paraId="68E0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88" w:type="dxa"/>
            <w:noWrap w:val="0"/>
            <w:vAlign w:val="center"/>
          </w:tcPr>
          <w:p w14:paraId="44D592B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组织机构代码证号</w:t>
            </w:r>
          </w:p>
        </w:tc>
        <w:tc>
          <w:tcPr>
            <w:tcW w:w="6701" w:type="dxa"/>
            <w:gridSpan w:val="8"/>
            <w:noWrap w:val="0"/>
            <w:vAlign w:val="center"/>
          </w:tcPr>
          <w:p w14:paraId="5229348A">
            <w:pPr>
              <w:spacing w:line="360" w:lineRule="auto"/>
              <w:jc w:val="center"/>
              <w:rPr>
                <w:rFonts w:hint="eastAsia" w:ascii="宋体" w:hAnsi="宋体" w:eastAsia="宋体" w:cs="宋体"/>
                <w:color w:val="auto"/>
                <w:sz w:val="21"/>
                <w:szCs w:val="21"/>
                <w:highlight w:val="none"/>
              </w:rPr>
            </w:pPr>
          </w:p>
        </w:tc>
      </w:tr>
      <w:tr w14:paraId="6FDE1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88" w:type="dxa"/>
            <w:noWrap w:val="0"/>
            <w:vAlign w:val="center"/>
          </w:tcPr>
          <w:p w14:paraId="701AA420">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tc>
        <w:tc>
          <w:tcPr>
            <w:tcW w:w="1080" w:type="dxa"/>
            <w:noWrap w:val="0"/>
            <w:vAlign w:val="center"/>
          </w:tcPr>
          <w:p w14:paraId="486663B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1080" w:type="dxa"/>
            <w:noWrap w:val="0"/>
            <w:vAlign w:val="center"/>
          </w:tcPr>
          <w:p w14:paraId="3588F7B0">
            <w:pPr>
              <w:spacing w:line="360" w:lineRule="auto"/>
              <w:jc w:val="center"/>
              <w:rPr>
                <w:rFonts w:hint="eastAsia" w:ascii="宋体" w:hAnsi="宋体" w:eastAsia="宋体" w:cs="宋体"/>
                <w:color w:val="auto"/>
                <w:sz w:val="21"/>
                <w:szCs w:val="21"/>
                <w:highlight w:val="none"/>
              </w:rPr>
            </w:pPr>
          </w:p>
        </w:tc>
        <w:tc>
          <w:tcPr>
            <w:tcW w:w="816" w:type="dxa"/>
            <w:gridSpan w:val="2"/>
            <w:noWrap w:val="0"/>
            <w:vAlign w:val="center"/>
          </w:tcPr>
          <w:p w14:paraId="17EC5D7D">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职务</w:t>
            </w:r>
          </w:p>
        </w:tc>
        <w:tc>
          <w:tcPr>
            <w:tcW w:w="1514" w:type="dxa"/>
            <w:gridSpan w:val="2"/>
            <w:noWrap w:val="0"/>
            <w:vAlign w:val="center"/>
          </w:tcPr>
          <w:p w14:paraId="38B0808A">
            <w:pPr>
              <w:spacing w:line="360" w:lineRule="auto"/>
              <w:jc w:val="center"/>
              <w:rPr>
                <w:rFonts w:hint="eastAsia" w:ascii="宋体" w:hAnsi="宋体" w:eastAsia="宋体" w:cs="宋体"/>
                <w:color w:val="auto"/>
                <w:sz w:val="21"/>
                <w:szCs w:val="21"/>
                <w:highlight w:val="none"/>
              </w:rPr>
            </w:pPr>
          </w:p>
        </w:tc>
        <w:tc>
          <w:tcPr>
            <w:tcW w:w="816" w:type="dxa"/>
            <w:noWrap w:val="0"/>
            <w:vAlign w:val="center"/>
          </w:tcPr>
          <w:p w14:paraId="33AB7D7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p>
        </w:tc>
        <w:tc>
          <w:tcPr>
            <w:tcW w:w="1395" w:type="dxa"/>
            <w:noWrap w:val="0"/>
            <w:vAlign w:val="center"/>
          </w:tcPr>
          <w:p w14:paraId="4BAFA367">
            <w:pPr>
              <w:spacing w:line="360" w:lineRule="auto"/>
              <w:jc w:val="center"/>
              <w:rPr>
                <w:rFonts w:hint="eastAsia" w:ascii="宋体" w:hAnsi="宋体" w:eastAsia="宋体" w:cs="宋体"/>
                <w:color w:val="auto"/>
                <w:sz w:val="21"/>
                <w:szCs w:val="21"/>
                <w:highlight w:val="none"/>
              </w:rPr>
            </w:pPr>
          </w:p>
        </w:tc>
      </w:tr>
      <w:tr w14:paraId="73874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88" w:type="dxa"/>
            <w:noWrap w:val="0"/>
            <w:vAlign w:val="center"/>
          </w:tcPr>
          <w:p w14:paraId="6672DF90">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注册资金</w:t>
            </w:r>
          </w:p>
        </w:tc>
        <w:tc>
          <w:tcPr>
            <w:tcW w:w="2160" w:type="dxa"/>
            <w:gridSpan w:val="2"/>
            <w:noWrap w:val="0"/>
            <w:vAlign w:val="center"/>
          </w:tcPr>
          <w:p w14:paraId="3D54D4F2">
            <w:pPr>
              <w:spacing w:line="360" w:lineRule="auto"/>
              <w:jc w:val="center"/>
              <w:rPr>
                <w:rFonts w:hint="eastAsia" w:ascii="宋体" w:hAnsi="宋体" w:eastAsia="宋体" w:cs="宋体"/>
                <w:color w:val="auto"/>
                <w:sz w:val="21"/>
                <w:szCs w:val="21"/>
                <w:highlight w:val="none"/>
              </w:rPr>
            </w:pPr>
          </w:p>
        </w:tc>
        <w:tc>
          <w:tcPr>
            <w:tcW w:w="2330" w:type="dxa"/>
            <w:gridSpan w:val="4"/>
            <w:noWrap w:val="0"/>
            <w:vAlign w:val="center"/>
          </w:tcPr>
          <w:p w14:paraId="5B284F21">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成立时间</w:t>
            </w:r>
          </w:p>
        </w:tc>
        <w:tc>
          <w:tcPr>
            <w:tcW w:w="2211" w:type="dxa"/>
            <w:gridSpan w:val="2"/>
            <w:noWrap w:val="0"/>
            <w:vAlign w:val="center"/>
          </w:tcPr>
          <w:p w14:paraId="6D4D1370">
            <w:pPr>
              <w:spacing w:line="360" w:lineRule="auto"/>
              <w:jc w:val="center"/>
              <w:rPr>
                <w:rFonts w:hint="eastAsia" w:ascii="宋体" w:hAnsi="宋体" w:eastAsia="宋体" w:cs="宋体"/>
                <w:color w:val="auto"/>
                <w:sz w:val="21"/>
                <w:szCs w:val="21"/>
                <w:highlight w:val="none"/>
              </w:rPr>
            </w:pPr>
          </w:p>
        </w:tc>
      </w:tr>
      <w:tr w14:paraId="3931F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88" w:type="dxa"/>
            <w:noWrap w:val="0"/>
            <w:vAlign w:val="center"/>
          </w:tcPr>
          <w:p w14:paraId="15144493">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p>
        </w:tc>
        <w:tc>
          <w:tcPr>
            <w:tcW w:w="2160" w:type="dxa"/>
            <w:gridSpan w:val="2"/>
            <w:noWrap w:val="0"/>
            <w:vAlign w:val="center"/>
          </w:tcPr>
          <w:p w14:paraId="6F8AB8C1">
            <w:pPr>
              <w:spacing w:line="360" w:lineRule="auto"/>
              <w:jc w:val="center"/>
              <w:rPr>
                <w:rFonts w:hint="eastAsia" w:ascii="宋体" w:hAnsi="宋体" w:eastAsia="宋体" w:cs="宋体"/>
                <w:color w:val="auto"/>
                <w:sz w:val="21"/>
                <w:szCs w:val="21"/>
                <w:highlight w:val="none"/>
              </w:rPr>
            </w:pPr>
          </w:p>
        </w:tc>
        <w:tc>
          <w:tcPr>
            <w:tcW w:w="2330" w:type="dxa"/>
            <w:gridSpan w:val="4"/>
            <w:noWrap w:val="0"/>
            <w:vAlign w:val="center"/>
          </w:tcPr>
          <w:p w14:paraId="141A4761">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w:t>
            </w:r>
          </w:p>
        </w:tc>
        <w:tc>
          <w:tcPr>
            <w:tcW w:w="2211" w:type="dxa"/>
            <w:gridSpan w:val="2"/>
            <w:noWrap w:val="0"/>
            <w:vAlign w:val="center"/>
          </w:tcPr>
          <w:p w14:paraId="596D137C">
            <w:pPr>
              <w:spacing w:line="360" w:lineRule="auto"/>
              <w:jc w:val="center"/>
              <w:rPr>
                <w:rFonts w:hint="eastAsia" w:ascii="宋体" w:hAnsi="宋体" w:eastAsia="宋体" w:cs="宋体"/>
                <w:color w:val="auto"/>
                <w:sz w:val="21"/>
                <w:szCs w:val="21"/>
                <w:highlight w:val="none"/>
              </w:rPr>
            </w:pPr>
          </w:p>
        </w:tc>
      </w:tr>
      <w:tr w14:paraId="51D4C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88" w:type="dxa"/>
            <w:noWrap w:val="0"/>
            <w:vAlign w:val="center"/>
          </w:tcPr>
          <w:p w14:paraId="4EBE885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经营范围</w:t>
            </w:r>
          </w:p>
        </w:tc>
        <w:tc>
          <w:tcPr>
            <w:tcW w:w="6701" w:type="dxa"/>
            <w:gridSpan w:val="8"/>
            <w:noWrap w:val="0"/>
            <w:vAlign w:val="center"/>
          </w:tcPr>
          <w:p w14:paraId="24E13CC5">
            <w:pPr>
              <w:spacing w:line="360" w:lineRule="auto"/>
              <w:jc w:val="center"/>
              <w:rPr>
                <w:rFonts w:hint="eastAsia" w:ascii="宋体" w:hAnsi="宋体" w:eastAsia="宋体" w:cs="宋体"/>
                <w:color w:val="auto"/>
                <w:sz w:val="21"/>
                <w:szCs w:val="21"/>
                <w:highlight w:val="none"/>
              </w:rPr>
            </w:pPr>
          </w:p>
        </w:tc>
      </w:tr>
      <w:tr w14:paraId="7676A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088" w:type="dxa"/>
            <w:noWrap w:val="0"/>
            <w:vAlign w:val="center"/>
          </w:tcPr>
          <w:p w14:paraId="0B72A6A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701" w:type="dxa"/>
            <w:gridSpan w:val="8"/>
            <w:noWrap w:val="0"/>
            <w:vAlign w:val="center"/>
          </w:tcPr>
          <w:p w14:paraId="37F26FCB">
            <w:pPr>
              <w:spacing w:line="360" w:lineRule="auto"/>
              <w:jc w:val="center"/>
              <w:rPr>
                <w:rFonts w:hint="eastAsia" w:ascii="宋体" w:hAnsi="宋体" w:eastAsia="宋体" w:cs="宋体"/>
                <w:color w:val="auto"/>
                <w:sz w:val="21"/>
                <w:szCs w:val="21"/>
                <w:highlight w:val="none"/>
              </w:rPr>
            </w:pPr>
          </w:p>
        </w:tc>
      </w:tr>
    </w:tbl>
    <w:p w14:paraId="14DEDC85">
      <w:pPr>
        <w:spacing w:line="360" w:lineRule="auto"/>
        <w:rPr>
          <w:rFonts w:ascii="宋体" w:hAnsi="宋体"/>
          <w:b/>
          <w:color w:val="auto"/>
          <w:sz w:val="24"/>
          <w:szCs w:val="24"/>
          <w:highlight w:val="none"/>
        </w:rPr>
      </w:pPr>
      <w:r>
        <w:rPr>
          <w:rFonts w:hint="eastAsia" w:ascii="宋体" w:hAnsi="宋体"/>
          <w:color w:val="auto"/>
          <w:sz w:val="24"/>
          <w:szCs w:val="24"/>
          <w:highlight w:val="none"/>
        </w:rPr>
        <w:t>注：供应商可根据实际情况自行</w:t>
      </w:r>
      <w:r>
        <w:rPr>
          <w:rFonts w:hint="eastAsia" w:ascii="宋体" w:hAnsi="宋体"/>
          <w:bCs/>
          <w:color w:val="auto"/>
          <w:sz w:val="24"/>
          <w:szCs w:val="24"/>
          <w:highlight w:val="none"/>
        </w:rPr>
        <w:t>添加</w:t>
      </w:r>
      <w:r>
        <w:rPr>
          <w:rFonts w:hint="eastAsia" w:ascii="宋体" w:hAnsi="宋体"/>
          <w:color w:val="auto"/>
          <w:sz w:val="24"/>
          <w:szCs w:val="24"/>
          <w:highlight w:val="none"/>
        </w:rPr>
        <w:t>表格内容。</w:t>
      </w:r>
    </w:p>
    <w:p w14:paraId="4390E7A5">
      <w:pPr>
        <w:spacing w:line="560" w:lineRule="exact"/>
        <w:jc w:val="left"/>
        <w:rPr>
          <w:rFonts w:ascii="仿宋_GB2312" w:hAnsi="华文楷体" w:eastAsia="仿宋_GB2312"/>
          <w:b/>
          <w:color w:val="auto"/>
          <w:sz w:val="28"/>
          <w:szCs w:val="28"/>
          <w:highlight w:val="none"/>
        </w:rPr>
      </w:pPr>
      <w:r>
        <w:rPr>
          <w:rFonts w:hint="eastAsia" w:ascii="仿宋_GB2312" w:eastAsia="仿宋_GB2312"/>
          <w:color w:val="auto"/>
          <w:sz w:val="28"/>
          <w:szCs w:val="28"/>
          <w:highlight w:val="none"/>
        </w:rPr>
        <w:t xml:space="preserve"> 单位名称： （单位公章）</w:t>
      </w:r>
      <w:r>
        <w:rPr>
          <w:rFonts w:hint="eastAsia" w:ascii="仿宋_GB2312" w:eastAsia="仿宋_GB2312"/>
          <w:color w:val="auto"/>
          <w:sz w:val="28"/>
          <w:szCs w:val="28"/>
          <w:highlight w:val="none"/>
        </w:rPr>
        <w:br w:type="textWrapping"/>
      </w:r>
      <w:r>
        <w:rPr>
          <w:rFonts w:hint="eastAsia" w:ascii="仿宋_GB2312" w:eastAsia="仿宋_GB2312"/>
          <w:color w:val="auto"/>
          <w:sz w:val="28"/>
          <w:szCs w:val="28"/>
          <w:highlight w:val="none"/>
        </w:rPr>
        <w:t xml:space="preserve"> 法定代表人：(</w:t>
      </w:r>
      <w:r>
        <w:rPr>
          <w:rFonts w:hint="eastAsia" w:ascii="仿宋_GB2312" w:eastAsia="仿宋_GB2312"/>
          <w:color w:val="auto"/>
          <w:sz w:val="28"/>
          <w:szCs w:val="28"/>
          <w:highlight w:val="none"/>
          <w:lang w:val="en-US" w:eastAsia="zh-CN"/>
        </w:rPr>
        <w:t>电子签章</w:t>
      </w:r>
      <w:r>
        <w:rPr>
          <w:rFonts w:hint="eastAsia" w:ascii="仿宋_GB2312" w:eastAsia="仿宋_GB2312"/>
          <w:color w:val="auto"/>
          <w:sz w:val="28"/>
          <w:szCs w:val="28"/>
          <w:highlight w:val="none"/>
        </w:rPr>
        <w:t xml:space="preserve">) </w:t>
      </w:r>
    </w:p>
    <w:p w14:paraId="4BFF93ED">
      <w:pPr>
        <w:spacing w:line="360" w:lineRule="auto"/>
        <w:ind w:firstLine="562" w:firstLineChars="200"/>
        <w:jc w:val="center"/>
        <w:rPr>
          <w:rFonts w:ascii="宋体" w:hAnsi="宋体"/>
          <w:b/>
          <w:color w:val="auto"/>
          <w:sz w:val="28"/>
          <w:szCs w:val="28"/>
          <w:highlight w:val="none"/>
        </w:rPr>
      </w:pPr>
    </w:p>
    <w:p w14:paraId="1BC54635">
      <w:pPr>
        <w:spacing w:line="360" w:lineRule="auto"/>
        <w:ind w:firstLine="560" w:firstLineChars="200"/>
        <w:jc w:val="center"/>
        <w:rPr>
          <w:rFonts w:ascii="仿宋_GB2312" w:hAnsi="宋体" w:eastAsia="仿宋_GB2312" w:cs="Lucida Sans Unicode"/>
          <w:color w:val="auto"/>
          <w:sz w:val="28"/>
          <w:szCs w:val="28"/>
          <w:highlight w:val="none"/>
        </w:rPr>
      </w:pPr>
      <w:r>
        <w:rPr>
          <w:rFonts w:hint="eastAsia" w:ascii="仿宋_GB2312" w:eastAsia="仿宋_GB2312"/>
          <w:color w:val="auto"/>
          <w:sz w:val="28"/>
          <w:szCs w:val="28"/>
          <w:highlight w:val="none"/>
        </w:rPr>
        <w:t xml:space="preserve">                                      年  月  日</w:t>
      </w:r>
    </w:p>
    <w:p w14:paraId="4C42192C">
      <w:pPr>
        <w:spacing w:line="360" w:lineRule="auto"/>
        <w:jc w:val="left"/>
        <w:rPr>
          <w:rFonts w:hint="eastAsia" w:ascii="仿宋_GB2312" w:hAnsi="宋体" w:eastAsia="仿宋_GB2312" w:cs="Lucida Sans Unicode"/>
          <w:color w:val="auto"/>
          <w:sz w:val="30"/>
          <w:szCs w:val="30"/>
          <w:highlight w:val="none"/>
        </w:rPr>
      </w:pPr>
    </w:p>
    <w:p w14:paraId="07431FC2">
      <w:pPr>
        <w:spacing w:line="360" w:lineRule="auto"/>
        <w:jc w:val="left"/>
        <w:rPr>
          <w:rFonts w:hint="eastAsia" w:ascii="仿宋_GB2312" w:hAnsi="宋体" w:eastAsia="仿宋_GB2312" w:cs="Lucida Sans Unicode"/>
          <w:color w:val="auto"/>
          <w:sz w:val="30"/>
          <w:szCs w:val="30"/>
          <w:highlight w:val="none"/>
        </w:rPr>
      </w:pPr>
    </w:p>
    <w:p w14:paraId="194D41AB">
      <w:pPr>
        <w:spacing w:line="360" w:lineRule="auto"/>
        <w:jc w:val="left"/>
        <w:rPr>
          <w:rFonts w:hint="eastAsia" w:ascii="仿宋_GB2312" w:hAnsi="宋体" w:eastAsia="仿宋_GB2312" w:cs="Lucida Sans Unicode"/>
          <w:color w:val="auto"/>
          <w:sz w:val="28"/>
          <w:szCs w:val="28"/>
          <w:highlight w:val="none"/>
          <w:lang w:eastAsia="zh-CN"/>
        </w:rPr>
      </w:pPr>
      <w:r>
        <w:rPr>
          <w:rFonts w:hint="eastAsia" w:ascii="仿宋_GB2312" w:hAnsi="宋体" w:eastAsia="仿宋_GB2312" w:cs="Lucida Sans Unicode"/>
          <w:color w:val="auto"/>
          <w:sz w:val="28"/>
          <w:szCs w:val="28"/>
          <w:highlight w:val="none"/>
        </w:rPr>
        <w:t>格式</w:t>
      </w:r>
      <w:r>
        <w:rPr>
          <w:rFonts w:hint="eastAsia" w:ascii="仿宋_GB2312" w:hAnsi="宋体" w:eastAsia="仿宋_GB2312" w:cs="Lucida Sans Unicode"/>
          <w:color w:val="auto"/>
          <w:sz w:val="28"/>
          <w:szCs w:val="28"/>
          <w:highlight w:val="none"/>
          <w:lang w:val="en-US" w:eastAsia="zh-CN"/>
        </w:rPr>
        <w:t>8</w:t>
      </w:r>
    </w:p>
    <w:p w14:paraId="5A0D4D94">
      <w:pPr>
        <w:spacing w:line="360" w:lineRule="auto"/>
        <w:ind w:firstLine="560" w:firstLineChars="200"/>
        <w:jc w:val="center"/>
        <w:rPr>
          <w:rFonts w:ascii="黑体" w:eastAsia="黑体"/>
          <w:color w:val="auto"/>
          <w:sz w:val="28"/>
          <w:szCs w:val="28"/>
          <w:highlight w:val="none"/>
        </w:rPr>
      </w:pPr>
      <w:r>
        <w:rPr>
          <w:rFonts w:hint="eastAsia" w:ascii="黑体" w:eastAsia="黑体"/>
          <w:color w:val="auto"/>
          <w:sz w:val="28"/>
          <w:szCs w:val="28"/>
          <w:highlight w:val="none"/>
        </w:rPr>
        <w:t>反商业贿赂承诺书</w:t>
      </w:r>
    </w:p>
    <w:p w14:paraId="2D9AB599">
      <w:pPr>
        <w:spacing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在 </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采购活动中，我单位郑重承诺：</w:t>
      </w:r>
    </w:p>
    <w:p w14:paraId="1D24BF99">
      <w:pPr>
        <w:spacing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一、公平竞争参加本次竞争性磋商活动。</w:t>
      </w:r>
    </w:p>
    <w:p w14:paraId="73C729FE">
      <w:pPr>
        <w:spacing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二、杜绝任何形式的商业贿赂行为。不向国家工作人员、政府采购代理机构工作人员、评审专家及其亲属提供礼品、有价证券、购物券、回扣、佣金、咨询费、劳务费、赞助费、宣传费、宴请；不为其报销各种消费凭证，不支付其旅游、娱乐等费用。</w:t>
      </w:r>
    </w:p>
    <w:p w14:paraId="7E2EF7A9">
      <w:pPr>
        <w:spacing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三、若出现上述行为，我单位及参与投标的工作人员愿意接受按照国家法律法规等有关规定给予的处罚。</w:t>
      </w:r>
    </w:p>
    <w:p w14:paraId="4380B90E">
      <w:pPr>
        <w:spacing w:line="360" w:lineRule="auto"/>
        <w:ind w:firstLine="560" w:firstLineChars="200"/>
        <w:rPr>
          <w:rFonts w:ascii="仿宋_GB2312" w:eastAsia="仿宋_GB2312"/>
          <w:color w:val="auto"/>
          <w:sz w:val="28"/>
          <w:szCs w:val="28"/>
          <w:highlight w:val="none"/>
        </w:rPr>
      </w:pPr>
    </w:p>
    <w:p w14:paraId="25DE6CBE">
      <w:pPr>
        <w:spacing w:line="360" w:lineRule="auto"/>
        <w:ind w:firstLine="560" w:firstLineChars="200"/>
        <w:rPr>
          <w:rFonts w:ascii="仿宋_GB2312" w:eastAsia="仿宋_GB2312"/>
          <w:color w:val="auto"/>
          <w:sz w:val="28"/>
          <w:szCs w:val="28"/>
          <w:highlight w:val="none"/>
        </w:rPr>
      </w:pPr>
    </w:p>
    <w:p w14:paraId="7BC64C8E">
      <w:pPr>
        <w:spacing w:line="360" w:lineRule="auto"/>
        <w:rPr>
          <w:rFonts w:ascii="仿宋_GB2312" w:eastAsia="仿宋_GB2312"/>
          <w:color w:val="auto"/>
          <w:sz w:val="28"/>
          <w:szCs w:val="28"/>
          <w:highlight w:val="none"/>
        </w:rPr>
      </w:pPr>
    </w:p>
    <w:p w14:paraId="1E32CF1D">
      <w:pPr>
        <w:spacing w:line="360" w:lineRule="auto"/>
        <w:rPr>
          <w:rFonts w:ascii="仿宋_GB2312" w:eastAsia="仿宋_GB2312"/>
          <w:color w:val="auto"/>
          <w:sz w:val="28"/>
          <w:szCs w:val="28"/>
          <w:highlight w:val="none"/>
        </w:rPr>
      </w:pPr>
      <w:r>
        <w:rPr>
          <w:rFonts w:hint="eastAsia" w:ascii="仿宋_GB2312" w:eastAsia="仿宋_GB2312"/>
          <w:color w:val="auto"/>
          <w:sz w:val="28"/>
          <w:szCs w:val="28"/>
          <w:highlight w:val="none"/>
        </w:rPr>
        <w:t>承诺人：单位名称（公章）</w:t>
      </w:r>
    </w:p>
    <w:p w14:paraId="5DDCA28D">
      <w:pPr>
        <w:spacing w:line="360" w:lineRule="auto"/>
        <w:rPr>
          <w:rFonts w:ascii="仿宋_GB2312" w:eastAsia="仿宋_GB2312"/>
          <w:color w:val="auto"/>
          <w:sz w:val="28"/>
          <w:szCs w:val="28"/>
          <w:highlight w:val="none"/>
        </w:rPr>
      </w:pPr>
      <w:r>
        <w:rPr>
          <w:rFonts w:hint="eastAsia" w:ascii="仿宋_GB2312" w:eastAsia="仿宋_GB2312"/>
          <w:color w:val="auto"/>
          <w:sz w:val="28"/>
          <w:szCs w:val="28"/>
          <w:highlight w:val="none"/>
        </w:rPr>
        <w:t>法定代表人：(</w:t>
      </w:r>
      <w:r>
        <w:rPr>
          <w:rFonts w:hint="eastAsia" w:ascii="仿宋_GB2312" w:eastAsia="仿宋_GB2312"/>
          <w:color w:val="auto"/>
          <w:sz w:val="28"/>
          <w:szCs w:val="28"/>
          <w:highlight w:val="none"/>
          <w:lang w:val="en-US" w:eastAsia="zh-CN"/>
        </w:rPr>
        <w:t>电子签章</w:t>
      </w:r>
      <w:r>
        <w:rPr>
          <w:rFonts w:hint="eastAsia" w:ascii="仿宋_GB2312" w:eastAsia="仿宋_GB2312"/>
          <w:color w:val="auto"/>
          <w:sz w:val="28"/>
          <w:szCs w:val="28"/>
          <w:highlight w:val="none"/>
        </w:rPr>
        <w:t xml:space="preserve">) </w:t>
      </w:r>
    </w:p>
    <w:p w14:paraId="625050CE">
      <w:pPr>
        <w:spacing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                                           </w:t>
      </w:r>
    </w:p>
    <w:p w14:paraId="437A7D10">
      <w:pPr>
        <w:spacing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                                      年   月   日</w:t>
      </w:r>
    </w:p>
    <w:p w14:paraId="3554F638">
      <w:pPr>
        <w:spacing w:line="360" w:lineRule="auto"/>
        <w:jc w:val="center"/>
        <w:rPr>
          <w:rFonts w:ascii="黑体" w:eastAsia="黑体"/>
          <w:color w:val="auto"/>
          <w:sz w:val="30"/>
          <w:szCs w:val="30"/>
          <w:highlight w:val="none"/>
        </w:rPr>
      </w:pPr>
    </w:p>
    <w:p w14:paraId="415017C3">
      <w:pPr>
        <w:spacing w:line="360" w:lineRule="auto"/>
        <w:ind w:firstLine="602" w:firstLineChars="200"/>
        <w:jc w:val="center"/>
        <w:rPr>
          <w:rFonts w:ascii="宋体" w:hAnsi="宋体"/>
          <w:b/>
          <w:color w:val="auto"/>
          <w:sz w:val="30"/>
          <w:szCs w:val="30"/>
          <w:highlight w:val="none"/>
        </w:rPr>
      </w:pPr>
    </w:p>
    <w:p w14:paraId="27BD9AEE">
      <w:pPr>
        <w:spacing w:line="360" w:lineRule="auto"/>
        <w:jc w:val="left"/>
        <w:rPr>
          <w:rFonts w:ascii="仿宋_GB2312" w:hAnsi="宋体" w:eastAsia="仿宋_GB2312" w:cs="Lucida Sans Unicode"/>
          <w:color w:val="auto"/>
          <w:sz w:val="30"/>
          <w:szCs w:val="30"/>
          <w:highlight w:val="none"/>
        </w:rPr>
      </w:pPr>
    </w:p>
    <w:p w14:paraId="2EBC9BD1">
      <w:pPr>
        <w:spacing w:line="360" w:lineRule="auto"/>
        <w:jc w:val="left"/>
        <w:rPr>
          <w:rFonts w:ascii="仿宋_GB2312" w:hAnsi="宋体" w:eastAsia="仿宋_GB2312" w:cs="Lucida Sans Unicode"/>
          <w:color w:val="auto"/>
          <w:sz w:val="30"/>
          <w:szCs w:val="30"/>
          <w:highlight w:val="none"/>
        </w:rPr>
      </w:pPr>
    </w:p>
    <w:p w14:paraId="30B35DD1">
      <w:pPr>
        <w:spacing w:line="360" w:lineRule="auto"/>
        <w:jc w:val="left"/>
        <w:rPr>
          <w:rFonts w:hint="eastAsia" w:ascii="仿宋_GB2312" w:hAnsi="宋体" w:eastAsia="仿宋_GB2312" w:cs="Lucida Sans Unicode"/>
          <w:color w:val="auto"/>
          <w:sz w:val="28"/>
          <w:szCs w:val="28"/>
          <w:highlight w:val="none"/>
        </w:rPr>
      </w:pPr>
    </w:p>
    <w:p w14:paraId="1A80BB1F">
      <w:pPr>
        <w:spacing w:line="360" w:lineRule="auto"/>
        <w:jc w:val="left"/>
        <w:rPr>
          <w:rFonts w:hint="eastAsia" w:ascii="黑体" w:eastAsia="仿宋_GB2312"/>
          <w:color w:val="auto"/>
          <w:sz w:val="28"/>
          <w:szCs w:val="28"/>
          <w:highlight w:val="none"/>
          <w:lang w:eastAsia="zh-CN"/>
        </w:rPr>
      </w:pPr>
      <w:r>
        <w:rPr>
          <w:rFonts w:hint="eastAsia" w:ascii="仿宋_GB2312" w:hAnsi="宋体" w:eastAsia="仿宋_GB2312" w:cs="Lucida Sans Unicode"/>
          <w:color w:val="auto"/>
          <w:sz w:val="28"/>
          <w:szCs w:val="28"/>
          <w:highlight w:val="none"/>
        </w:rPr>
        <w:t>格式</w:t>
      </w:r>
      <w:r>
        <w:rPr>
          <w:rFonts w:hint="eastAsia" w:ascii="仿宋_GB2312" w:hAnsi="宋体" w:eastAsia="仿宋_GB2312" w:cs="Lucida Sans Unicode"/>
          <w:color w:val="auto"/>
          <w:sz w:val="28"/>
          <w:szCs w:val="28"/>
          <w:highlight w:val="none"/>
          <w:lang w:val="en-US" w:eastAsia="zh-CN"/>
        </w:rPr>
        <w:t>9</w:t>
      </w:r>
    </w:p>
    <w:p w14:paraId="1FC0F96E">
      <w:pPr>
        <w:spacing w:line="360" w:lineRule="auto"/>
        <w:jc w:val="center"/>
        <w:rPr>
          <w:rFonts w:ascii="黑体" w:eastAsia="黑体"/>
          <w:color w:val="auto"/>
          <w:sz w:val="28"/>
          <w:szCs w:val="28"/>
          <w:highlight w:val="none"/>
        </w:rPr>
      </w:pPr>
      <w:r>
        <w:rPr>
          <w:rFonts w:hint="eastAsia" w:ascii="黑体" w:eastAsia="黑体"/>
          <w:color w:val="auto"/>
          <w:sz w:val="28"/>
          <w:szCs w:val="28"/>
          <w:highlight w:val="none"/>
        </w:rPr>
        <w:t>报价一览表</w:t>
      </w:r>
    </w:p>
    <w:p w14:paraId="1A2D4D4A">
      <w:pPr>
        <w:spacing w:line="360" w:lineRule="auto"/>
        <w:rPr>
          <w:rFonts w:ascii="仿宋_GB2312" w:eastAsia="仿宋_GB2312"/>
          <w:color w:val="auto"/>
          <w:sz w:val="30"/>
          <w:szCs w:val="30"/>
          <w:highlight w:val="none"/>
        </w:rPr>
      </w:pPr>
    </w:p>
    <w:tbl>
      <w:tblPr>
        <w:tblStyle w:val="21"/>
        <w:tblW w:w="0" w:type="auto"/>
        <w:tblInd w:w="1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9"/>
        <w:gridCol w:w="6141"/>
      </w:tblGrid>
      <w:tr w14:paraId="74AAC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exact"/>
        </w:trPr>
        <w:tc>
          <w:tcPr>
            <w:tcW w:w="2699" w:type="dxa"/>
            <w:noWrap w:val="0"/>
            <w:vAlign w:val="center"/>
          </w:tcPr>
          <w:p w14:paraId="20587B04">
            <w:pPr>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项目名称</w:t>
            </w:r>
          </w:p>
        </w:tc>
        <w:tc>
          <w:tcPr>
            <w:tcW w:w="6141" w:type="dxa"/>
            <w:noWrap w:val="0"/>
            <w:vAlign w:val="center"/>
          </w:tcPr>
          <w:p w14:paraId="0BB01393">
            <w:pPr>
              <w:spacing w:line="360" w:lineRule="auto"/>
              <w:jc w:val="center"/>
              <w:rPr>
                <w:rFonts w:ascii="宋体" w:hAnsi="宋体"/>
                <w:color w:val="auto"/>
                <w:sz w:val="21"/>
                <w:szCs w:val="21"/>
                <w:highlight w:val="none"/>
              </w:rPr>
            </w:pPr>
          </w:p>
        </w:tc>
      </w:tr>
      <w:tr w14:paraId="7F805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exact"/>
        </w:trPr>
        <w:tc>
          <w:tcPr>
            <w:tcW w:w="2699" w:type="dxa"/>
            <w:noWrap w:val="0"/>
            <w:vAlign w:val="center"/>
          </w:tcPr>
          <w:p w14:paraId="09FF65F6">
            <w:pPr>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项目编号</w:t>
            </w:r>
          </w:p>
        </w:tc>
        <w:tc>
          <w:tcPr>
            <w:tcW w:w="6141" w:type="dxa"/>
            <w:noWrap w:val="0"/>
            <w:vAlign w:val="center"/>
          </w:tcPr>
          <w:p w14:paraId="67AC62D5">
            <w:pPr>
              <w:spacing w:line="360" w:lineRule="auto"/>
              <w:jc w:val="center"/>
              <w:rPr>
                <w:rFonts w:ascii="宋体" w:hAnsi="宋体"/>
                <w:color w:val="auto"/>
                <w:sz w:val="21"/>
                <w:szCs w:val="21"/>
                <w:highlight w:val="none"/>
              </w:rPr>
            </w:pPr>
          </w:p>
        </w:tc>
      </w:tr>
      <w:tr w14:paraId="7FDE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exact"/>
        </w:trPr>
        <w:tc>
          <w:tcPr>
            <w:tcW w:w="2699" w:type="dxa"/>
            <w:noWrap w:val="0"/>
            <w:vAlign w:val="center"/>
          </w:tcPr>
          <w:p w14:paraId="05F7B83A">
            <w:pPr>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磋商总价（小写）：</w:t>
            </w:r>
          </w:p>
        </w:tc>
        <w:tc>
          <w:tcPr>
            <w:tcW w:w="6141" w:type="dxa"/>
            <w:noWrap w:val="0"/>
            <w:vAlign w:val="center"/>
          </w:tcPr>
          <w:p w14:paraId="652EDF30">
            <w:pPr>
              <w:spacing w:line="360" w:lineRule="auto"/>
              <w:rPr>
                <w:rFonts w:ascii="宋体" w:hAnsi="宋体"/>
                <w:color w:val="auto"/>
                <w:sz w:val="21"/>
                <w:szCs w:val="21"/>
                <w:highlight w:val="none"/>
              </w:rPr>
            </w:pPr>
          </w:p>
        </w:tc>
      </w:tr>
      <w:tr w14:paraId="667D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exact"/>
        </w:trPr>
        <w:tc>
          <w:tcPr>
            <w:tcW w:w="2699" w:type="dxa"/>
            <w:noWrap w:val="0"/>
            <w:vAlign w:val="center"/>
          </w:tcPr>
          <w:p w14:paraId="4E5A2F86">
            <w:pPr>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磋商总价（大写）：</w:t>
            </w:r>
          </w:p>
        </w:tc>
        <w:tc>
          <w:tcPr>
            <w:tcW w:w="6141" w:type="dxa"/>
            <w:noWrap w:val="0"/>
            <w:vAlign w:val="center"/>
          </w:tcPr>
          <w:p w14:paraId="62C6B19E">
            <w:pPr>
              <w:spacing w:line="360" w:lineRule="auto"/>
              <w:rPr>
                <w:rFonts w:ascii="宋体" w:hAnsi="宋体"/>
                <w:color w:val="auto"/>
                <w:sz w:val="21"/>
                <w:szCs w:val="21"/>
                <w:highlight w:val="none"/>
              </w:rPr>
            </w:pPr>
          </w:p>
        </w:tc>
      </w:tr>
    </w:tbl>
    <w:p w14:paraId="40622860">
      <w:pPr>
        <w:spacing w:line="560" w:lineRule="exact"/>
        <w:rPr>
          <w:rFonts w:ascii="宋体" w:hAnsi="宋体"/>
          <w:color w:val="auto"/>
          <w:sz w:val="21"/>
          <w:szCs w:val="21"/>
          <w:highlight w:val="none"/>
        </w:rPr>
      </w:pPr>
      <w:r>
        <w:rPr>
          <w:rFonts w:hint="eastAsia" w:ascii="宋体" w:hAnsi="宋体"/>
          <w:color w:val="auto"/>
          <w:sz w:val="21"/>
          <w:szCs w:val="21"/>
          <w:highlight w:val="none"/>
        </w:rPr>
        <w:t>注：1.供应商可根据实际情况自行</w:t>
      </w:r>
      <w:r>
        <w:rPr>
          <w:rFonts w:hint="eastAsia" w:ascii="宋体" w:hAnsi="宋体"/>
          <w:bCs/>
          <w:color w:val="auto"/>
          <w:sz w:val="21"/>
          <w:szCs w:val="21"/>
          <w:highlight w:val="none"/>
        </w:rPr>
        <w:t>添加</w:t>
      </w:r>
      <w:r>
        <w:rPr>
          <w:rFonts w:hint="eastAsia" w:ascii="宋体" w:hAnsi="宋体"/>
          <w:color w:val="auto"/>
          <w:sz w:val="21"/>
          <w:szCs w:val="21"/>
          <w:highlight w:val="none"/>
        </w:rPr>
        <w:t>表格内容。</w:t>
      </w:r>
    </w:p>
    <w:p w14:paraId="385712E2">
      <w:pPr>
        <w:numPr>
          <w:ilvl w:val="0"/>
          <w:numId w:val="0"/>
        </w:numPr>
        <w:spacing w:line="5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报价一经涂改，应在涂改处加盖单位公章或供应商代表签字或盖章，否则其响应作无效响应性文件处理。</w:t>
      </w:r>
    </w:p>
    <w:p w14:paraId="56F1FBF9">
      <w:pPr>
        <w:spacing w:line="5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3.所有价格均应为人民币报价，金额单位为元。</w:t>
      </w:r>
    </w:p>
    <w:p w14:paraId="382DA6FF">
      <w:pPr>
        <w:ind w:firstLine="150" w:firstLineChars="50"/>
        <w:rPr>
          <w:rFonts w:hint="eastAsia" w:ascii="仿宋_GB2312" w:hAnsi="华文楷体" w:eastAsia="仿宋_GB2312"/>
          <w:color w:val="auto"/>
          <w:sz w:val="30"/>
          <w:szCs w:val="30"/>
          <w:highlight w:val="none"/>
        </w:rPr>
      </w:pPr>
      <w:bookmarkStart w:id="4" w:name="OLE_LINK5"/>
    </w:p>
    <w:p w14:paraId="7A3D0B78">
      <w:pPr>
        <w:ind w:firstLine="140" w:firstLineChars="50"/>
        <w:rPr>
          <w:rFonts w:ascii="仿宋_GB2312" w:hAnsi="华文楷体" w:eastAsia="仿宋_GB2312"/>
          <w:color w:val="auto"/>
          <w:sz w:val="28"/>
          <w:szCs w:val="28"/>
          <w:highlight w:val="none"/>
        </w:rPr>
      </w:pPr>
      <w:r>
        <w:rPr>
          <w:rFonts w:hint="eastAsia" w:ascii="仿宋_GB2312" w:hAnsi="华文楷体" w:eastAsia="仿宋_GB2312"/>
          <w:color w:val="auto"/>
          <w:sz w:val="28"/>
          <w:szCs w:val="28"/>
          <w:highlight w:val="none"/>
        </w:rPr>
        <w:t xml:space="preserve">单位名称：（公章）        </w:t>
      </w:r>
    </w:p>
    <w:p w14:paraId="445D41AD">
      <w:pPr>
        <w:spacing w:line="360" w:lineRule="auto"/>
        <w:rPr>
          <w:rFonts w:ascii="仿宋_GB2312" w:eastAsia="仿宋_GB2312"/>
          <w:color w:val="auto"/>
          <w:sz w:val="28"/>
          <w:szCs w:val="28"/>
          <w:highlight w:val="none"/>
        </w:rPr>
      </w:pPr>
      <w:r>
        <w:rPr>
          <w:rFonts w:hint="eastAsia" w:ascii="仿宋_GB2312" w:hAnsi="华文楷体" w:eastAsia="仿宋_GB2312"/>
          <w:color w:val="auto"/>
          <w:sz w:val="28"/>
          <w:szCs w:val="28"/>
          <w:highlight w:val="none"/>
        </w:rPr>
        <w:t>法定代表人：（</w:t>
      </w:r>
      <w:r>
        <w:rPr>
          <w:rFonts w:hint="eastAsia" w:ascii="仿宋_GB2312" w:eastAsia="仿宋_GB2312"/>
          <w:color w:val="auto"/>
          <w:sz w:val="28"/>
          <w:szCs w:val="28"/>
          <w:highlight w:val="none"/>
          <w:lang w:val="en-US" w:eastAsia="zh-CN"/>
        </w:rPr>
        <w:t>电子签章</w:t>
      </w:r>
      <w:r>
        <w:rPr>
          <w:rFonts w:hint="eastAsia" w:ascii="仿宋_GB2312" w:hAnsi="华文楷体" w:eastAsia="仿宋_GB2312"/>
          <w:color w:val="auto"/>
          <w:sz w:val="28"/>
          <w:szCs w:val="28"/>
          <w:highlight w:val="none"/>
        </w:rPr>
        <w:t>）</w:t>
      </w:r>
      <w:bookmarkEnd w:id="4"/>
      <w:r>
        <w:rPr>
          <w:rFonts w:hint="eastAsia" w:ascii="仿宋_GB2312" w:eastAsia="仿宋_GB2312"/>
          <w:color w:val="auto"/>
          <w:sz w:val="28"/>
          <w:szCs w:val="28"/>
          <w:highlight w:val="none"/>
        </w:rPr>
        <w:t xml:space="preserve">    </w:t>
      </w:r>
    </w:p>
    <w:p w14:paraId="26977E08">
      <w:pPr>
        <w:spacing w:line="360" w:lineRule="auto"/>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                                            年   月  日 </w:t>
      </w:r>
      <w:r>
        <w:rPr>
          <w:rFonts w:hint="eastAsia" w:ascii="仿宋_GB2312" w:hAnsi="华文楷体" w:eastAsia="仿宋_GB2312"/>
          <w:color w:val="auto"/>
          <w:sz w:val="28"/>
          <w:szCs w:val="28"/>
          <w:highlight w:val="none"/>
        </w:rPr>
        <w:t xml:space="preserve">   </w:t>
      </w:r>
      <w:r>
        <w:rPr>
          <w:rFonts w:hint="eastAsia" w:ascii="仿宋_GB2312" w:eastAsia="仿宋_GB2312"/>
          <w:color w:val="auto"/>
          <w:sz w:val="28"/>
          <w:szCs w:val="28"/>
          <w:highlight w:val="none"/>
        </w:rPr>
        <w:t xml:space="preserve">  </w:t>
      </w:r>
    </w:p>
    <w:p w14:paraId="02C47F5C">
      <w:pPr>
        <w:spacing w:line="360" w:lineRule="auto"/>
        <w:rPr>
          <w:rFonts w:ascii="仿宋_GB2312" w:eastAsia="仿宋_GB2312"/>
          <w:color w:val="auto"/>
          <w:sz w:val="30"/>
          <w:szCs w:val="30"/>
          <w:highlight w:val="none"/>
        </w:rPr>
      </w:pPr>
    </w:p>
    <w:p w14:paraId="617AA7C7">
      <w:pPr>
        <w:spacing w:line="360" w:lineRule="auto"/>
        <w:rPr>
          <w:rFonts w:ascii="仿宋_GB2312" w:eastAsia="仿宋_GB2312"/>
          <w:color w:val="auto"/>
          <w:sz w:val="30"/>
          <w:szCs w:val="30"/>
          <w:highlight w:val="none"/>
        </w:rPr>
      </w:pPr>
    </w:p>
    <w:p w14:paraId="63516BCA">
      <w:pPr>
        <w:spacing w:line="360" w:lineRule="auto"/>
        <w:rPr>
          <w:rFonts w:ascii="仿宋_GB2312" w:hAnsi="宋体" w:eastAsia="仿宋_GB2312" w:cs="Lucida Sans Unicode"/>
          <w:color w:val="auto"/>
          <w:sz w:val="30"/>
          <w:szCs w:val="30"/>
          <w:highlight w:val="none"/>
        </w:rPr>
      </w:pPr>
    </w:p>
    <w:p w14:paraId="07524DB7">
      <w:pPr>
        <w:spacing w:line="360" w:lineRule="auto"/>
        <w:rPr>
          <w:rFonts w:hint="default" w:ascii="仿宋_GB2312" w:hAnsi="宋体" w:eastAsia="仿宋_GB2312" w:cs="Lucida Sans Unicode"/>
          <w:color w:val="auto"/>
          <w:sz w:val="28"/>
          <w:szCs w:val="28"/>
          <w:highlight w:val="none"/>
          <w:lang w:val="en-US" w:eastAsia="zh-CN"/>
        </w:rPr>
      </w:pPr>
      <w:r>
        <w:rPr>
          <w:rFonts w:hint="eastAsia" w:ascii="仿宋_GB2312" w:hAnsi="宋体" w:eastAsia="仿宋_GB2312" w:cs="Lucida Sans Unicode"/>
          <w:color w:val="auto"/>
          <w:sz w:val="28"/>
          <w:szCs w:val="28"/>
          <w:highlight w:val="none"/>
        </w:rPr>
        <w:t>格式</w:t>
      </w:r>
      <w:r>
        <w:rPr>
          <w:rFonts w:hint="eastAsia" w:ascii="仿宋_GB2312" w:hAnsi="宋体" w:eastAsia="仿宋_GB2312" w:cs="Lucida Sans Unicode"/>
          <w:color w:val="auto"/>
          <w:sz w:val="28"/>
          <w:szCs w:val="28"/>
          <w:highlight w:val="none"/>
          <w:lang w:val="en-US" w:eastAsia="zh-CN"/>
        </w:rPr>
        <w:t>10-1</w:t>
      </w:r>
    </w:p>
    <w:p w14:paraId="1CA7B67F">
      <w:pPr>
        <w:spacing w:line="360" w:lineRule="auto"/>
        <w:jc w:val="center"/>
        <w:rPr>
          <w:rFonts w:hint="eastAsia" w:ascii="黑体" w:eastAsia="黑体"/>
          <w:color w:val="auto"/>
          <w:sz w:val="28"/>
          <w:szCs w:val="28"/>
          <w:highlight w:val="none"/>
        </w:rPr>
      </w:pPr>
      <w:r>
        <w:rPr>
          <w:rFonts w:hint="eastAsia" w:ascii="黑体" w:eastAsia="黑体"/>
          <w:color w:val="auto"/>
          <w:sz w:val="28"/>
          <w:szCs w:val="28"/>
          <w:highlight w:val="none"/>
        </w:rPr>
        <w:t>报价明细表</w:t>
      </w:r>
    </w:p>
    <w:p w14:paraId="0E05B567">
      <w:pPr>
        <w:spacing w:line="360" w:lineRule="auto"/>
        <w:rPr>
          <w:rFonts w:hint="eastAsia" w:ascii="宋体" w:hAnsi="宋体"/>
          <w:color w:val="auto"/>
          <w:szCs w:val="21"/>
          <w:highlight w:val="none"/>
        </w:rPr>
      </w:pPr>
      <w:r>
        <w:rPr>
          <w:rFonts w:hint="eastAsia" w:ascii="宋体" w:hAnsi="宋体"/>
          <w:color w:val="auto"/>
          <w:szCs w:val="21"/>
          <w:highlight w:val="none"/>
        </w:rPr>
        <w:t>项目名称：                                  项目编号：</w:t>
      </w:r>
    </w:p>
    <w:tbl>
      <w:tblPr>
        <w:tblStyle w:val="21"/>
        <w:tblW w:w="512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090"/>
        <w:gridCol w:w="810"/>
        <w:gridCol w:w="1910"/>
        <w:gridCol w:w="1740"/>
        <w:gridCol w:w="1010"/>
        <w:gridCol w:w="860"/>
        <w:gridCol w:w="903"/>
      </w:tblGrid>
      <w:tr w14:paraId="4DC3F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65" w:type="pct"/>
            <w:noWrap w:val="0"/>
            <w:vAlign w:val="center"/>
          </w:tcPr>
          <w:p w14:paraId="64915E5E">
            <w:pPr>
              <w:spacing w:line="360" w:lineRule="auto"/>
              <w:jc w:val="center"/>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序号</w:t>
            </w:r>
          </w:p>
        </w:tc>
        <w:tc>
          <w:tcPr>
            <w:tcW w:w="593" w:type="pct"/>
            <w:noWrap w:val="0"/>
            <w:vAlign w:val="center"/>
          </w:tcPr>
          <w:p w14:paraId="70113413">
            <w:pPr>
              <w:spacing w:line="360" w:lineRule="auto"/>
              <w:jc w:val="center"/>
              <w:rPr>
                <w:rFonts w:hint="eastAsia" w:ascii="宋体" w:hAnsi="宋体" w:eastAsia="宋体" w:cs="Times New Roman"/>
                <w:color w:val="auto"/>
                <w:highlight w:val="none"/>
                <w:lang w:val="en-US" w:eastAsia="zh-CN"/>
              </w:rPr>
            </w:pPr>
            <w:r>
              <w:rPr>
                <w:rFonts w:hint="eastAsia"/>
                <w:color w:val="auto"/>
                <w:highlight w:val="none"/>
              </w:rPr>
              <w:t>名称</w:t>
            </w:r>
          </w:p>
        </w:tc>
        <w:tc>
          <w:tcPr>
            <w:tcW w:w="441" w:type="pct"/>
            <w:noWrap w:val="0"/>
            <w:vAlign w:val="center"/>
          </w:tcPr>
          <w:p w14:paraId="3A6629E0">
            <w:pPr>
              <w:spacing w:line="360" w:lineRule="auto"/>
              <w:jc w:val="center"/>
              <w:rPr>
                <w:rFonts w:hint="default" w:ascii="宋体" w:hAnsi="宋体" w:eastAsia="宋体" w:cs="Times New Roman"/>
                <w:color w:val="auto"/>
                <w:highlight w:val="none"/>
                <w:lang w:val="en-US" w:eastAsia="zh-CN"/>
              </w:rPr>
            </w:pPr>
            <w:r>
              <w:rPr>
                <w:rFonts w:hint="eastAsia" w:ascii="宋体" w:hAnsi="宋体" w:eastAsia="宋体" w:cs="Times New Roman"/>
                <w:color w:val="auto"/>
                <w:highlight w:val="none"/>
              </w:rPr>
              <w:t>品牌</w:t>
            </w:r>
          </w:p>
        </w:tc>
        <w:tc>
          <w:tcPr>
            <w:tcW w:w="1040" w:type="pct"/>
            <w:noWrap w:val="0"/>
            <w:vAlign w:val="center"/>
          </w:tcPr>
          <w:p w14:paraId="6127257F">
            <w:pPr>
              <w:spacing w:line="360" w:lineRule="auto"/>
              <w:jc w:val="center"/>
              <w:rPr>
                <w:rFonts w:hint="default" w:ascii="宋体" w:hAnsi="宋体" w:eastAsia="宋体" w:cs="Times New Roman"/>
                <w:color w:val="auto"/>
                <w:highlight w:val="none"/>
                <w:lang w:val="en-US" w:eastAsia="zh-CN"/>
              </w:rPr>
            </w:pPr>
            <w:r>
              <w:rPr>
                <w:rFonts w:hint="eastAsia" w:ascii="宋体" w:hAnsi="宋体" w:cs="Times New Roman"/>
                <w:color w:val="auto"/>
                <w:highlight w:val="none"/>
                <w:lang w:val="en-US" w:eastAsia="zh-CN"/>
              </w:rPr>
              <w:t>规格、型号</w:t>
            </w:r>
          </w:p>
        </w:tc>
        <w:tc>
          <w:tcPr>
            <w:tcW w:w="947" w:type="pct"/>
            <w:noWrap w:val="0"/>
            <w:vAlign w:val="center"/>
          </w:tcPr>
          <w:p w14:paraId="77A83E99">
            <w:pPr>
              <w:spacing w:line="360" w:lineRule="auto"/>
              <w:jc w:val="center"/>
              <w:rPr>
                <w:rFonts w:hint="eastAsia" w:ascii="宋体" w:hAnsi="宋体" w:eastAsia="宋体" w:cs="Times New Roman"/>
                <w:color w:val="auto"/>
                <w:kern w:val="2"/>
                <w:sz w:val="21"/>
                <w:szCs w:val="24"/>
                <w:highlight w:val="none"/>
                <w:lang w:val="en-US" w:eastAsia="zh-CN" w:bidi="ar-SA"/>
              </w:rPr>
            </w:pPr>
            <w:r>
              <w:rPr>
                <w:rFonts w:hint="eastAsia" w:ascii="宋体" w:hAnsi="宋体"/>
                <w:color w:val="auto"/>
                <w:highlight w:val="none"/>
              </w:rPr>
              <w:t>所投产品生产厂家名称</w:t>
            </w:r>
          </w:p>
        </w:tc>
        <w:tc>
          <w:tcPr>
            <w:tcW w:w="550" w:type="pct"/>
            <w:noWrap w:val="0"/>
            <w:vAlign w:val="center"/>
          </w:tcPr>
          <w:p w14:paraId="1D948D76">
            <w:pPr>
              <w:spacing w:line="360" w:lineRule="auto"/>
              <w:jc w:val="center"/>
              <w:rPr>
                <w:rFonts w:hint="default" w:ascii="宋体" w:hAnsi="宋体" w:eastAsia="宋体" w:cs="Times New Roman"/>
                <w:color w:val="auto"/>
                <w:kern w:val="2"/>
                <w:sz w:val="21"/>
                <w:szCs w:val="24"/>
                <w:highlight w:val="none"/>
                <w:lang w:val="en-US" w:eastAsia="zh-CN" w:bidi="ar-SA"/>
              </w:rPr>
            </w:pPr>
            <w:r>
              <w:rPr>
                <w:rFonts w:hint="eastAsia" w:ascii="宋体" w:hAnsi="宋体"/>
                <w:color w:val="auto"/>
                <w:highlight w:val="none"/>
              </w:rPr>
              <w:t>数量</w:t>
            </w:r>
            <w:r>
              <w:rPr>
                <w:rFonts w:hint="eastAsia" w:ascii="宋体" w:hAnsi="宋体"/>
                <w:color w:val="auto"/>
                <w:highlight w:val="none"/>
                <w:lang w:eastAsia="zh-CN"/>
              </w:rPr>
              <w:t>（</w:t>
            </w:r>
            <w:r>
              <w:rPr>
                <w:rFonts w:hint="eastAsia" w:ascii="宋体" w:hAnsi="宋体"/>
                <w:color w:val="auto"/>
                <w:highlight w:val="none"/>
                <w:lang w:val="en-US" w:eastAsia="zh-CN"/>
              </w:rPr>
              <w:t>单位）</w:t>
            </w:r>
          </w:p>
        </w:tc>
        <w:tc>
          <w:tcPr>
            <w:tcW w:w="468" w:type="pct"/>
            <w:noWrap w:val="0"/>
            <w:vAlign w:val="center"/>
          </w:tcPr>
          <w:p w14:paraId="5DE02CCD">
            <w:pPr>
              <w:spacing w:line="360" w:lineRule="auto"/>
              <w:jc w:val="center"/>
              <w:rPr>
                <w:rFonts w:hint="default" w:ascii="宋体" w:hAnsi="宋体" w:eastAsia="宋体" w:cs="Times New Roman"/>
                <w:color w:val="auto"/>
                <w:kern w:val="2"/>
                <w:sz w:val="21"/>
                <w:szCs w:val="24"/>
                <w:highlight w:val="none"/>
                <w:lang w:val="en-US" w:eastAsia="zh-CN" w:bidi="ar-SA"/>
              </w:rPr>
            </w:pPr>
            <w:r>
              <w:rPr>
                <w:rFonts w:hint="eastAsia" w:ascii="宋体" w:hAnsi="宋体"/>
                <w:color w:val="auto"/>
                <w:highlight w:val="none"/>
              </w:rPr>
              <w:t>单价</w:t>
            </w:r>
          </w:p>
        </w:tc>
        <w:tc>
          <w:tcPr>
            <w:tcW w:w="491" w:type="pct"/>
            <w:noWrap w:val="0"/>
            <w:vAlign w:val="center"/>
          </w:tcPr>
          <w:p w14:paraId="31AF551A">
            <w:pPr>
              <w:spacing w:line="360" w:lineRule="auto"/>
              <w:jc w:val="center"/>
              <w:rPr>
                <w:rFonts w:hint="default" w:ascii="宋体" w:hAnsi="宋体" w:eastAsia="宋体" w:cs="Times New Roman"/>
                <w:color w:val="auto"/>
                <w:kern w:val="2"/>
                <w:sz w:val="21"/>
                <w:szCs w:val="24"/>
                <w:highlight w:val="none"/>
                <w:lang w:val="en-US" w:eastAsia="zh-CN" w:bidi="ar-SA"/>
              </w:rPr>
            </w:pPr>
            <w:r>
              <w:rPr>
                <w:rFonts w:hint="eastAsia" w:ascii="宋体" w:hAnsi="宋体"/>
                <w:color w:val="auto"/>
                <w:highlight w:val="none"/>
              </w:rPr>
              <w:t>总价</w:t>
            </w:r>
          </w:p>
        </w:tc>
      </w:tr>
      <w:tr w14:paraId="33B63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65" w:type="pct"/>
            <w:noWrap w:val="0"/>
            <w:vAlign w:val="center"/>
          </w:tcPr>
          <w:p w14:paraId="44E7988E">
            <w:pPr>
              <w:spacing w:line="360" w:lineRule="auto"/>
              <w:jc w:val="center"/>
              <w:rPr>
                <w:rFonts w:hint="default"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1</w:t>
            </w:r>
          </w:p>
        </w:tc>
        <w:tc>
          <w:tcPr>
            <w:tcW w:w="593" w:type="pct"/>
            <w:noWrap w:val="0"/>
            <w:vAlign w:val="center"/>
          </w:tcPr>
          <w:p w14:paraId="73AF9136">
            <w:pPr>
              <w:spacing w:line="360" w:lineRule="auto"/>
              <w:jc w:val="center"/>
              <w:rPr>
                <w:rFonts w:hint="eastAsia" w:ascii="宋体" w:hAnsi="宋体" w:eastAsia="宋体" w:cs="Times New Roman"/>
                <w:color w:val="auto"/>
                <w:highlight w:val="none"/>
                <w:lang w:val="en-US" w:eastAsia="zh-CN"/>
              </w:rPr>
            </w:pPr>
          </w:p>
        </w:tc>
        <w:tc>
          <w:tcPr>
            <w:tcW w:w="441" w:type="pct"/>
            <w:noWrap w:val="0"/>
            <w:vAlign w:val="center"/>
          </w:tcPr>
          <w:p w14:paraId="741D63B4">
            <w:pPr>
              <w:spacing w:line="360" w:lineRule="auto"/>
              <w:jc w:val="center"/>
              <w:rPr>
                <w:rFonts w:hint="eastAsia" w:ascii="宋体" w:hAnsi="宋体" w:eastAsia="宋体" w:cs="Times New Roman"/>
                <w:color w:val="auto"/>
                <w:highlight w:val="none"/>
                <w:lang w:val="en-US" w:eastAsia="zh-CN"/>
              </w:rPr>
            </w:pPr>
          </w:p>
        </w:tc>
        <w:tc>
          <w:tcPr>
            <w:tcW w:w="1040" w:type="pct"/>
            <w:noWrap w:val="0"/>
            <w:vAlign w:val="center"/>
          </w:tcPr>
          <w:p w14:paraId="6DED7C92">
            <w:pPr>
              <w:spacing w:line="360" w:lineRule="auto"/>
              <w:jc w:val="center"/>
              <w:rPr>
                <w:rFonts w:hint="eastAsia" w:ascii="宋体" w:hAnsi="宋体" w:eastAsia="宋体" w:cs="Times New Roman"/>
                <w:color w:val="auto"/>
                <w:highlight w:val="none"/>
                <w:lang w:val="en-US" w:eastAsia="zh-CN"/>
              </w:rPr>
            </w:pPr>
          </w:p>
        </w:tc>
        <w:tc>
          <w:tcPr>
            <w:tcW w:w="947" w:type="pct"/>
            <w:noWrap w:val="0"/>
            <w:vAlign w:val="center"/>
          </w:tcPr>
          <w:p w14:paraId="0EB5663E">
            <w:pPr>
              <w:spacing w:line="360" w:lineRule="auto"/>
              <w:jc w:val="center"/>
              <w:rPr>
                <w:rFonts w:hint="eastAsia" w:ascii="宋体" w:hAnsi="宋体" w:eastAsia="宋体" w:cs="Times New Roman"/>
                <w:color w:val="auto"/>
                <w:highlight w:val="none"/>
                <w:lang w:val="en-US" w:eastAsia="zh-CN"/>
              </w:rPr>
            </w:pPr>
          </w:p>
        </w:tc>
        <w:tc>
          <w:tcPr>
            <w:tcW w:w="550" w:type="pct"/>
            <w:noWrap w:val="0"/>
            <w:vAlign w:val="center"/>
          </w:tcPr>
          <w:p w14:paraId="212E298B">
            <w:pPr>
              <w:spacing w:line="360" w:lineRule="auto"/>
              <w:jc w:val="center"/>
              <w:rPr>
                <w:rFonts w:hint="eastAsia" w:ascii="宋体" w:hAnsi="宋体" w:eastAsia="宋体" w:cs="Times New Roman"/>
                <w:color w:val="auto"/>
                <w:highlight w:val="none"/>
                <w:lang w:val="en-US" w:eastAsia="zh-CN"/>
              </w:rPr>
            </w:pPr>
          </w:p>
        </w:tc>
        <w:tc>
          <w:tcPr>
            <w:tcW w:w="468" w:type="pct"/>
            <w:noWrap w:val="0"/>
            <w:vAlign w:val="center"/>
          </w:tcPr>
          <w:p w14:paraId="0B42C3F4">
            <w:pPr>
              <w:spacing w:line="360" w:lineRule="auto"/>
              <w:jc w:val="center"/>
              <w:rPr>
                <w:rFonts w:hint="eastAsia" w:ascii="宋体" w:hAnsi="宋体" w:eastAsia="宋体" w:cs="Times New Roman"/>
                <w:color w:val="auto"/>
                <w:highlight w:val="none"/>
                <w:lang w:val="en-US" w:eastAsia="zh-CN"/>
              </w:rPr>
            </w:pPr>
          </w:p>
        </w:tc>
        <w:tc>
          <w:tcPr>
            <w:tcW w:w="491" w:type="pct"/>
            <w:noWrap w:val="0"/>
            <w:vAlign w:val="center"/>
          </w:tcPr>
          <w:p w14:paraId="53584D87">
            <w:pPr>
              <w:spacing w:line="360" w:lineRule="auto"/>
              <w:jc w:val="center"/>
              <w:rPr>
                <w:rFonts w:hint="eastAsia" w:ascii="宋体" w:hAnsi="宋体" w:eastAsia="宋体" w:cs="Times New Roman"/>
                <w:color w:val="auto"/>
                <w:highlight w:val="none"/>
                <w:lang w:val="en-US" w:eastAsia="zh-CN"/>
              </w:rPr>
            </w:pPr>
          </w:p>
        </w:tc>
      </w:tr>
      <w:tr w14:paraId="0EA01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65" w:type="pct"/>
            <w:noWrap w:val="0"/>
            <w:vAlign w:val="center"/>
          </w:tcPr>
          <w:p w14:paraId="3CBB7DE5">
            <w:pPr>
              <w:spacing w:line="360" w:lineRule="auto"/>
              <w:jc w:val="center"/>
              <w:rPr>
                <w:rFonts w:hint="default"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2</w:t>
            </w:r>
          </w:p>
        </w:tc>
        <w:tc>
          <w:tcPr>
            <w:tcW w:w="593" w:type="pct"/>
            <w:noWrap w:val="0"/>
            <w:vAlign w:val="center"/>
          </w:tcPr>
          <w:p w14:paraId="39F67CD7">
            <w:pPr>
              <w:spacing w:line="360" w:lineRule="auto"/>
              <w:jc w:val="center"/>
              <w:rPr>
                <w:rFonts w:hint="eastAsia" w:ascii="宋体" w:hAnsi="宋体" w:eastAsia="宋体" w:cs="Times New Roman"/>
                <w:color w:val="auto"/>
                <w:highlight w:val="none"/>
                <w:lang w:val="en-US" w:eastAsia="zh-CN"/>
              </w:rPr>
            </w:pPr>
          </w:p>
        </w:tc>
        <w:tc>
          <w:tcPr>
            <w:tcW w:w="441" w:type="pct"/>
            <w:noWrap w:val="0"/>
            <w:vAlign w:val="center"/>
          </w:tcPr>
          <w:p w14:paraId="5370DDFD">
            <w:pPr>
              <w:spacing w:line="360" w:lineRule="auto"/>
              <w:jc w:val="center"/>
              <w:rPr>
                <w:rFonts w:hint="eastAsia" w:ascii="宋体" w:hAnsi="宋体" w:eastAsia="宋体" w:cs="Times New Roman"/>
                <w:color w:val="auto"/>
                <w:highlight w:val="none"/>
                <w:lang w:val="en-US" w:eastAsia="zh-CN"/>
              </w:rPr>
            </w:pPr>
          </w:p>
        </w:tc>
        <w:tc>
          <w:tcPr>
            <w:tcW w:w="1040" w:type="pct"/>
            <w:noWrap w:val="0"/>
            <w:vAlign w:val="center"/>
          </w:tcPr>
          <w:p w14:paraId="77E26813">
            <w:pPr>
              <w:spacing w:line="360" w:lineRule="auto"/>
              <w:jc w:val="center"/>
              <w:rPr>
                <w:rFonts w:hint="eastAsia" w:ascii="宋体" w:hAnsi="宋体" w:eastAsia="宋体" w:cs="Times New Roman"/>
                <w:color w:val="auto"/>
                <w:highlight w:val="none"/>
                <w:lang w:val="en-US" w:eastAsia="zh-CN"/>
              </w:rPr>
            </w:pPr>
          </w:p>
        </w:tc>
        <w:tc>
          <w:tcPr>
            <w:tcW w:w="947" w:type="pct"/>
            <w:noWrap w:val="0"/>
            <w:vAlign w:val="center"/>
          </w:tcPr>
          <w:p w14:paraId="21AD03D2">
            <w:pPr>
              <w:spacing w:line="360" w:lineRule="auto"/>
              <w:jc w:val="center"/>
              <w:rPr>
                <w:rFonts w:hint="eastAsia" w:ascii="宋体" w:hAnsi="宋体" w:eastAsia="宋体" w:cs="Times New Roman"/>
                <w:color w:val="auto"/>
                <w:highlight w:val="none"/>
                <w:lang w:val="en-US" w:eastAsia="zh-CN"/>
              </w:rPr>
            </w:pPr>
          </w:p>
        </w:tc>
        <w:tc>
          <w:tcPr>
            <w:tcW w:w="550" w:type="pct"/>
            <w:noWrap w:val="0"/>
            <w:vAlign w:val="center"/>
          </w:tcPr>
          <w:p w14:paraId="3AF44950">
            <w:pPr>
              <w:spacing w:line="360" w:lineRule="auto"/>
              <w:jc w:val="center"/>
              <w:rPr>
                <w:rFonts w:hint="eastAsia" w:ascii="宋体" w:hAnsi="宋体" w:eastAsia="宋体" w:cs="Times New Roman"/>
                <w:color w:val="auto"/>
                <w:highlight w:val="none"/>
                <w:lang w:val="en-US" w:eastAsia="zh-CN"/>
              </w:rPr>
            </w:pPr>
          </w:p>
        </w:tc>
        <w:tc>
          <w:tcPr>
            <w:tcW w:w="468" w:type="pct"/>
            <w:noWrap w:val="0"/>
            <w:vAlign w:val="center"/>
          </w:tcPr>
          <w:p w14:paraId="3F6F5818">
            <w:pPr>
              <w:spacing w:line="360" w:lineRule="auto"/>
              <w:jc w:val="center"/>
              <w:rPr>
                <w:rFonts w:hint="eastAsia" w:ascii="宋体" w:hAnsi="宋体" w:eastAsia="宋体" w:cs="Times New Roman"/>
                <w:color w:val="auto"/>
                <w:highlight w:val="none"/>
                <w:lang w:val="en-US" w:eastAsia="zh-CN"/>
              </w:rPr>
            </w:pPr>
          </w:p>
        </w:tc>
        <w:tc>
          <w:tcPr>
            <w:tcW w:w="491" w:type="pct"/>
            <w:noWrap w:val="0"/>
            <w:vAlign w:val="center"/>
          </w:tcPr>
          <w:p w14:paraId="680825D2">
            <w:pPr>
              <w:spacing w:line="360" w:lineRule="auto"/>
              <w:jc w:val="center"/>
              <w:rPr>
                <w:rFonts w:hint="eastAsia" w:ascii="宋体" w:hAnsi="宋体" w:eastAsia="宋体" w:cs="Times New Roman"/>
                <w:color w:val="auto"/>
                <w:highlight w:val="none"/>
                <w:lang w:val="en-US" w:eastAsia="zh-CN"/>
              </w:rPr>
            </w:pPr>
          </w:p>
        </w:tc>
      </w:tr>
      <w:tr w14:paraId="017A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65" w:type="pct"/>
            <w:noWrap w:val="0"/>
            <w:vAlign w:val="center"/>
          </w:tcPr>
          <w:p w14:paraId="22E60181">
            <w:pPr>
              <w:spacing w:line="360" w:lineRule="auto"/>
              <w:jc w:val="center"/>
              <w:rPr>
                <w:rFonts w:hint="default"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3</w:t>
            </w:r>
          </w:p>
        </w:tc>
        <w:tc>
          <w:tcPr>
            <w:tcW w:w="593" w:type="pct"/>
            <w:noWrap w:val="0"/>
            <w:vAlign w:val="center"/>
          </w:tcPr>
          <w:p w14:paraId="18D6458A">
            <w:pPr>
              <w:spacing w:line="360" w:lineRule="auto"/>
              <w:jc w:val="center"/>
              <w:rPr>
                <w:rFonts w:hint="eastAsia" w:ascii="宋体" w:hAnsi="宋体" w:eastAsia="宋体" w:cs="Times New Roman"/>
                <w:color w:val="auto"/>
                <w:highlight w:val="none"/>
                <w:lang w:val="en-US" w:eastAsia="zh-CN"/>
              </w:rPr>
            </w:pPr>
          </w:p>
        </w:tc>
        <w:tc>
          <w:tcPr>
            <w:tcW w:w="441" w:type="pct"/>
            <w:noWrap w:val="0"/>
            <w:vAlign w:val="center"/>
          </w:tcPr>
          <w:p w14:paraId="4F91AD63">
            <w:pPr>
              <w:spacing w:line="360" w:lineRule="auto"/>
              <w:jc w:val="center"/>
              <w:rPr>
                <w:rFonts w:hint="eastAsia" w:ascii="宋体" w:hAnsi="宋体" w:eastAsia="宋体" w:cs="Times New Roman"/>
                <w:color w:val="auto"/>
                <w:highlight w:val="none"/>
                <w:lang w:val="en-US" w:eastAsia="zh-CN"/>
              </w:rPr>
            </w:pPr>
          </w:p>
        </w:tc>
        <w:tc>
          <w:tcPr>
            <w:tcW w:w="1040" w:type="pct"/>
            <w:noWrap w:val="0"/>
            <w:vAlign w:val="center"/>
          </w:tcPr>
          <w:p w14:paraId="2497B055">
            <w:pPr>
              <w:spacing w:line="360" w:lineRule="auto"/>
              <w:jc w:val="center"/>
              <w:rPr>
                <w:rFonts w:hint="eastAsia" w:ascii="宋体" w:hAnsi="宋体" w:eastAsia="宋体" w:cs="Times New Roman"/>
                <w:color w:val="auto"/>
                <w:highlight w:val="none"/>
                <w:lang w:val="en-US" w:eastAsia="zh-CN"/>
              </w:rPr>
            </w:pPr>
          </w:p>
        </w:tc>
        <w:tc>
          <w:tcPr>
            <w:tcW w:w="947" w:type="pct"/>
            <w:noWrap w:val="0"/>
            <w:vAlign w:val="center"/>
          </w:tcPr>
          <w:p w14:paraId="5C22D3CA">
            <w:pPr>
              <w:spacing w:line="360" w:lineRule="auto"/>
              <w:jc w:val="center"/>
              <w:rPr>
                <w:rFonts w:hint="eastAsia" w:ascii="宋体" w:hAnsi="宋体" w:eastAsia="宋体" w:cs="Times New Roman"/>
                <w:color w:val="auto"/>
                <w:highlight w:val="none"/>
                <w:lang w:val="en-US" w:eastAsia="zh-CN"/>
              </w:rPr>
            </w:pPr>
          </w:p>
        </w:tc>
        <w:tc>
          <w:tcPr>
            <w:tcW w:w="550" w:type="pct"/>
            <w:noWrap w:val="0"/>
            <w:vAlign w:val="center"/>
          </w:tcPr>
          <w:p w14:paraId="25E2E586">
            <w:pPr>
              <w:spacing w:line="360" w:lineRule="auto"/>
              <w:jc w:val="center"/>
              <w:rPr>
                <w:rFonts w:hint="eastAsia" w:ascii="宋体" w:hAnsi="宋体" w:eastAsia="宋体" w:cs="Times New Roman"/>
                <w:color w:val="auto"/>
                <w:highlight w:val="none"/>
                <w:lang w:val="en-US" w:eastAsia="zh-CN"/>
              </w:rPr>
            </w:pPr>
          </w:p>
        </w:tc>
        <w:tc>
          <w:tcPr>
            <w:tcW w:w="468" w:type="pct"/>
            <w:noWrap w:val="0"/>
            <w:vAlign w:val="center"/>
          </w:tcPr>
          <w:p w14:paraId="22469992">
            <w:pPr>
              <w:spacing w:line="360" w:lineRule="auto"/>
              <w:jc w:val="center"/>
              <w:rPr>
                <w:rFonts w:hint="eastAsia" w:ascii="宋体" w:hAnsi="宋体" w:eastAsia="宋体" w:cs="Times New Roman"/>
                <w:color w:val="auto"/>
                <w:highlight w:val="none"/>
                <w:lang w:val="en-US" w:eastAsia="zh-CN"/>
              </w:rPr>
            </w:pPr>
          </w:p>
        </w:tc>
        <w:tc>
          <w:tcPr>
            <w:tcW w:w="491" w:type="pct"/>
            <w:noWrap w:val="0"/>
            <w:vAlign w:val="center"/>
          </w:tcPr>
          <w:p w14:paraId="67056023">
            <w:pPr>
              <w:spacing w:line="360" w:lineRule="auto"/>
              <w:jc w:val="center"/>
              <w:rPr>
                <w:rFonts w:hint="eastAsia" w:ascii="宋体" w:hAnsi="宋体" w:eastAsia="宋体" w:cs="Times New Roman"/>
                <w:color w:val="auto"/>
                <w:highlight w:val="none"/>
                <w:lang w:val="en-US" w:eastAsia="zh-CN"/>
              </w:rPr>
            </w:pPr>
          </w:p>
        </w:tc>
      </w:tr>
      <w:tr w14:paraId="29689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65" w:type="pct"/>
            <w:noWrap w:val="0"/>
            <w:vAlign w:val="center"/>
          </w:tcPr>
          <w:p w14:paraId="777ED4A0">
            <w:pPr>
              <w:spacing w:line="360" w:lineRule="auto"/>
              <w:jc w:val="center"/>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w:t>
            </w:r>
          </w:p>
        </w:tc>
        <w:tc>
          <w:tcPr>
            <w:tcW w:w="593" w:type="pct"/>
            <w:noWrap w:val="0"/>
            <w:vAlign w:val="center"/>
          </w:tcPr>
          <w:p w14:paraId="1F42D4B1">
            <w:pPr>
              <w:spacing w:line="360" w:lineRule="auto"/>
              <w:jc w:val="center"/>
              <w:rPr>
                <w:rFonts w:hint="eastAsia" w:ascii="宋体" w:hAnsi="宋体" w:eastAsia="宋体" w:cs="Times New Roman"/>
                <w:color w:val="auto"/>
                <w:highlight w:val="none"/>
                <w:lang w:val="en-US" w:eastAsia="zh-CN"/>
              </w:rPr>
            </w:pPr>
          </w:p>
        </w:tc>
        <w:tc>
          <w:tcPr>
            <w:tcW w:w="441" w:type="pct"/>
            <w:noWrap w:val="0"/>
            <w:vAlign w:val="center"/>
          </w:tcPr>
          <w:p w14:paraId="578D1561">
            <w:pPr>
              <w:spacing w:line="360" w:lineRule="auto"/>
              <w:jc w:val="center"/>
              <w:rPr>
                <w:rFonts w:hint="eastAsia" w:ascii="宋体" w:hAnsi="宋体" w:eastAsia="宋体" w:cs="Times New Roman"/>
                <w:color w:val="auto"/>
                <w:highlight w:val="none"/>
                <w:lang w:val="en-US" w:eastAsia="zh-CN"/>
              </w:rPr>
            </w:pPr>
          </w:p>
        </w:tc>
        <w:tc>
          <w:tcPr>
            <w:tcW w:w="1040" w:type="pct"/>
            <w:noWrap w:val="0"/>
            <w:vAlign w:val="center"/>
          </w:tcPr>
          <w:p w14:paraId="56A168BE">
            <w:pPr>
              <w:spacing w:line="360" w:lineRule="auto"/>
              <w:jc w:val="center"/>
              <w:rPr>
                <w:rFonts w:hint="eastAsia" w:ascii="宋体" w:hAnsi="宋体" w:eastAsia="宋体" w:cs="Times New Roman"/>
                <w:color w:val="auto"/>
                <w:highlight w:val="none"/>
                <w:lang w:val="en-US" w:eastAsia="zh-CN"/>
              </w:rPr>
            </w:pPr>
          </w:p>
        </w:tc>
        <w:tc>
          <w:tcPr>
            <w:tcW w:w="947" w:type="pct"/>
            <w:noWrap w:val="0"/>
            <w:vAlign w:val="center"/>
          </w:tcPr>
          <w:p w14:paraId="5C13DA03">
            <w:pPr>
              <w:spacing w:line="360" w:lineRule="auto"/>
              <w:jc w:val="center"/>
              <w:rPr>
                <w:rFonts w:hint="eastAsia" w:ascii="宋体" w:hAnsi="宋体" w:eastAsia="宋体" w:cs="Times New Roman"/>
                <w:color w:val="auto"/>
                <w:highlight w:val="none"/>
                <w:lang w:val="en-US" w:eastAsia="zh-CN"/>
              </w:rPr>
            </w:pPr>
          </w:p>
        </w:tc>
        <w:tc>
          <w:tcPr>
            <w:tcW w:w="550" w:type="pct"/>
            <w:noWrap w:val="0"/>
            <w:vAlign w:val="center"/>
          </w:tcPr>
          <w:p w14:paraId="7A5CE880">
            <w:pPr>
              <w:spacing w:line="360" w:lineRule="auto"/>
              <w:jc w:val="center"/>
              <w:rPr>
                <w:rFonts w:hint="eastAsia" w:ascii="宋体" w:hAnsi="宋体" w:eastAsia="宋体" w:cs="Times New Roman"/>
                <w:color w:val="auto"/>
                <w:highlight w:val="none"/>
                <w:lang w:val="en-US" w:eastAsia="zh-CN"/>
              </w:rPr>
            </w:pPr>
          </w:p>
        </w:tc>
        <w:tc>
          <w:tcPr>
            <w:tcW w:w="468" w:type="pct"/>
            <w:noWrap w:val="0"/>
            <w:vAlign w:val="center"/>
          </w:tcPr>
          <w:p w14:paraId="290D7F7E">
            <w:pPr>
              <w:spacing w:line="360" w:lineRule="auto"/>
              <w:jc w:val="center"/>
              <w:rPr>
                <w:rFonts w:hint="eastAsia" w:ascii="宋体" w:hAnsi="宋体" w:eastAsia="宋体" w:cs="Times New Roman"/>
                <w:color w:val="auto"/>
                <w:highlight w:val="none"/>
                <w:lang w:val="en-US" w:eastAsia="zh-CN"/>
              </w:rPr>
            </w:pPr>
          </w:p>
        </w:tc>
        <w:tc>
          <w:tcPr>
            <w:tcW w:w="491" w:type="pct"/>
            <w:noWrap w:val="0"/>
            <w:vAlign w:val="center"/>
          </w:tcPr>
          <w:p w14:paraId="3BBDA0E8">
            <w:pPr>
              <w:spacing w:line="360" w:lineRule="auto"/>
              <w:jc w:val="center"/>
              <w:rPr>
                <w:rFonts w:hint="eastAsia" w:ascii="宋体" w:hAnsi="宋体" w:eastAsia="宋体" w:cs="Times New Roman"/>
                <w:color w:val="auto"/>
                <w:highlight w:val="none"/>
                <w:lang w:val="en-US" w:eastAsia="zh-CN"/>
              </w:rPr>
            </w:pPr>
          </w:p>
        </w:tc>
      </w:tr>
      <w:tr w14:paraId="367AA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691BB3CC">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olor w:val="auto"/>
                <w:sz w:val="21"/>
                <w:szCs w:val="21"/>
                <w:highlight w:val="none"/>
              </w:rPr>
              <w:t>投标总价（小写）：</w:t>
            </w:r>
          </w:p>
        </w:tc>
      </w:tr>
      <w:tr w14:paraId="6B01D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7197CEDD">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olor w:val="auto"/>
                <w:sz w:val="21"/>
                <w:szCs w:val="21"/>
                <w:highlight w:val="none"/>
              </w:rPr>
              <w:t>投标总价（大写）：</w:t>
            </w:r>
          </w:p>
        </w:tc>
      </w:tr>
    </w:tbl>
    <w:p w14:paraId="1B774430">
      <w:pPr>
        <w:rPr>
          <w:rFonts w:hint="eastAsia" w:ascii="宋体" w:hAnsi="宋体"/>
          <w:color w:val="auto"/>
          <w:sz w:val="21"/>
          <w:szCs w:val="21"/>
          <w:highlight w:val="none"/>
        </w:rPr>
      </w:pPr>
    </w:p>
    <w:p w14:paraId="2861A783">
      <w:pPr>
        <w:rPr>
          <w:rFonts w:hint="eastAsia" w:ascii="宋体" w:hAnsi="宋体"/>
          <w:color w:val="auto"/>
          <w:sz w:val="21"/>
          <w:szCs w:val="21"/>
          <w:highlight w:val="none"/>
        </w:rPr>
      </w:pPr>
    </w:p>
    <w:p w14:paraId="2D1A3D49">
      <w:pPr>
        <w:rPr>
          <w:rFonts w:hint="eastAsia" w:ascii="宋体" w:hAnsi="宋体"/>
          <w:color w:val="auto"/>
          <w:sz w:val="21"/>
          <w:szCs w:val="21"/>
          <w:highlight w:val="none"/>
        </w:rPr>
      </w:pPr>
      <w:r>
        <w:rPr>
          <w:rFonts w:hint="eastAsia" w:ascii="宋体" w:hAnsi="宋体"/>
          <w:color w:val="auto"/>
          <w:sz w:val="21"/>
          <w:szCs w:val="21"/>
          <w:highlight w:val="none"/>
        </w:rPr>
        <w:t>注：1、</w:t>
      </w:r>
      <w:r>
        <w:rPr>
          <w:rFonts w:hint="eastAsia" w:ascii="宋体" w:hAnsi="宋体"/>
          <w:color w:val="auto"/>
          <w:sz w:val="21"/>
          <w:szCs w:val="21"/>
          <w:highlight w:val="none"/>
          <w:lang w:val="en-US" w:eastAsia="zh-CN"/>
        </w:rPr>
        <w:t>供应商</w:t>
      </w:r>
      <w:r>
        <w:rPr>
          <w:rFonts w:hint="eastAsia" w:ascii="宋体" w:hAnsi="宋体"/>
          <w:color w:val="auto"/>
          <w:sz w:val="21"/>
          <w:szCs w:val="21"/>
          <w:highlight w:val="none"/>
        </w:rPr>
        <w:t>可根据实际情况自行添加表格内容。</w:t>
      </w:r>
    </w:p>
    <w:p w14:paraId="749C0B42">
      <w:pPr>
        <w:spacing w:line="360" w:lineRule="auto"/>
        <w:ind w:firstLine="420" w:firstLineChars="200"/>
        <w:jc w:val="both"/>
        <w:rPr>
          <w:rFonts w:hint="eastAsia" w:ascii="黑体"/>
          <w:color w:val="auto"/>
          <w:sz w:val="28"/>
          <w:szCs w:val="28"/>
          <w:highlight w:val="none"/>
        </w:rPr>
      </w:pPr>
      <w:r>
        <w:rPr>
          <w:rFonts w:hint="eastAsia" w:ascii="宋体" w:hAnsi="宋体"/>
          <w:color w:val="auto"/>
          <w:sz w:val="21"/>
          <w:szCs w:val="21"/>
          <w:highlight w:val="none"/>
        </w:rPr>
        <w:t>2、所有价格均应为人民币报价，金额单位为元。</w:t>
      </w:r>
    </w:p>
    <w:p w14:paraId="16D34AF0">
      <w:pPr>
        <w:spacing w:line="360" w:lineRule="auto"/>
        <w:rPr>
          <w:rFonts w:hint="eastAsia" w:ascii="仿宋_GB2312" w:eastAsia="仿宋_GB2312"/>
          <w:color w:val="auto"/>
          <w:sz w:val="28"/>
          <w:szCs w:val="28"/>
          <w:highlight w:val="none"/>
        </w:rPr>
      </w:pPr>
      <w:r>
        <w:rPr>
          <w:rFonts w:hint="eastAsia" w:ascii="仿宋_GB2312" w:eastAsia="仿宋_GB2312"/>
          <w:color w:val="auto"/>
          <w:sz w:val="28"/>
          <w:szCs w:val="28"/>
          <w:highlight w:val="none"/>
          <w:lang w:val="en-US" w:eastAsia="zh-CN"/>
        </w:rPr>
        <w:t>供应商</w:t>
      </w:r>
      <w:r>
        <w:rPr>
          <w:rFonts w:hint="eastAsia" w:ascii="仿宋_GB2312" w:eastAsia="仿宋_GB2312"/>
          <w:color w:val="auto"/>
          <w:sz w:val="28"/>
          <w:szCs w:val="28"/>
          <w:highlight w:val="none"/>
        </w:rPr>
        <w:t xml:space="preserve">名称：（单位公章）     </w:t>
      </w:r>
    </w:p>
    <w:p w14:paraId="67F6B227">
      <w:pPr>
        <w:spacing w:line="360" w:lineRule="auto"/>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法定代表人</w:t>
      </w:r>
      <w:r>
        <w:rPr>
          <w:rFonts w:hint="eastAsia" w:ascii="仿宋_GB2312" w:eastAsia="仿宋_GB2312"/>
          <w:color w:val="auto"/>
          <w:sz w:val="28"/>
          <w:szCs w:val="28"/>
          <w:highlight w:val="none"/>
          <w:lang w:eastAsia="zh-CN"/>
        </w:rPr>
        <w:t>：</w:t>
      </w:r>
      <w:r>
        <w:rPr>
          <w:rFonts w:hint="eastAsia" w:ascii="仿宋_GB2312" w:eastAsia="仿宋_GB2312"/>
          <w:color w:val="auto"/>
          <w:sz w:val="28"/>
          <w:szCs w:val="28"/>
          <w:highlight w:val="none"/>
        </w:rPr>
        <w:t>（</w:t>
      </w:r>
      <w:r>
        <w:rPr>
          <w:rFonts w:hint="eastAsia" w:ascii="仿宋_GB2312" w:eastAsia="仿宋_GB2312"/>
          <w:color w:val="auto"/>
          <w:sz w:val="28"/>
          <w:szCs w:val="28"/>
          <w:highlight w:val="none"/>
          <w:lang w:eastAsia="zh-CN"/>
        </w:rPr>
        <w:t>电子签章</w:t>
      </w:r>
      <w:r>
        <w:rPr>
          <w:rFonts w:hint="eastAsia" w:ascii="仿宋_GB2312" w:eastAsia="仿宋_GB2312"/>
          <w:color w:val="auto"/>
          <w:sz w:val="28"/>
          <w:szCs w:val="28"/>
          <w:highlight w:val="none"/>
        </w:rPr>
        <w:t>）</w:t>
      </w:r>
    </w:p>
    <w:p w14:paraId="5928C23F">
      <w:pPr>
        <w:spacing w:line="360" w:lineRule="auto"/>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 xml:space="preserve">                          </w:t>
      </w:r>
    </w:p>
    <w:p w14:paraId="50C4D18C">
      <w:pPr>
        <w:spacing w:line="360" w:lineRule="auto"/>
        <w:ind w:firstLine="3360" w:firstLineChars="1200"/>
        <w:rPr>
          <w:rFonts w:hint="eastAsia" w:ascii="黑体" w:eastAsia="黑体"/>
          <w:color w:val="auto"/>
          <w:sz w:val="28"/>
          <w:szCs w:val="28"/>
          <w:highlight w:val="none"/>
          <w:lang w:val="en-US" w:eastAsia="zh-CN"/>
        </w:rPr>
      </w:pPr>
      <w:r>
        <w:rPr>
          <w:rFonts w:ascii="仿宋_GB2312" w:eastAsia="仿宋_GB2312"/>
          <w:color w:val="auto"/>
          <w:sz w:val="28"/>
          <w:szCs w:val="28"/>
          <w:highlight w:val="none"/>
        </w:rPr>
        <w:t xml:space="preserve">   </w:t>
      </w:r>
      <w:r>
        <w:rPr>
          <w:rFonts w:hint="eastAsia" w:ascii="仿宋_GB2312" w:eastAsia="仿宋_GB2312"/>
          <w:color w:val="auto"/>
          <w:sz w:val="28"/>
          <w:szCs w:val="28"/>
          <w:highlight w:val="none"/>
        </w:rPr>
        <w:t xml:space="preserve"> 年  月  日</w:t>
      </w:r>
    </w:p>
    <w:p w14:paraId="55031969">
      <w:pPr>
        <w:spacing w:line="360" w:lineRule="auto"/>
        <w:ind w:firstLine="3360" w:firstLineChars="1200"/>
        <w:rPr>
          <w:rFonts w:hint="eastAsia" w:ascii="黑体" w:eastAsia="黑体"/>
          <w:color w:val="auto"/>
          <w:sz w:val="28"/>
          <w:szCs w:val="28"/>
          <w:highlight w:val="none"/>
          <w:lang w:val="en-US" w:eastAsia="zh-CN"/>
        </w:rPr>
      </w:pPr>
    </w:p>
    <w:p w14:paraId="05683D69">
      <w:pPr>
        <w:spacing w:line="360" w:lineRule="auto"/>
        <w:ind w:firstLine="3360" w:firstLineChars="1200"/>
        <w:rPr>
          <w:rFonts w:hint="eastAsia" w:ascii="黑体" w:eastAsia="黑体"/>
          <w:color w:val="auto"/>
          <w:sz w:val="28"/>
          <w:szCs w:val="28"/>
          <w:highlight w:val="none"/>
          <w:lang w:val="en-US" w:eastAsia="zh-CN"/>
        </w:rPr>
      </w:pPr>
    </w:p>
    <w:p w14:paraId="1C6A60B6">
      <w:pPr>
        <w:spacing w:line="360" w:lineRule="auto"/>
        <w:rPr>
          <w:rFonts w:hint="eastAsia" w:ascii="仿宋_GB2312" w:hAnsi="宋体" w:eastAsia="仿宋_GB2312" w:cs="Lucida Sans Unicode"/>
          <w:color w:val="auto"/>
          <w:sz w:val="28"/>
          <w:szCs w:val="28"/>
          <w:highlight w:val="none"/>
        </w:rPr>
      </w:pPr>
    </w:p>
    <w:p w14:paraId="61041DDA">
      <w:pPr>
        <w:spacing w:line="360" w:lineRule="auto"/>
        <w:rPr>
          <w:rFonts w:hint="eastAsia" w:ascii="仿宋_GB2312" w:hAnsi="宋体" w:eastAsia="仿宋_GB2312" w:cs="Lucida Sans Unicode"/>
          <w:color w:val="auto"/>
          <w:sz w:val="28"/>
          <w:szCs w:val="28"/>
          <w:highlight w:val="none"/>
        </w:rPr>
      </w:pPr>
    </w:p>
    <w:p w14:paraId="57915428">
      <w:pPr>
        <w:spacing w:line="360" w:lineRule="auto"/>
        <w:rPr>
          <w:rFonts w:hint="eastAsia" w:ascii="仿宋_GB2312" w:hAnsi="宋体" w:eastAsia="仿宋_GB2312" w:cs="Lucida Sans Unicode"/>
          <w:color w:val="auto"/>
          <w:sz w:val="28"/>
          <w:szCs w:val="28"/>
          <w:highlight w:val="none"/>
        </w:rPr>
      </w:pPr>
    </w:p>
    <w:p w14:paraId="437512AA">
      <w:pPr>
        <w:spacing w:line="360" w:lineRule="auto"/>
        <w:rPr>
          <w:rFonts w:hint="default" w:ascii="仿宋_GB2312" w:hAnsi="宋体" w:eastAsia="仿宋_GB2312" w:cs="Lucida Sans Unicode"/>
          <w:color w:val="auto"/>
          <w:sz w:val="28"/>
          <w:szCs w:val="28"/>
          <w:highlight w:val="none"/>
          <w:lang w:val="en-US" w:eastAsia="zh-CN"/>
        </w:rPr>
      </w:pPr>
      <w:r>
        <w:rPr>
          <w:rFonts w:hint="eastAsia" w:ascii="仿宋_GB2312" w:hAnsi="宋体" w:eastAsia="仿宋_GB2312" w:cs="Lucida Sans Unicode"/>
          <w:color w:val="auto"/>
          <w:sz w:val="28"/>
          <w:szCs w:val="28"/>
          <w:highlight w:val="none"/>
        </w:rPr>
        <w:t>格式</w:t>
      </w:r>
      <w:r>
        <w:rPr>
          <w:rFonts w:hint="eastAsia" w:ascii="仿宋_GB2312" w:hAnsi="宋体" w:eastAsia="仿宋_GB2312" w:cs="Lucida Sans Unicode"/>
          <w:color w:val="auto"/>
          <w:sz w:val="28"/>
          <w:szCs w:val="28"/>
          <w:highlight w:val="none"/>
          <w:lang w:val="en-US" w:eastAsia="zh-CN"/>
        </w:rPr>
        <w:t>10-2</w:t>
      </w:r>
    </w:p>
    <w:p w14:paraId="5E950FA8">
      <w:pPr>
        <w:spacing w:line="360" w:lineRule="auto"/>
        <w:jc w:val="center"/>
        <w:rPr>
          <w:rFonts w:hint="eastAsia" w:ascii="黑体" w:eastAsia="黑体"/>
          <w:color w:val="auto"/>
          <w:sz w:val="28"/>
          <w:szCs w:val="28"/>
          <w:highlight w:val="none"/>
        </w:rPr>
      </w:pPr>
      <w:r>
        <w:rPr>
          <w:rFonts w:hint="eastAsia" w:ascii="黑体" w:eastAsia="黑体"/>
          <w:color w:val="auto"/>
          <w:sz w:val="28"/>
          <w:szCs w:val="28"/>
          <w:highlight w:val="none"/>
          <w:lang w:val="en-US" w:eastAsia="zh-CN"/>
        </w:rPr>
        <w:t>最后（第二轮）报价明细表</w:t>
      </w:r>
    </w:p>
    <w:p w14:paraId="0860AC5C">
      <w:pPr>
        <w:spacing w:line="360" w:lineRule="auto"/>
        <w:rPr>
          <w:rFonts w:hint="eastAsia" w:ascii="宋体" w:hAnsi="宋体"/>
          <w:color w:val="auto"/>
          <w:szCs w:val="21"/>
          <w:highlight w:val="none"/>
        </w:rPr>
      </w:pPr>
      <w:r>
        <w:rPr>
          <w:rFonts w:hint="eastAsia" w:ascii="宋体" w:hAnsi="宋体"/>
          <w:color w:val="auto"/>
          <w:szCs w:val="21"/>
          <w:highlight w:val="none"/>
        </w:rPr>
        <w:t>项目名称：                                  项目编号：</w:t>
      </w:r>
    </w:p>
    <w:tbl>
      <w:tblPr>
        <w:tblStyle w:val="21"/>
        <w:tblW w:w="512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111"/>
        <w:gridCol w:w="970"/>
        <w:gridCol w:w="1159"/>
        <w:gridCol w:w="1481"/>
        <w:gridCol w:w="1258"/>
        <w:gridCol w:w="902"/>
        <w:gridCol w:w="1653"/>
      </w:tblGrid>
      <w:tr w14:paraId="72922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350" w:type="pct"/>
            <w:noWrap w:val="0"/>
            <w:vAlign w:val="center"/>
          </w:tcPr>
          <w:p w14:paraId="5FB2831F">
            <w:pPr>
              <w:spacing w:line="360" w:lineRule="auto"/>
              <w:jc w:val="center"/>
              <w:rPr>
                <w:rFonts w:hint="eastAsia" w:ascii="宋体" w:hAnsi="宋体" w:eastAsia="宋体" w:cs="Times New Roman"/>
                <w:color w:val="auto"/>
                <w:kern w:val="2"/>
                <w:sz w:val="21"/>
                <w:szCs w:val="24"/>
                <w:highlight w:val="none"/>
                <w:lang w:val="en-US" w:eastAsia="zh-CN" w:bidi="ar-SA"/>
              </w:rPr>
            </w:pPr>
            <w:r>
              <w:rPr>
                <w:rFonts w:hint="eastAsia" w:ascii="宋体" w:hAnsi="宋体" w:eastAsia="宋体" w:cs="Times New Roman"/>
                <w:color w:val="auto"/>
                <w:highlight w:val="none"/>
                <w:lang w:val="en-US" w:eastAsia="zh-CN"/>
              </w:rPr>
              <w:t>序号</w:t>
            </w:r>
          </w:p>
        </w:tc>
        <w:tc>
          <w:tcPr>
            <w:tcW w:w="605" w:type="pct"/>
            <w:noWrap w:val="0"/>
            <w:vAlign w:val="center"/>
          </w:tcPr>
          <w:p w14:paraId="35DE89AC">
            <w:pPr>
              <w:spacing w:line="360" w:lineRule="auto"/>
              <w:jc w:val="center"/>
              <w:rPr>
                <w:rFonts w:hint="eastAsia" w:ascii="宋体" w:hAnsi="宋体" w:eastAsia="宋体" w:cs="Times New Roman"/>
                <w:color w:val="auto"/>
                <w:kern w:val="2"/>
                <w:sz w:val="21"/>
                <w:szCs w:val="24"/>
                <w:highlight w:val="none"/>
                <w:lang w:val="en-US" w:eastAsia="zh-CN" w:bidi="ar-SA"/>
              </w:rPr>
            </w:pPr>
            <w:r>
              <w:rPr>
                <w:rFonts w:hint="eastAsia"/>
                <w:color w:val="auto"/>
                <w:highlight w:val="none"/>
              </w:rPr>
              <w:t>名称</w:t>
            </w:r>
          </w:p>
        </w:tc>
        <w:tc>
          <w:tcPr>
            <w:tcW w:w="528" w:type="pct"/>
            <w:noWrap w:val="0"/>
            <w:vAlign w:val="center"/>
          </w:tcPr>
          <w:p w14:paraId="1B2D8997">
            <w:pPr>
              <w:spacing w:line="360" w:lineRule="auto"/>
              <w:jc w:val="center"/>
              <w:rPr>
                <w:rFonts w:hint="default" w:ascii="宋体" w:hAnsi="宋体" w:eastAsia="宋体" w:cs="Times New Roman"/>
                <w:color w:val="auto"/>
                <w:kern w:val="2"/>
                <w:sz w:val="21"/>
                <w:szCs w:val="24"/>
                <w:highlight w:val="none"/>
                <w:lang w:val="en-US" w:eastAsia="zh-CN" w:bidi="ar-SA"/>
              </w:rPr>
            </w:pPr>
            <w:r>
              <w:rPr>
                <w:rFonts w:hint="eastAsia" w:ascii="宋体" w:hAnsi="宋体" w:eastAsia="宋体" w:cs="Times New Roman"/>
                <w:color w:val="auto"/>
                <w:highlight w:val="none"/>
              </w:rPr>
              <w:t>品牌</w:t>
            </w:r>
          </w:p>
        </w:tc>
        <w:tc>
          <w:tcPr>
            <w:tcW w:w="631" w:type="pct"/>
            <w:noWrap w:val="0"/>
            <w:vAlign w:val="center"/>
          </w:tcPr>
          <w:p w14:paraId="75384594">
            <w:pPr>
              <w:spacing w:line="360" w:lineRule="auto"/>
              <w:jc w:val="center"/>
              <w:rPr>
                <w:rFonts w:hint="eastAsia" w:ascii="宋体" w:hAnsi="宋体" w:eastAsia="宋体" w:cs="Times New Roman"/>
                <w:color w:val="auto"/>
                <w:highlight w:val="none"/>
              </w:rPr>
            </w:pPr>
            <w:r>
              <w:rPr>
                <w:rFonts w:hint="eastAsia" w:ascii="宋体" w:hAnsi="宋体" w:cs="Times New Roman"/>
                <w:color w:val="auto"/>
                <w:highlight w:val="none"/>
                <w:lang w:val="en-US" w:eastAsia="zh-CN"/>
              </w:rPr>
              <w:t>规格、型号</w:t>
            </w:r>
          </w:p>
        </w:tc>
        <w:tc>
          <w:tcPr>
            <w:tcW w:w="806" w:type="pct"/>
            <w:noWrap w:val="0"/>
            <w:vAlign w:val="center"/>
          </w:tcPr>
          <w:p w14:paraId="4CC8EB35">
            <w:pPr>
              <w:spacing w:line="360" w:lineRule="auto"/>
              <w:jc w:val="center"/>
              <w:rPr>
                <w:rFonts w:hint="eastAsia" w:ascii="宋体" w:hAnsi="宋体" w:eastAsia="宋体" w:cs="Times New Roman"/>
                <w:color w:val="auto"/>
                <w:kern w:val="2"/>
                <w:sz w:val="21"/>
                <w:szCs w:val="24"/>
                <w:highlight w:val="none"/>
                <w:lang w:val="en-US" w:eastAsia="zh-CN" w:bidi="ar-SA"/>
              </w:rPr>
            </w:pPr>
            <w:r>
              <w:rPr>
                <w:rFonts w:hint="eastAsia" w:ascii="宋体" w:hAnsi="宋体"/>
                <w:color w:val="auto"/>
                <w:highlight w:val="none"/>
              </w:rPr>
              <w:t>所投产品生产厂家名称</w:t>
            </w:r>
          </w:p>
        </w:tc>
        <w:tc>
          <w:tcPr>
            <w:tcW w:w="685" w:type="pct"/>
            <w:noWrap w:val="0"/>
            <w:vAlign w:val="center"/>
          </w:tcPr>
          <w:p w14:paraId="5A571B9B">
            <w:pPr>
              <w:spacing w:line="360" w:lineRule="auto"/>
              <w:jc w:val="center"/>
              <w:rPr>
                <w:rFonts w:hint="eastAsia" w:ascii="宋体" w:hAnsi="宋体" w:eastAsia="宋体" w:cs="Times New Roman"/>
                <w:color w:val="auto"/>
                <w:kern w:val="2"/>
                <w:sz w:val="21"/>
                <w:szCs w:val="24"/>
                <w:highlight w:val="none"/>
                <w:lang w:val="en-US" w:eastAsia="zh-CN" w:bidi="ar-SA"/>
              </w:rPr>
            </w:pPr>
            <w:r>
              <w:rPr>
                <w:rFonts w:hint="eastAsia" w:ascii="宋体" w:hAnsi="宋体"/>
                <w:color w:val="auto"/>
                <w:highlight w:val="none"/>
              </w:rPr>
              <w:t>数量</w:t>
            </w:r>
            <w:r>
              <w:rPr>
                <w:rFonts w:hint="eastAsia" w:ascii="宋体" w:hAnsi="宋体"/>
                <w:color w:val="auto"/>
                <w:highlight w:val="none"/>
                <w:lang w:eastAsia="zh-CN"/>
              </w:rPr>
              <w:t>（</w:t>
            </w:r>
            <w:r>
              <w:rPr>
                <w:rFonts w:hint="eastAsia" w:ascii="宋体" w:hAnsi="宋体"/>
                <w:color w:val="auto"/>
                <w:highlight w:val="none"/>
                <w:lang w:val="en-US" w:eastAsia="zh-CN"/>
              </w:rPr>
              <w:t>单位）</w:t>
            </w:r>
          </w:p>
        </w:tc>
        <w:tc>
          <w:tcPr>
            <w:tcW w:w="491" w:type="pct"/>
            <w:noWrap w:val="0"/>
            <w:vAlign w:val="center"/>
          </w:tcPr>
          <w:p w14:paraId="01F22955">
            <w:pPr>
              <w:spacing w:line="360" w:lineRule="auto"/>
              <w:jc w:val="center"/>
              <w:rPr>
                <w:rFonts w:hint="default" w:ascii="宋体" w:hAnsi="宋体" w:eastAsia="宋体" w:cs="Times New Roman"/>
                <w:color w:val="auto"/>
                <w:kern w:val="2"/>
                <w:sz w:val="21"/>
                <w:szCs w:val="24"/>
                <w:highlight w:val="none"/>
                <w:lang w:val="en-US" w:eastAsia="zh-CN" w:bidi="ar-SA"/>
              </w:rPr>
            </w:pPr>
            <w:r>
              <w:rPr>
                <w:rFonts w:hint="eastAsia" w:ascii="宋体" w:hAnsi="宋体"/>
                <w:color w:val="auto"/>
                <w:highlight w:val="none"/>
              </w:rPr>
              <w:t>单价</w:t>
            </w:r>
          </w:p>
        </w:tc>
        <w:tc>
          <w:tcPr>
            <w:tcW w:w="900" w:type="pct"/>
            <w:noWrap w:val="0"/>
            <w:vAlign w:val="center"/>
          </w:tcPr>
          <w:p w14:paraId="04C963F2">
            <w:pPr>
              <w:spacing w:line="360" w:lineRule="auto"/>
              <w:jc w:val="center"/>
              <w:rPr>
                <w:rFonts w:hint="default" w:ascii="宋体" w:hAnsi="宋体" w:eastAsia="宋体" w:cs="Times New Roman"/>
                <w:color w:val="auto"/>
                <w:kern w:val="2"/>
                <w:sz w:val="21"/>
                <w:szCs w:val="24"/>
                <w:highlight w:val="none"/>
                <w:lang w:val="en-US" w:eastAsia="zh-CN" w:bidi="ar-SA"/>
              </w:rPr>
            </w:pPr>
            <w:r>
              <w:rPr>
                <w:rFonts w:hint="eastAsia" w:ascii="宋体" w:hAnsi="宋体"/>
                <w:color w:val="auto"/>
                <w:highlight w:val="none"/>
              </w:rPr>
              <w:t>总价</w:t>
            </w:r>
          </w:p>
        </w:tc>
      </w:tr>
      <w:tr w14:paraId="13EE3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350" w:type="pct"/>
            <w:noWrap w:val="0"/>
            <w:vAlign w:val="center"/>
          </w:tcPr>
          <w:p w14:paraId="53821009">
            <w:pPr>
              <w:spacing w:line="360" w:lineRule="auto"/>
              <w:jc w:val="center"/>
              <w:rPr>
                <w:rFonts w:hint="default"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1</w:t>
            </w:r>
          </w:p>
        </w:tc>
        <w:tc>
          <w:tcPr>
            <w:tcW w:w="605" w:type="pct"/>
            <w:noWrap w:val="0"/>
            <w:vAlign w:val="center"/>
          </w:tcPr>
          <w:p w14:paraId="597CB0E9">
            <w:pPr>
              <w:spacing w:line="360" w:lineRule="auto"/>
              <w:jc w:val="center"/>
              <w:rPr>
                <w:rFonts w:hint="eastAsia" w:ascii="宋体" w:hAnsi="宋体" w:eastAsia="宋体" w:cs="Times New Roman"/>
                <w:color w:val="auto"/>
                <w:highlight w:val="none"/>
              </w:rPr>
            </w:pPr>
          </w:p>
        </w:tc>
        <w:tc>
          <w:tcPr>
            <w:tcW w:w="528" w:type="pct"/>
            <w:noWrap w:val="0"/>
            <w:vAlign w:val="center"/>
          </w:tcPr>
          <w:p w14:paraId="26BFE263">
            <w:pPr>
              <w:spacing w:line="360" w:lineRule="auto"/>
              <w:jc w:val="center"/>
              <w:rPr>
                <w:rFonts w:hint="eastAsia" w:ascii="宋体" w:hAnsi="宋体" w:eastAsia="宋体" w:cs="Times New Roman"/>
                <w:color w:val="auto"/>
                <w:highlight w:val="none"/>
              </w:rPr>
            </w:pPr>
          </w:p>
        </w:tc>
        <w:tc>
          <w:tcPr>
            <w:tcW w:w="631" w:type="pct"/>
            <w:noWrap w:val="0"/>
            <w:vAlign w:val="center"/>
          </w:tcPr>
          <w:p w14:paraId="4C5B932B">
            <w:pPr>
              <w:spacing w:line="360" w:lineRule="auto"/>
              <w:jc w:val="center"/>
              <w:rPr>
                <w:rFonts w:hint="eastAsia" w:ascii="宋体" w:hAnsi="宋体" w:eastAsia="宋体" w:cs="Times New Roman"/>
                <w:color w:val="auto"/>
                <w:highlight w:val="none"/>
              </w:rPr>
            </w:pPr>
          </w:p>
        </w:tc>
        <w:tc>
          <w:tcPr>
            <w:tcW w:w="806" w:type="pct"/>
            <w:noWrap w:val="0"/>
            <w:vAlign w:val="center"/>
          </w:tcPr>
          <w:p w14:paraId="225109B2">
            <w:pPr>
              <w:spacing w:line="360" w:lineRule="auto"/>
              <w:jc w:val="center"/>
              <w:rPr>
                <w:rFonts w:hint="eastAsia" w:ascii="宋体" w:hAnsi="宋体"/>
                <w:color w:val="auto"/>
                <w:highlight w:val="none"/>
              </w:rPr>
            </w:pPr>
          </w:p>
        </w:tc>
        <w:tc>
          <w:tcPr>
            <w:tcW w:w="685" w:type="pct"/>
            <w:noWrap w:val="0"/>
            <w:vAlign w:val="center"/>
          </w:tcPr>
          <w:p w14:paraId="0D5EDBD7">
            <w:pPr>
              <w:spacing w:line="360" w:lineRule="auto"/>
              <w:jc w:val="center"/>
              <w:rPr>
                <w:rFonts w:hint="eastAsia" w:ascii="宋体" w:hAnsi="宋体"/>
                <w:color w:val="auto"/>
                <w:highlight w:val="none"/>
              </w:rPr>
            </w:pPr>
          </w:p>
        </w:tc>
        <w:tc>
          <w:tcPr>
            <w:tcW w:w="491" w:type="pct"/>
            <w:noWrap w:val="0"/>
            <w:vAlign w:val="center"/>
          </w:tcPr>
          <w:p w14:paraId="4D2B867F">
            <w:pPr>
              <w:spacing w:line="360" w:lineRule="auto"/>
              <w:jc w:val="center"/>
              <w:rPr>
                <w:rFonts w:hint="eastAsia" w:ascii="宋体" w:hAnsi="宋体"/>
                <w:color w:val="auto"/>
                <w:highlight w:val="none"/>
              </w:rPr>
            </w:pPr>
          </w:p>
        </w:tc>
        <w:tc>
          <w:tcPr>
            <w:tcW w:w="900" w:type="pct"/>
            <w:noWrap w:val="0"/>
            <w:vAlign w:val="center"/>
          </w:tcPr>
          <w:p w14:paraId="7CC9EC75">
            <w:pPr>
              <w:spacing w:line="360" w:lineRule="auto"/>
              <w:jc w:val="center"/>
              <w:rPr>
                <w:rFonts w:hint="eastAsia" w:ascii="宋体" w:hAnsi="宋体"/>
                <w:color w:val="auto"/>
                <w:highlight w:val="none"/>
              </w:rPr>
            </w:pPr>
          </w:p>
        </w:tc>
      </w:tr>
      <w:tr w14:paraId="088CD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350" w:type="pct"/>
            <w:noWrap w:val="0"/>
            <w:vAlign w:val="center"/>
          </w:tcPr>
          <w:p w14:paraId="18E8376A">
            <w:pPr>
              <w:spacing w:line="360" w:lineRule="auto"/>
              <w:jc w:val="center"/>
              <w:rPr>
                <w:rFonts w:hint="default"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2</w:t>
            </w:r>
          </w:p>
        </w:tc>
        <w:tc>
          <w:tcPr>
            <w:tcW w:w="605" w:type="pct"/>
            <w:noWrap w:val="0"/>
            <w:vAlign w:val="center"/>
          </w:tcPr>
          <w:p w14:paraId="52707D23">
            <w:pPr>
              <w:spacing w:line="360" w:lineRule="auto"/>
              <w:jc w:val="center"/>
              <w:rPr>
                <w:rFonts w:hint="eastAsia" w:ascii="宋体" w:hAnsi="宋体" w:eastAsia="宋体" w:cs="Times New Roman"/>
                <w:color w:val="auto"/>
                <w:highlight w:val="none"/>
              </w:rPr>
            </w:pPr>
          </w:p>
        </w:tc>
        <w:tc>
          <w:tcPr>
            <w:tcW w:w="528" w:type="pct"/>
            <w:noWrap w:val="0"/>
            <w:vAlign w:val="center"/>
          </w:tcPr>
          <w:p w14:paraId="4BCD585A">
            <w:pPr>
              <w:spacing w:line="360" w:lineRule="auto"/>
              <w:jc w:val="center"/>
              <w:rPr>
                <w:rFonts w:hint="eastAsia" w:ascii="宋体" w:hAnsi="宋体" w:eastAsia="宋体" w:cs="Times New Roman"/>
                <w:color w:val="auto"/>
                <w:highlight w:val="none"/>
              </w:rPr>
            </w:pPr>
          </w:p>
        </w:tc>
        <w:tc>
          <w:tcPr>
            <w:tcW w:w="631" w:type="pct"/>
            <w:noWrap w:val="0"/>
            <w:vAlign w:val="center"/>
          </w:tcPr>
          <w:p w14:paraId="668BD356">
            <w:pPr>
              <w:spacing w:line="360" w:lineRule="auto"/>
              <w:jc w:val="center"/>
              <w:rPr>
                <w:rFonts w:hint="eastAsia" w:ascii="宋体" w:hAnsi="宋体" w:eastAsia="宋体" w:cs="Times New Roman"/>
                <w:color w:val="auto"/>
                <w:highlight w:val="none"/>
              </w:rPr>
            </w:pPr>
          </w:p>
        </w:tc>
        <w:tc>
          <w:tcPr>
            <w:tcW w:w="806" w:type="pct"/>
            <w:noWrap w:val="0"/>
            <w:vAlign w:val="center"/>
          </w:tcPr>
          <w:p w14:paraId="57FC32BF">
            <w:pPr>
              <w:spacing w:line="360" w:lineRule="auto"/>
              <w:jc w:val="center"/>
              <w:rPr>
                <w:rFonts w:hint="eastAsia" w:ascii="宋体" w:hAnsi="宋体"/>
                <w:color w:val="auto"/>
                <w:highlight w:val="none"/>
              </w:rPr>
            </w:pPr>
          </w:p>
        </w:tc>
        <w:tc>
          <w:tcPr>
            <w:tcW w:w="685" w:type="pct"/>
            <w:noWrap w:val="0"/>
            <w:vAlign w:val="center"/>
          </w:tcPr>
          <w:p w14:paraId="7E326A36">
            <w:pPr>
              <w:spacing w:line="360" w:lineRule="auto"/>
              <w:jc w:val="center"/>
              <w:rPr>
                <w:rFonts w:hint="eastAsia" w:ascii="宋体" w:hAnsi="宋体"/>
                <w:color w:val="auto"/>
                <w:highlight w:val="none"/>
              </w:rPr>
            </w:pPr>
          </w:p>
        </w:tc>
        <w:tc>
          <w:tcPr>
            <w:tcW w:w="491" w:type="pct"/>
            <w:noWrap w:val="0"/>
            <w:vAlign w:val="center"/>
          </w:tcPr>
          <w:p w14:paraId="66D879C4">
            <w:pPr>
              <w:spacing w:line="360" w:lineRule="auto"/>
              <w:jc w:val="center"/>
              <w:rPr>
                <w:rFonts w:hint="eastAsia" w:ascii="宋体" w:hAnsi="宋体"/>
                <w:color w:val="auto"/>
                <w:highlight w:val="none"/>
              </w:rPr>
            </w:pPr>
          </w:p>
        </w:tc>
        <w:tc>
          <w:tcPr>
            <w:tcW w:w="900" w:type="pct"/>
            <w:noWrap w:val="0"/>
            <w:vAlign w:val="center"/>
          </w:tcPr>
          <w:p w14:paraId="195D1401">
            <w:pPr>
              <w:spacing w:line="360" w:lineRule="auto"/>
              <w:jc w:val="center"/>
              <w:rPr>
                <w:rFonts w:hint="eastAsia" w:ascii="宋体" w:hAnsi="宋体"/>
                <w:color w:val="auto"/>
                <w:highlight w:val="none"/>
              </w:rPr>
            </w:pPr>
          </w:p>
        </w:tc>
      </w:tr>
      <w:tr w14:paraId="27B32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350" w:type="pct"/>
            <w:noWrap w:val="0"/>
            <w:vAlign w:val="center"/>
          </w:tcPr>
          <w:p w14:paraId="31032CD0">
            <w:pPr>
              <w:spacing w:line="360" w:lineRule="auto"/>
              <w:jc w:val="center"/>
              <w:rPr>
                <w:rFonts w:hint="default"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3</w:t>
            </w:r>
          </w:p>
        </w:tc>
        <w:tc>
          <w:tcPr>
            <w:tcW w:w="605" w:type="pct"/>
            <w:noWrap w:val="0"/>
            <w:vAlign w:val="center"/>
          </w:tcPr>
          <w:p w14:paraId="40237479">
            <w:pPr>
              <w:spacing w:line="360" w:lineRule="auto"/>
              <w:jc w:val="center"/>
              <w:rPr>
                <w:rFonts w:hint="eastAsia" w:ascii="宋体" w:hAnsi="宋体" w:eastAsia="宋体" w:cs="Times New Roman"/>
                <w:color w:val="auto"/>
                <w:highlight w:val="none"/>
              </w:rPr>
            </w:pPr>
          </w:p>
        </w:tc>
        <w:tc>
          <w:tcPr>
            <w:tcW w:w="528" w:type="pct"/>
            <w:noWrap w:val="0"/>
            <w:vAlign w:val="center"/>
          </w:tcPr>
          <w:p w14:paraId="3A69C4C5">
            <w:pPr>
              <w:spacing w:line="360" w:lineRule="auto"/>
              <w:jc w:val="center"/>
              <w:rPr>
                <w:rFonts w:hint="eastAsia" w:ascii="宋体" w:hAnsi="宋体" w:eastAsia="宋体" w:cs="Times New Roman"/>
                <w:color w:val="auto"/>
                <w:highlight w:val="none"/>
              </w:rPr>
            </w:pPr>
          </w:p>
        </w:tc>
        <w:tc>
          <w:tcPr>
            <w:tcW w:w="631" w:type="pct"/>
            <w:noWrap w:val="0"/>
            <w:vAlign w:val="center"/>
          </w:tcPr>
          <w:p w14:paraId="4AFA4D90">
            <w:pPr>
              <w:spacing w:line="360" w:lineRule="auto"/>
              <w:jc w:val="center"/>
              <w:rPr>
                <w:rFonts w:hint="eastAsia" w:ascii="宋体" w:hAnsi="宋体" w:eastAsia="宋体" w:cs="Times New Roman"/>
                <w:color w:val="auto"/>
                <w:highlight w:val="none"/>
              </w:rPr>
            </w:pPr>
          </w:p>
        </w:tc>
        <w:tc>
          <w:tcPr>
            <w:tcW w:w="806" w:type="pct"/>
            <w:noWrap w:val="0"/>
            <w:vAlign w:val="center"/>
          </w:tcPr>
          <w:p w14:paraId="66A73E6B">
            <w:pPr>
              <w:spacing w:line="360" w:lineRule="auto"/>
              <w:jc w:val="center"/>
              <w:rPr>
                <w:rFonts w:hint="eastAsia" w:ascii="宋体" w:hAnsi="宋体"/>
                <w:color w:val="auto"/>
                <w:highlight w:val="none"/>
              </w:rPr>
            </w:pPr>
          </w:p>
        </w:tc>
        <w:tc>
          <w:tcPr>
            <w:tcW w:w="685" w:type="pct"/>
            <w:noWrap w:val="0"/>
            <w:vAlign w:val="center"/>
          </w:tcPr>
          <w:p w14:paraId="527747A9">
            <w:pPr>
              <w:spacing w:line="360" w:lineRule="auto"/>
              <w:jc w:val="center"/>
              <w:rPr>
                <w:rFonts w:hint="eastAsia" w:ascii="宋体" w:hAnsi="宋体"/>
                <w:color w:val="auto"/>
                <w:highlight w:val="none"/>
              </w:rPr>
            </w:pPr>
          </w:p>
        </w:tc>
        <w:tc>
          <w:tcPr>
            <w:tcW w:w="491" w:type="pct"/>
            <w:noWrap w:val="0"/>
            <w:vAlign w:val="center"/>
          </w:tcPr>
          <w:p w14:paraId="166D2B6E">
            <w:pPr>
              <w:spacing w:line="360" w:lineRule="auto"/>
              <w:jc w:val="center"/>
              <w:rPr>
                <w:rFonts w:hint="eastAsia" w:ascii="宋体" w:hAnsi="宋体"/>
                <w:color w:val="auto"/>
                <w:highlight w:val="none"/>
              </w:rPr>
            </w:pPr>
          </w:p>
        </w:tc>
        <w:tc>
          <w:tcPr>
            <w:tcW w:w="900" w:type="pct"/>
            <w:noWrap w:val="0"/>
            <w:vAlign w:val="center"/>
          </w:tcPr>
          <w:p w14:paraId="3E6DE894">
            <w:pPr>
              <w:spacing w:line="360" w:lineRule="auto"/>
              <w:jc w:val="center"/>
              <w:rPr>
                <w:rFonts w:hint="eastAsia" w:ascii="宋体" w:hAnsi="宋体"/>
                <w:color w:val="auto"/>
                <w:highlight w:val="none"/>
              </w:rPr>
            </w:pPr>
          </w:p>
        </w:tc>
      </w:tr>
      <w:tr w14:paraId="47751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350" w:type="pct"/>
            <w:noWrap w:val="0"/>
            <w:vAlign w:val="center"/>
          </w:tcPr>
          <w:p w14:paraId="06FEFE78">
            <w:pPr>
              <w:spacing w:line="360" w:lineRule="auto"/>
              <w:jc w:val="center"/>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w:t>
            </w:r>
          </w:p>
        </w:tc>
        <w:tc>
          <w:tcPr>
            <w:tcW w:w="605" w:type="pct"/>
            <w:noWrap w:val="0"/>
            <w:vAlign w:val="center"/>
          </w:tcPr>
          <w:p w14:paraId="0FE0F66D">
            <w:pPr>
              <w:spacing w:line="360" w:lineRule="auto"/>
              <w:jc w:val="center"/>
              <w:rPr>
                <w:rFonts w:hint="eastAsia" w:ascii="宋体" w:hAnsi="宋体" w:eastAsia="宋体" w:cs="Times New Roman"/>
                <w:color w:val="auto"/>
                <w:highlight w:val="none"/>
              </w:rPr>
            </w:pPr>
          </w:p>
        </w:tc>
        <w:tc>
          <w:tcPr>
            <w:tcW w:w="528" w:type="pct"/>
            <w:noWrap w:val="0"/>
            <w:vAlign w:val="center"/>
          </w:tcPr>
          <w:p w14:paraId="792ABF89">
            <w:pPr>
              <w:spacing w:line="360" w:lineRule="auto"/>
              <w:jc w:val="center"/>
              <w:rPr>
                <w:rFonts w:hint="eastAsia" w:ascii="宋体" w:hAnsi="宋体" w:eastAsia="宋体" w:cs="Times New Roman"/>
                <w:color w:val="auto"/>
                <w:highlight w:val="none"/>
              </w:rPr>
            </w:pPr>
          </w:p>
        </w:tc>
        <w:tc>
          <w:tcPr>
            <w:tcW w:w="631" w:type="pct"/>
            <w:noWrap w:val="0"/>
            <w:vAlign w:val="center"/>
          </w:tcPr>
          <w:p w14:paraId="76782EB9">
            <w:pPr>
              <w:spacing w:line="360" w:lineRule="auto"/>
              <w:jc w:val="center"/>
              <w:rPr>
                <w:rFonts w:hint="eastAsia" w:ascii="宋体" w:hAnsi="宋体" w:eastAsia="宋体" w:cs="Times New Roman"/>
                <w:color w:val="auto"/>
                <w:highlight w:val="none"/>
              </w:rPr>
            </w:pPr>
          </w:p>
        </w:tc>
        <w:tc>
          <w:tcPr>
            <w:tcW w:w="806" w:type="pct"/>
            <w:noWrap w:val="0"/>
            <w:vAlign w:val="center"/>
          </w:tcPr>
          <w:p w14:paraId="616F7F80">
            <w:pPr>
              <w:spacing w:line="360" w:lineRule="auto"/>
              <w:jc w:val="center"/>
              <w:rPr>
                <w:rFonts w:hint="eastAsia" w:ascii="宋体" w:hAnsi="宋体"/>
                <w:color w:val="auto"/>
                <w:highlight w:val="none"/>
              </w:rPr>
            </w:pPr>
          </w:p>
        </w:tc>
        <w:tc>
          <w:tcPr>
            <w:tcW w:w="685" w:type="pct"/>
            <w:noWrap w:val="0"/>
            <w:vAlign w:val="center"/>
          </w:tcPr>
          <w:p w14:paraId="108871FD">
            <w:pPr>
              <w:spacing w:line="360" w:lineRule="auto"/>
              <w:jc w:val="center"/>
              <w:rPr>
                <w:rFonts w:hint="eastAsia" w:ascii="宋体" w:hAnsi="宋体"/>
                <w:color w:val="auto"/>
                <w:highlight w:val="none"/>
              </w:rPr>
            </w:pPr>
          </w:p>
        </w:tc>
        <w:tc>
          <w:tcPr>
            <w:tcW w:w="491" w:type="pct"/>
            <w:noWrap w:val="0"/>
            <w:vAlign w:val="center"/>
          </w:tcPr>
          <w:p w14:paraId="2C936300">
            <w:pPr>
              <w:spacing w:line="360" w:lineRule="auto"/>
              <w:jc w:val="center"/>
              <w:rPr>
                <w:rFonts w:hint="eastAsia" w:ascii="宋体" w:hAnsi="宋体"/>
                <w:color w:val="auto"/>
                <w:highlight w:val="none"/>
              </w:rPr>
            </w:pPr>
          </w:p>
        </w:tc>
        <w:tc>
          <w:tcPr>
            <w:tcW w:w="900" w:type="pct"/>
            <w:noWrap w:val="0"/>
            <w:vAlign w:val="center"/>
          </w:tcPr>
          <w:p w14:paraId="439A2F49">
            <w:pPr>
              <w:spacing w:line="360" w:lineRule="auto"/>
              <w:jc w:val="center"/>
              <w:rPr>
                <w:rFonts w:hint="eastAsia" w:ascii="宋体" w:hAnsi="宋体"/>
                <w:color w:val="auto"/>
                <w:highlight w:val="none"/>
              </w:rPr>
            </w:pPr>
          </w:p>
        </w:tc>
      </w:tr>
      <w:tr w14:paraId="3996B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116A8177">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olor w:val="auto"/>
                <w:sz w:val="21"/>
                <w:szCs w:val="21"/>
                <w:highlight w:val="none"/>
              </w:rPr>
              <w:t>投标总价（小写）：</w:t>
            </w:r>
          </w:p>
        </w:tc>
      </w:tr>
      <w:tr w14:paraId="1269D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3ED8989F">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olor w:val="auto"/>
                <w:sz w:val="21"/>
                <w:szCs w:val="21"/>
                <w:highlight w:val="none"/>
              </w:rPr>
              <w:t>投标总价（大写）：</w:t>
            </w:r>
          </w:p>
        </w:tc>
      </w:tr>
    </w:tbl>
    <w:p w14:paraId="789FAF6D">
      <w:pPr>
        <w:rPr>
          <w:rFonts w:hint="eastAsia" w:ascii="宋体" w:hAnsi="宋体"/>
          <w:color w:val="auto"/>
          <w:sz w:val="21"/>
          <w:szCs w:val="21"/>
          <w:highlight w:val="none"/>
        </w:rPr>
      </w:pPr>
    </w:p>
    <w:p w14:paraId="49C3D928">
      <w:pPr>
        <w:rPr>
          <w:rFonts w:hint="eastAsia" w:ascii="宋体" w:hAnsi="宋体"/>
          <w:color w:val="auto"/>
          <w:sz w:val="21"/>
          <w:szCs w:val="21"/>
          <w:highlight w:val="none"/>
        </w:rPr>
      </w:pPr>
    </w:p>
    <w:p w14:paraId="29E462F0">
      <w:pPr>
        <w:spacing w:line="560" w:lineRule="exact"/>
        <w:rPr>
          <w:rFonts w:ascii="宋体" w:hAnsi="宋体"/>
          <w:color w:val="auto"/>
          <w:szCs w:val="21"/>
          <w:highlight w:val="none"/>
        </w:rPr>
      </w:pPr>
      <w:r>
        <w:rPr>
          <w:rFonts w:hint="eastAsia" w:ascii="宋体" w:hAnsi="宋体"/>
          <w:color w:val="auto"/>
          <w:sz w:val="21"/>
          <w:szCs w:val="21"/>
          <w:highlight w:val="none"/>
        </w:rPr>
        <w:t>注：1、</w:t>
      </w:r>
      <w:r>
        <w:rPr>
          <w:rFonts w:hint="eastAsia" w:ascii="宋体" w:hAnsi="宋体"/>
          <w:color w:val="auto"/>
          <w:szCs w:val="21"/>
          <w:highlight w:val="none"/>
        </w:rPr>
        <w:t>供应商可根据实际情况自行添加表格内容。</w:t>
      </w:r>
    </w:p>
    <w:p w14:paraId="69165F15">
      <w:pPr>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2、所有价格均应为人民币报价，金额单位为元。</w:t>
      </w:r>
    </w:p>
    <w:p w14:paraId="54840CA2">
      <w:pPr>
        <w:spacing w:line="560" w:lineRule="exact"/>
        <w:ind w:firstLine="422" w:firstLineChars="200"/>
        <w:rPr>
          <w:rFonts w:hint="eastAsia" w:ascii="黑体"/>
          <w:b/>
          <w:bCs/>
          <w:color w:val="auto"/>
          <w:sz w:val="28"/>
          <w:szCs w:val="28"/>
          <w:highlight w:val="none"/>
        </w:rPr>
      </w:pPr>
      <w:r>
        <w:rPr>
          <w:rFonts w:hint="eastAsia" w:ascii="宋体" w:hAnsi="宋体" w:eastAsia="宋体" w:cs="Times New Roman"/>
          <w:b/>
          <w:bCs/>
          <w:color w:val="auto"/>
          <w:sz w:val="21"/>
          <w:szCs w:val="21"/>
          <w:highlight w:val="none"/>
          <w:lang w:val="en-US" w:eastAsia="zh-CN"/>
        </w:rPr>
        <w:t>3.最后（第二轮）报价明细表须以附件形式上传，未按格式或者未上传附件的按无效标处理。</w:t>
      </w:r>
    </w:p>
    <w:p w14:paraId="679A60F1">
      <w:pPr>
        <w:spacing w:line="360" w:lineRule="auto"/>
        <w:rPr>
          <w:rFonts w:hint="eastAsia" w:ascii="仿宋_GB2312" w:eastAsia="仿宋_GB2312"/>
          <w:color w:val="auto"/>
          <w:sz w:val="28"/>
          <w:szCs w:val="28"/>
          <w:highlight w:val="none"/>
        </w:rPr>
      </w:pPr>
    </w:p>
    <w:p w14:paraId="713FDC56">
      <w:pPr>
        <w:spacing w:line="360" w:lineRule="auto"/>
        <w:rPr>
          <w:rFonts w:hint="eastAsia" w:ascii="仿宋_GB2312" w:eastAsia="仿宋_GB2312"/>
          <w:color w:val="auto"/>
          <w:sz w:val="28"/>
          <w:szCs w:val="28"/>
          <w:highlight w:val="none"/>
        </w:rPr>
      </w:pPr>
    </w:p>
    <w:p w14:paraId="11CE9A20">
      <w:pPr>
        <w:spacing w:line="360" w:lineRule="auto"/>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供应商名称：（单位公章）     </w:t>
      </w:r>
    </w:p>
    <w:p w14:paraId="71ED167D">
      <w:pPr>
        <w:spacing w:line="360" w:lineRule="auto"/>
        <w:rPr>
          <w:rFonts w:ascii="仿宋_GB2312" w:eastAsia="仿宋_GB2312"/>
          <w:color w:val="auto"/>
          <w:sz w:val="28"/>
          <w:szCs w:val="28"/>
          <w:highlight w:val="none"/>
        </w:rPr>
      </w:pPr>
      <w:r>
        <w:rPr>
          <w:rFonts w:hint="eastAsia" w:ascii="仿宋_GB2312" w:eastAsia="仿宋_GB2312"/>
          <w:color w:val="auto"/>
          <w:sz w:val="28"/>
          <w:szCs w:val="28"/>
          <w:highlight w:val="none"/>
        </w:rPr>
        <w:t>法定代表人</w:t>
      </w:r>
      <w:r>
        <w:rPr>
          <w:rFonts w:hint="eastAsia" w:ascii="仿宋_GB2312" w:eastAsia="仿宋_GB2312"/>
          <w:color w:val="auto"/>
          <w:sz w:val="28"/>
          <w:szCs w:val="28"/>
          <w:highlight w:val="none"/>
          <w:lang w:val="en-US" w:eastAsia="zh-CN"/>
        </w:rPr>
        <w:t>或授权委托人</w:t>
      </w:r>
      <w:r>
        <w:rPr>
          <w:rFonts w:hint="eastAsia" w:ascii="仿宋_GB2312" w:eastAsia="仿宋_GB2312"/>
          <w:color w:val="auto"/>
          <w:sz w:val="28"/>
          <w:szCs w:val="28"/>
          <w:highlight w:val="none"/>
        </w:rPr>
        <w:t>：（</w:t>
      </w:r>
      <w:r>
        <w:rPr>
          <w:rFonts w:hint="eastAsia" w:ascii="仿宋_GB2312" w:eastAsia="仿宋_GB2312"/>
          <w:color w:val="auto"/>
          <w:sz w:val="28"/>
          <w:szCs w:val="28"/>
          <w:highlight w:val="none"/>
          <w:lang w:val="en-US" w:eastAsia="zh-CN"/>
        </w:rPr>
        <w:t>签字或盖章</w:t>
      </w:r>
      <w:r>
        <w:rPr>
          <w:rFonts w:hint="eastAsia" w:ascii="仿宋_GB2312" w:eastAsia="仿宋_GB2312"/>
          <w:color w:val="auto"/>
          <w:sz w:val="28"/>
          <w:szCs w:val="28"/>
          <w:highlight w:val="none"/>
        </w:rPr>
        <w:t>）</w:t>
      </w:r>
    </w:p>
    <w:p w14:paraId="316828C1">
      <w:pPr>
        <w:spacing w:line="360" w:lineRule="auto"/>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 xml:space="preserve">                          </w:t>
      </w:r>
    </w:p>
    <w:p w14:paraId="2AB5D4DD">
      <w:pPr>
        <w:spacing w:line="360" w:lineRule="auto"/>
        <w:ind w:firstLine="3360" w:firstLineChars="1200"/>
        <w:rPr>
          <w:rFonts w:hint="eastAsia" w:ascii="黑体" w:eastAsia="黑体"/>
          <w:color w:val="auto"/>
          <w:sz w:val="28"/>
          <w:szCs w:val="28"/>
          <w:highlight w:val="none"/>
          <w:lang w:val="en-US" w:eastAsia="zh-CN"/>
        </w:rPr>
      </w:pPr>
      <w:r>
        <w:rPr>
          <w:rFonts w:ascii="仿宋_GB2312" w:eastAsia="仿宋_GB2312"/>
          <w:color w:val="auto"/>
          <w:sz w:val="28"/>
          <w:szCs w:val="28"/>
          <w:highlight w:val="none"/>
        </w:rPr>
        <w:t xml:space="preserve">   </w:t>
      </w:r>
      <w:r>
        <w:rPr>
          <w:rFonts w:hint="eastAsia" w:ascii="仿宋_GB2312" w:eastAsia="仿宋_GB2312"/>
          <w:color w:val="auto"/>
          <w:sz w:val="28"/>
          <w:szCs w:val="28"/>
          <w:highlight w:val="none"/>
        </w:rPr>
        <w:t xml:space="preserve"> 年  月  日</w:t>
      </w:r>
    </w:p>
    <w:p w14:paraId="35BBC06E">
      <w:pPr>
        <w:spacing w:line="360" w:lineRule="auto"/>
        <w:rPr>
          <w:rFonts w:hint="default" w:ascii="黑体" w:eastAsia="仿宋_GB2312"/>
          <w:color w:val="auto"/>
          <w:sz w:val="28"/>
          <w:szCs w:val="28"/>
          <w:highlight w:val="none"/>
          <w:lang w:val="en-US" w:eastAsia="zh-CN"/>
        </w:rPr>
      </w:pPr>
      <w:r>
        <w:rPr>
          <w:rFonts w:hint="eastAsia" w:ascii="仿宋_GB2312" w:hAnsi="宋体" w:eastAsia="仿宋_GB2312" w:cs="Lucida Sans Unicode"/>
          <w:color w:val="auto"/>
          <w:sz w:val="28"/>
          <w:szCs w:val="28"/>
          <w:highlight w:val="none"/>
        </w:rPr>
        <w:t>格式</w:t>
      </w:r>
      <w:r>
        <w:rPr>
          <w:rFonts w:hint="eastAsia" w:ascii="仿宋_GB2312" w:hAnsi="宋体" w:eastAsia="仿宋_GB2312" w:cs="Lucida Sans Unicode"/>
          <w:color w:val="auto"/>
          <w:sz w:val="28"/>
          <w:szCs w:val="28"/>
          <w:highlight w:val="none"/>
          <w:lang w:val="en-US" w:eastAsia="zh-CN"/>
        </w:rPr>
        <w:t>11</w:t>
      </w:r>
    </w:p>
    <w:p w14:paraId="723F952B">
      <w:pPr>
        <w:spacing w:line="360" w:lineRule="auto"/>
        <w:ind w:firstLine="3360" w:firstLineChars="1200"/>
        <w:rPr>
          <w:rFonts w:ascii="黑体" w:eastAsia="黑体"/>
          <w:color w:val="auto"/>
          <w:sz w:val="28"/>
          <w:szCs w:val="28"/>
          <w:highlight w:val="none"/>
        </w:rPr>
      </w:pPr>
      <w:r>
        <w:rPr>
          <w:rFonts w:hint="eastAsia" w:ascii="黑体" w:eastAsia="黑体"/>
          <w:color w:val="auto"/>
          <w:sz w:val="28"/>
          <w:szCs w:val="28"/>
          <w:highlight w:val="none"/>
          <w:lang w:val="en-US" w:eastAsia="zh-CN"/>
        </w:rPr>
        <w:t>技术</w:t>
      </w:r>
      <w:r>
        <w:rPr>
          <w:rFonts w:hint="eastAsia" w:ascii="黑体" w:eastAsia="黑体"/>
          <w:color w:val="auto"/>
          <w:sz w:val="28"/>
          <w:szCs w:val="28"/>
          <w:highlight w:val="none"/>
        </w:rPr>
        <w:t>响应表</w:t>
      </w:r>
    </w:p>
    <w:p w14:paraId="37B5820C">
      <w:pPr>
        <w:spacing w:line="360" w:lineRule="auto"/>
        <w:rPr>
          <w:rFonts w:ascii="仿宋_GB2312" w:hAnsi="宋体" w:eastAsia="仿宋_GB2312"/>
          <w:color w:val="auto"/>
          <w:sz w:val="28"/>
          <w:szCs w:val="28"/>
          <w:highlight w:val="none"/>
        </w:rPr>
      </w:pPr>
    </w:p>
    <w:p w14:paraId="187955A0">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项目名称：                                      </w:t>
      </w:r>
    </w:p>
    <w:p w14:paraId="5628CD2A">
      <w:pPr>
        <w:spacing w:line="360" w:lineRule="auto"/>
        <w:rPr>
          <w:rFonts w:ascii="宋体" w:hAnsi="宋体"/>
          <w:color w:val="auto"/>
          <w:sz w:val="28"/>
          <w:szCs w:val="28"/>
          <w:highlight w:val="none"/>
        </w:rPr>
      </w:pPr>
      <w:r>
        <w:rPr>
          <w:rFonts w:hint="eastAsia" w:ascii="仿宋" w:hAnsi="仿宋" w:eastAsia="仿宋" w:cs="仿宋"/>
          <w:color w:val="auto"/>
          <w:sz w:val="28"/>
          <w:szCs w:val="28"/>
          <w:highlight w:val="none"/>
        </w:rPr>
        <w:t>项目编号：</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1836"/>
        <w:gridCol w:w="2235"/>
        <w:gridCol w:w="2745"/>
        <w:gridCol w:w="1132"/>
      </w:tblGrid>
      <w:tr w14:paraId="49529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891" w:type="dxa"/>
            <w:noWrap w:val="0"/>
            <w:vAlign w:val="center"/>
          </w:tcPr>
          <w:p w14:paraId="4CD30824">
            <w:pPr>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836" w:type="dxa"/>
            <w:noWrap w:val="0"/>
            <w:vAlign w:val="center"/>
          </w:tcPr>
          <w:p w14:paraId="208D8DC0">
            <w:pPr>
              <w:spacing w:before="120" w:line="360" w:lineRule="atLeast"/>
              <w:jc w:val="center"/>
              <w:rPr>
                <w:rFonts w:ascii="宋体" w:hAnsi="宋体"/>
                <w:color w:val="auto"/>
                <w:sz w:val="21"/>
                <w:szCs w:val="21"/>
                <w:highlight w:val="none"/>
              </w:rPr>
            </w:pPr>
            <w:r>
              <w:rPr>
                <w:color w:val="auto"/>
                <w:sz w:val="21"/>
                <w:szCs w:val="21"/>
                <w:highlight w:val="none"/>
              </w:rPr>
              <w:t>磋商文件条目号</w:t>
            </w:r>
          </w:p>
        </w:tc>
        <w:tc>
          <w:tcPr>
            <w:tcW w:w="2235" w:type="dxa"/>
            <w:noWrap w:val="0"/>
            <w:vAlign w:val="center"/>
          </w:tcPr>
          <w:p w14:paraId="080AEDE6">
            <w:pPr>
              <w:spacing w:before="120" w:line="360" w:lineRule="atLeast"/>
              <w:jc w:val="center"/>
              <w:rPr>
                <w:rFonts w:ascii="宋体" w:hAnsi="宋体"/>
                <w:color w:val="auto"/>
                <w:sz w:val="21"/>
                <w:szCs w:val="21"/>
                <w:highlight w:val="none"/>
              </w:rPr>
            </w:pPr>
            <w:r>
              <w:rPr>
                <w:color w:val="auto"/>
                <w:sz w:val="21"/>
                <w:szCs w:val="21"/>
                <w:highlight w:val="none"/>
              </w:rPr>
              <w:t>磋商文件的采购需求要求</w:t>
            </w:r>
          </w:p>
        </w:tc>
        <w:tc>
          <w:tcPr>
            <w:tcW w:w="2745" w:type="dxa"/>
            <w:noWrap w:val="0"/>
            <w:vAlign w:val="center"/>
          </w:tcPr>
          <w:p w14:paraId="18C3F3F3">
            <w:pPr>
              <w:spacing w:line="360" w:lineRule="auto"/>
              <w:jc w:val="center"/>
              <w:rPr>
                <w:rFonts w:ascii="宋体" w:hAnsi="宋体"/>
                <w:color w:val="auto"/>
                <w:sz w:val="21"/>
                <w:szCs w:val="21"/>
                <w:highlight w:val="none"/>
              </w:rPr>
            </w:pPr>
            <w:r>
              <w:rPr>
                <w:color w:val="auto"/>
                <w:sz w:val="21"/>
                <w:szCs w:val="21"/>
                <w:highlight w:val="none"/>
              </w:rPr>
              <w:t>供应商的响应</w:t>
            </w:r>
          </w:p>
        </w:tc>
        <w:tc>
          <w:tcPr>
            <w:tcW w:w="1132" w:type="dxa"/>
            <w:noWrap w:val="0"/>
            <w:vAlign w:val="center"/>
          </w:tcPr>
          <w:p w14:paraId="6573790A">
            <w:pPr>
              <w:spacing w:line="360" w:lineRule="auto"/>
              <w:jc w:val="center"/>
              <w:rPr>
                <w:color w:val="auto"/>
                <w:sz w:val="21"/>
                <w:szCs w:val="21"/>
                <w:highlight w:val="none"/>
              </w:rPr>
            </w:pPr>
            <w:r>
              <w:rPr>
                <w:color w:val="auto"/>
                <w:sz w:val="21"/>
                <w:szCs w:val="21"/>
                <w:highlight w:val="none"/>
              </w:rPr>
              <w:t>说明</w:t>
            </w:r>
          </w:p>
        </w:tc>
      </w:tr>
      <w:tr w14:paraId="5BFF3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891" w:type="dxa"/>
            <w:noWrap w:val="0"/>
            <w:vAlign w:val="center"/>
          </w:tcPr>
          <w:p w14:paraId="162817CB">
            <w:pPr>
              <w:spacing w:line="360" w:lineRule="auto"/>
              <w:jc w:val="center"/>
              <w:rPr>
                <w:rFonts w:ascii="宋体" w:hAnsi="宋体"/>
                <w:color w:val="auto"/>
                <w:sz w:val="21"/>
                <w:szCs w:val="21"/>
                <w:highlight w:val="none"/>
              </w:rPr>
            </w:pPr>
          </w:p>
        </w:tc>
        <w:tc>
          <w:tcPr>
            <w:tcW w:w="1836" w:type="dxa"/>
            <w:noWrap w:val="0"/>
            <w:vAlign w:val="center"/>
          </w:tcPr>
          <w:p w14:paraId="1DEE6AD9">
            <w:pPr>
              <w:spacing w:line="360" w:lineRule="auto"/>
              <w:jc w:val="center"/>
              <w:rPr>
                <w:rFonts w:ascii="宋体" w:hAnsi="宋体"/>
                <w:color w:val="auto"/>
                <w:sz w:val="21"/>
                <w:szCs w:val="21"/>
                <w:highlight w:val="none"/>
              </w:rPr>
            </w:pPr>
          </w:p>
        </w:tc>
        <w:tc>
          <w:tcPr>
            <w:tcW w:w="2235" w:type="dxa"/>
            <w:noWrap w:val="0"/>
            <w:vAlign w:val="top"/>
          </w:tcPr>
          <w:p w14:paraId="1D24B6C5">
            <w:pPr>
              <w:spacing w:line="360" w:lineRule="auto"/>
              <w:jc w:val="center"/>
              <w:rPr>
                <w:rFonts w:ascii="宋体" w:hAnsi="宋体"/>
                <w:color w:val="auto"/>
                <w:sz w:val="21"/>
                <w:szCs w:val="21"/>
                <w:highlight w:val="none"/>
              </w:rPr>
            </w:pPr>
          </w:p>
        </w:tc>
        <w:tc>
          <w:tcPr>
            <w:tcW w:w="2745" w:type="dxa"/>
            <w:noWrap w:val="0"/>
            <w:vAlign w:val="top"/>
          </w:tcPr>
          <w:p w14:paraId="497D0CB0">
            <w:pPr>
              <w:spacing w:line="360" w:lineRule="auto"/>
              <w:jc w:val="center"/>
              <w:rPr>
                <w:rFonts w:ascii="宋体" w:hAnsi="宋体"/>
                <w:color w:val="auto"/>
                <w:sz w:val="21"/>
                <w:szCs w:val="21"/>
                <w:highlight w:val="none"/>
              </w:rPr>
            </w:pPr>
          </w:p>
        </w:tc>
        <w:tc>
          <w:tcPr>
            <w:tcW w:w="1132" w:type="dxa"/>
            <w:noWrap w:val="0"/>
            <w:vAlign w:val="top"/>
          </w:tcPr>
          <w:p w14:paraId="49BCAF1D">
            <w:pPr>
              <w:spacing w:line="360" w:lineRule="auto"/>
              <w:jc w:val="center"/>
              <w:rPr>
                <w:rFonts w:ascii="宋体" w:hAnsi="宋体"/>
                <w:color w:val="auto"/>
                <w:sz w:val="21"/>
                <w:szCs w:val="21"/>
                <w:highlight w:val="none"/>
              </w:rPr>
            </w:pPr>
          </w:p>
        </w:tc>
      </w:tr>
      <w:tr w14:paraId="03BC8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891" w:type="dxa"/>
            <w:noWrap w:val="0"/>
            <w:vAlign w:val="center"/>
          </w:tcPr>
          <w:p w14:paraId="1EEA4841">
            <w:pPr>
              <w:spacing w:line="360" w:lineRule="auto"/>
              <w:jc w:val="center"/>
              <w:rPr>
                <w:rFonts w:ascii="宋体" w:hAnsi="宋体"/>
                <w:color w:val="auto"/>
                <w:sz w:val="21"/>
                <w:szCs w:val="21"/>
                <w:highlight w:val="none"/>
              </w:rPr>
            </w:pPr>
          </w:p>
        </w:tc>
        <w:tc>
          <w:tcPr>
            <w:tcW w:w="1836" w:type="dxa"/>
            <w:noWrap w:val="0"/>
            <w:vAlign w:val="center"/>
          </w:tcPr>
          <w:p w14:paraId="1CF5C08E">
            <w:pPr>
              <w:spacing w:line="360" w:lineRule="auto"/>
              <w:jc w:val="center"/>
              <w:rPr>
                <w:rFonts w:ascii="宋体" w:hAnsi="宋体"/>
                <w:color w:val="auto"/>
                <w:sz w:val="21"/>
                <w:szCs w:val="21"/>
                <w:highlight w:val="none"/>
              </w:rPr>
            </w:pPr>
          </w:p>
        </w:tc>
        <w:tc>
          <w:tcPr>
            <w:tcW w:w="2235" w:type="dxa"/>
            <w:noWrap w:val="0"/>
            <w:vAlign w:val="top"/>
          </w:tcPr>
          <w:p w14:paraId="4329CDAC">
            <w:pPr>
              <w:spacing w:line="360" w:lineRule="auto"/>
              <w:jc w:val="center"/>
              <w:rPr>
                <w:rFonts w:ascii="宋体" w:hAnsi="宋体"/>
                <w:color w:val="auto"/>
                <w:sz w:val="21"/>
                <w:szCs w:val="21"/>
                <w:highlight w:val="none"/>
              </w:rPr>
            </w:pPr>
          </w:p>
        </w:tc>
        <w:tc>
          <w:tcPr>
            <w:tcW w:w="2745" w:type="dxa"/>
            <w:noWrap w:val="0"/>
            <w:vAlign w:val="top"/>
          </w:tcPr>
          <w:p w14:paraId="5F9F208E">
            <w:pPr>
              <w:spacing w:line="360" w:lineRule="auto"/>
              <w:jc w:val="center"/>
              <w:rPr>
                <w:rFonts w:ascii="宋体" w:hAnsi="宋体"/>
                <w:color w:val="auto"/>
                <w:sz w:val="21"/>
                <w:szCs w:val="21"/>
                <w:highlight w:val="none"/>
              </w:rPr>
            </w:pPr>
          </w:p>
        </w:tc>
        <w:tc>
          <w:tcPr>
            <w:tcW w:w="1132" w:type="dxa"/>
            <w:noWrap w:val="0"/>
            <w:vAlign w:val="top"/>
          </w:tcPr>
          <w:p w14:paraId="1B1B5F12">
            <w:pPr>
              <w:spacing w:line="360" w:lineRule="auto"/>
              <w:jc w:val="center"/>
              <w:rPr>
                <w:rFonts w:ascii="宋体" w:hAnsi="宋体"/>
                <w:color w:val="auto"/>
                <w:sz w:val="21"/>
                <w:szCs w:val="21"/>
                <w:highlight w:val="none"/>
              </w:rPr>
            </w:pPr>
          </w:p>
        </w:tc>
      </w:tr>
      <w:tr w14:paraId="13DC1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891" w:type="dxa"/>
            <w:noWrap w:val="0"/>
            <w:vAlign w:val="center"/>
          </w:tcPr>
          <w:p w14:paraId="69619FD6">
            <w:pPr>
              <w:spacing w:line="360" w:lineRule="auto"/>
              <w:jc w:val="center"/>
              <w:rPr>
                <w:rFonts w:ascii="宋体" w:hAnsi="宋体"/>
                <w:color w:val="auto"/>
                <w:sz w:val="21"/>
                <w:szCs w:val="21"/>
                <w:highlight w:val="none"/>
              </w:rPr>
            </w:pPr>
          </w:p>
        </w:tc>
        <w:tc>
          <w:tcPr>
            <w:tcW w:w="1836" w:type="dxa"/>
            <w:noWrap w:val="0"/>
            <w:vAlign w:val="center"/>
          </w:tcPr>
          <w:p w14:paraId="2E0CB0D1">
            <w:pPr>
              <w:spacing w:line="360" w:lineRule="auto"/>
              <w:jc w:val="center"/>
              <w:rPr>
                <w:rFonts w:ascii="宋体" w:hAnsi="宋体"/>
                <w:color w:val="auto"/>
                <w:sz w:val="21"/>
                <w:szCs w:val="21"/>
                <w:highlight w:val="none"/>
              </w:rPr>
            </w:pPr>
          </w:p>
        </w:tc>
        <w:tc>
          <w:tcPr>
            <w:tcW w:w="2235" w:type="dxa"/>
            <w:noWrap w:val="0"/>
            <w:vAlign w:val="top"/>
          </w:tcPr>
          <w:p w14:paraId="523CB027">
            <w:pPr>
              <w:spacing w:line="360" w:lineRule="auto"/>
              <w:jc w:val="center"/>
              <w:rPr>
                <w:rFonts w:ascii="宋体" w:hAnsi="宋体"/>
                <w:color w:val="auto"/>
                <w:sz w:val="21"/>
                <w:szCs w:val="21"/>
                <w:highlight w:val="none"/>
              </w:rPr>
            </w:pPr>
          </w:p>
        </w:tc>
        <w:tc>
          <w:tcPr>
            <w:tcW w:w="2745" w:type="dxa"/>
            <w:noWrap w:val="0"/>
            <w:vAlign w:val="top"/>
          </w:tcPr>
          <w:p w14:paraId="0F4F9AF8">
            <w:pPr>
              <w:spacing w:line="360" w:lineRule="auto"/>
              <w:jc w:val="center"/>
              <w:rPr>
                <w:rFonts w:ascii="宋体" w:hAnsi="宋体"/>
                <w:color w:val="auto"/>
                <w:sz w:val="21"/>
                <w:szCs w:val="21"/>
                <w:highlight w:val="none"/>
              </w:rPr>
            </w:pPr>
          </w:p>
        </w:tc>
        <w:tc>
          <w:tcPr>
            <w:tcW w:w="1132" w:type="dxa"/>
            <w:noWrap w:val="0"/>
            <w:vAlign w:val="top"/>
          </w:tcPr>
          <w:p w14:paraId="136FFEA9">
            <w:pPr>
              <w:spacing w:line="360" w:lineRule="auto"/>
              <w:jc w:val="center"/>
              <w:rPr>
                <w:rFonts w:ascii="宋体" w:hAnsi="宋体"/>
                <w:color w:val="auto"/>
                <w:sz w:val="21"/>
                <w:szCs w:val="21"/>
                <w:highlight w:val="none"/>
              </w:rPr>
            </w:pPr>
          </w:p>
        </w:tc>
      </w:tr>
      <w:tr w14:paraId="55A15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891" w:type="dxa"/>
            <w:noWrap w:val="0"/>
            <w:vAlign w:val="center"/>
          </w:tcPr>
          <w:p w14:paraId="0FD806A4">
            <w:pPr>
              <w:spacing w:line="360" w:lineRule="auto"/>
              <w:jc w:val="center"/>
              <w:rPr>
                <w:rFonts w:ascii="宋体" w:hAnsi="宋体"/>
                <w:color w:val="auto"/>
                <w:sz w:val="21"/>
                <w:szCs w:val="21"/>
                <w:highlight w:val="none"/>
              </w:rPr>
            </w:pPr>
          </w:p>
        </w:tc>
        <w:tc>
          <w:tcPr>
            <w:tcW w:w="1836" w:type="dxa"/>
            <w:noWrap w:val="0"/>
            <w:vAlign w:val="center"/>
          </w:tcPr>
          <w:p w14:paraId="763E033F">
            <w:pPr>
              <w:spacing w:line="360" w:lineRule="auto"/>
              <w:jc w:val="center"/>
              <w:rPr>
                <w:rFonts w:ascii="宋体" w:hAnsi="宋体"/>
                <w:color w:val="auto"/>
                <w:sz w:val="21"/>
                <w:szCs w:val="21"/>
                <w:highlight w:val="none"/>
              </w:rPr>
            </w:pPr>
          </w:p>
        </w:tc>
        <w:tc>
          <w:tcPr>
            <w:tcW w:w="2235" w:type="dxa"/>
            <w:noWrap w:val="0"/>
            <w:vAlign w:val="top"/>
          </w:tcPr>
          <w:p w14:paraId="44D5E239">
            <w:pPr>
              <w:spacing w:line="360" w:lineRule="auto"/>
              <w:jc w:val="center"/>
              <w:rPr>
                <w:rFonts w:ascii="宋体" w:hAnsi="宋体"/>
                <w:color w:val="auto"/>
                <w:sz w:val="21"/>
                <w:szCs w:val="21"/>
                <w:highlight w:val="none"/>
              </w:rPr>
            </w:pPr>
          </w:p>
        </w:tc>
        <w:tc>
          <w:tcPr>
            <w:tcW w:w="2745" w:type="dxa"/>
            <w:noWrap w:val="0"/>
            <w:vAlign w:val="top"/>
          </w:tcPr>
          <w:p w14:paraId="232AA0FB">
            <w:pPr>
              <w:spacing w:line="360" w:lineRule="auto"/>
              <w:jc w:val="center"/>
              <w:rPr>
                <w:rFonts w:ascii="宋体" w:hAnsi="宋体"/>
                <w:color w:val="auto"/>
                <w:sz w:val="21"/>
                <w:szCs w:val="21"/>
                <w:highlight w:val="none"/>
              </w:rPr>
            </w:pPr>
          </w:p>
        </w:tc>
        <w:tc>
          <w:tcPr>
            <w:tcW w:w="1132" w:type="dxa"/>
            <w:noWrap w:val="0"/>
            <w:vAlign w:val="top"/>
          </w:tcPr>
          <w:p w14:paraId="0E323113">
            <w:pPr>
              <w:spacing w:line="360" w:lineRule="auto"/>
              <w:jc w:val="center"/>
              <w:rPr>
                <w:rFonts w:ascii="宋体" w:hAnsi="宋体"/>
                <w:color w:val="auto"/>
                <w:sz w:val="21"/>
                <w:szCs w:val="21"/>
                <w:highlight w:val="none"/>
              </w:rPr>
            </w:pPr>
          </w:p>
        </w:tc>
      </w:tr>
      <w:tr w14:paraId="5235D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891" w:type="dxa"/>
            <w:noWrap w:val="0"/>
            <w:vAlign w:val="center"/>
          </w:tcPr>
          <w:p w14:paraId="5AE2948F">
            <w:pPr>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w:t>
            </w:r>
          </w:p>
        </w:tc>
        <w:tc>
          <w:tcPr>
            <w:tcW w:w="1836" w:type="dxa"/>
            <w:noWrap w:val="0"/>
            <w:vAlign w:val="center"/>
          </w:tcPr>
          <w:p w14:paraId="4774EB84">
            <w:pPr>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w:t>
            </w:r>
          </w:p>
        </w:tc>
        <w:tc>
          <w:tcPr>
            <w:tcW w:w="2235" w:type="dxa"/>
            <w:noWrap w:val="0"/>
            <w:vAlign w:val="top"/>
          </w:tcPr>
          <w:p w14:paraId="2D3CCCC4">
            <w:pPr>
              <w:spacing w:line="360" w:lineRule="auto"/>
              <w:jc w:val="center"/>
              <w:rPr>
                <w:rFonts w:ascii="宋体" w:hAnsi="宋体"/>
                <w:color w:val="auto"/>
                <w:sz w:val="21"/>
                <w:szCs w:val="21"/>
                <w:highlight w:val="none"/>
              </w:rPr>
            </w:pPr>
          </w:p>
        </w:tc>
        <w:tc>
          <w:tcPr>
            <w:tcW w:w="2745" w:type="dxa"/>
            <w:noWrap w:val="0"/>
            <w:vAlign w:val="top"/>
          </w:tcPr>
          <w:p w14:paraId="44375A70">
            <w:pPr>
              <w:spacing w:line="360" w:lineRule="auto"/>
              <w:jc w:val="center"/>
              <w:rPr>
                <w:rFonts w:ascii="宋体" w:hAnsi="宋体"/>
                <w:color w:val="auto"/>
                <w:sz w:val="21"/>
                <w:szCs w:val="21"/>
                <w:highlight w:val="none"/>
              </w:rPr>
            </w:pPr>
          </w:p>
        </w:tc>
        <w:tc>
          <w:tcPr>
            <w:tcW w:w="1132" w:type="dxa"/>
            <w:noWrap w:val="0"/>
            <w:vAlign w:val="top"/>
          </w:tcPr>
          <w:p w14:paraId="69C4D4B2">
            <w:pPr>
              <w:spacing w:line="360" w:lineRule="auto"/>
              <w:jc w:val="center"/>
              <w:rPr>
                <w:rFonts w:ascii="宋体" w:hAnsi="宋体"/>
                <w:color w:val="auto"/>
                <w:sz w:val="21"/>
                <w:szCs w:val="21"/>
                <w:highlight w:val="none"/>
              </w:rPr>
            </w:pPr>
          </w:p>
        </w:tc>
      </w:tr>
    </w:tbl>
    <w:p w14:paraId="753945D0">
      <w:pPr>
        <w:spacing w:line="360" w:lineRule="auto"/>
        <w:rPr>
          <w:rFonts w:ascii="宋体" w:hAnsi="宋体"/>
          <w:color w:val="auto"/>
          <w:sz w:val="21"/>
          <w:szCs w:val="21"/>
          <w:highlight w:val="none"/>
        </w:rPr>
      </w:pPr>
      <w:r>
        <w:rPr>
          <w:rFonts w:hint="eastAsia" w:ascii="宋体" w:hAnsi="宋体"/>
          <w:color w:val="auto"/>
          <w:sz w:val="21"/>
          <w:szCs w:val="21"/>
          <w:highlight w:val="none"/>
        </w:rPr>
        <w:t>注：1.供应商可根据实际情况自行</w:t>
      </w:r>
      <w:r>
        <w:rPr>
          <w:rFonts w:hint="eastAsia" w:ascii="宋体" w:hAnsi="宋体"/>
          <w:bCs/>
          <w:color w:val="auto"/>
          <w:sz w:val="21"/>
          <w:szCs w:val="21"/>
          <w:highlight w:val="none"/>
        </w:rPr>
        <w:t>添加</w:t>
      </w:r>
      <w:r>
        <w:rPr>
          <w:rFonts w:hint="eastAsia" w:ascii="宋体" w:hAnsi="宋体"/>
          <w:color w:val="auto"/>
          <w:sz w:val="21"/>
          <w:szCs w:val="21"/>
          <w:highlight w:val="none"/>
        </w:rPr>
        <w:t>表格内容。</w:t>
      </w:r>
    </w:p>
    <w:p w14:paraId="5801EB2C">
      <w:pPr>
        <w:spacing w:line="360" w:lineRule="auto"/>
        <w:ind w:firstLine="600" w:firstLineChars="200"/>
        <w:rPr>
          <w:rFonts w:ascii="仿宋_GB2312" w:eastAsia="仿宋_GB2312"/>
          <w:color w:val="auto"/>
          <w:sz w:val="30"/>
          <w:szCs w:val="30"/>
          <w:highlight w:val="none"/>
        </w:rPr>
      </w:pPr>
    </w:p>
    <w:p w14:paraId="58512467">
      <w:pPr>
        <w:ind w:firstLine="140" w:firstLineChars="50"/>
        <w:rPr>
          <w:rFonts w:ascii="仿宋_GB2312" w:hAnsi="华文楷体" w:eastAsia="仿宋_GB2312"/>
          <w:color w:val="auto"/>
          <w:sz w:val="28"/>
          <w:szCs w:val="28"/>
          <w:highlight w:val="none"/>
        </w:rPr>
      </w:pPr>
      <w:bookmarkStart w:id="5" w:name="OLE_LINK6"/>
      <w:r>
        <w:rPr>
          <w:rFonts w:hint="eastAsia" w:ascii="仿宋_GB2312" w:hAnsi="华文楷体" w:eastAsia="仿宋_GB2312"/>
          <w:color w:val="auto"/>
          <w:sz w:val="28"/>
          <w:szCs w:val="28"/>
          <w:highlight w:val="none"/>
        </w:rPr>
        <w:t>单位名称：（</w:t>
      </w:r>
      <w:r>
        <w:rPr>
          <w:rFonts w:hint="eastAsia" w:ascii="仿宋_GB2312" w:eastAsia="仿宋_GB2312"/>
          <w:color w:val="auto"/>
          <w:sz w:val="28"/>
          <w:szCs w:val="28"/>
          <w:highlight w:val="none"/>
        </w:rPr>
        <w:t>单位公章</w:t>
      </w:r>
      <w:r>
        <w:rPr>
          <w:rFonts w:hint="eastAsia" w:ascii="仿宋_GB2312" w:hAnsi="华文楷体" w:eastAsia="仿宋_GB2312"/>
          <w:color w:val="auto"/>
          <w:sz w:val="28"/>
          <w:szCs w:val="28"/>
          <w:highlight w:val="none"/>
        </w:rPr>
        <w:t xml:space="preserve">）        </w:t>
      </w:r>
    </w:p>
    <w:p w14:paraId="5A9173FD">
      <w:pPr>
        <w:spacing w:line="360" w:lineRule="auto"/>
        <w:jc w:val="left"/>
        <w:rPr>
          <w:rFonts w:ascii="仿宋_GB2312" w:eastAsia="仿宋_GB2312"/>
          <w:color w:val="auto"/>
          <w:sz w:val="28"/>
          <w:szCs w:val="28"/>
          <w:highlight w:val="none"/>
        </w:rPr>
      </w:pPr>
      <w:r>
        <w:rPr>
          <w:rFonts w:hint="eastAsia" w:ascii="仿宋_GB2312" w:hAnsi="华文楷体" w:eastAsia="仿宋_GB2312"/>
          <w:color w:val="auto"/>
          <w:sz w:val="28"/>
          <w:szCs w:val="28"/>
          <w:highlight w:val="none"/>
        </w:rPr>
        <w:t>法定代表人：（</w:t>
      </w:r>
      <w:r>
        <w:rPr>
          <w:rFonts w:hint="eastAsia" w:ascii="仿宋_GB2312" w:hAnsi="华文楷体" w:eastAsia="仿宋_GB2312"/>
          <w:color w:val="auto"/>
          <w:sz w:val="28"/>
          <w:szCs w:val="28"/>
          <w:highlight w:val="none"/>
          <w:lang w:val="en-US" w:eastAsia="zh-CN"/>
        </w:rPr>
        <w:t>电子签章</w:t>
      </w:r>
      <w:r>
        <w:rPr>
          <w:rFonts w:hint="eastAsia" w:ascii="仿宋_GB2312" w:hAnsi="华文楷体" w:eastAsia="仿宋_GB2312"/>
          <w:color w:val="auto"/>
          <w:sz w:val="28"/>
          <w:szCs w:val="28"/>
          <w:highlight w:val="none"/>
        </w:rPr>
        <w:t>）</w:t>
      </w:r>
      <w:bookmarkEnd w:id="5"/>
      <w:r>
        <w:rPr>
          <w:rFonts w:hint="eastAsia" w:ascii="仿宋_GB2312" w:eastAsia="仿宋_GB2312"/>
          <w:color w:val="auto"/>
          <w:sz w:val="28"/>
          <w:szCs w:val="28"/>
          <w:highlight w:val="none"/>
        </w:rPr>
        <w:t xml:space="preserve">    </w:t>
      </w:r>
    </w:p>
    <w:p w14:paraId="3F0E8C04">
      <w:pPr>
        <w:spacing w:line="360" w:lineRule="auto"/>
        <w:jc w:val="right"/>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 年  月  日 </w:t>
      </w:r>
    </w:p>
    <w:p w14:paraId="1E93E2C2">
      <w:pPr>
        <w:spacing w:line="360" w:lineRule="auto"/>
        <w:rPr>
          <w:rFonts w:ascii="仿宋_GB2312" w:hAnsi="宋体" w:eastAsia="仿宋_GB2312" w:cs="Lucida Sans Unicode"/>
          <w:color w:val="auto"/>
          <w:sz w:val="30"/>
          <w:szCs w:val="30"/>
          <w:highlight w:val="none"/>
        </w:rPr>
      </w:pPr>
    </w:p>
    <w:p w14:paraId="3C217BA2">
      <w:pPr>
        <w:spacing w:line="360" w:lineRule="auto"/>
        <w:rPr>
          <w:rFonts w:ascii="仿宋_GB2312" w:hAnsi="宋体" w:eastAsia="仿宋_GB2312" w:cs="Lucida Sans Unicode"/>
          <w:color w:val="auto"/>
          <w:sz w:val="30"/>
          <w:szCs w:val="30"/>
          <w:highlight w:val="none"/>
        </w:rPr>
      </w:pPr>
    </w:p>
    <w:p w14:paraId="1AAE8B90">
      <w:pPr>
        <w:spacing w:line="360" w:lineRule="auto"/>
        <w:rPr>
          <w:rFonts w:ascii="仿宋_GB2312" w:hAnsi="宋体" w:eastAsia="仿宋_GB2312" w:cs="Lucida Sans Unicode"/>
          <w:color w:val="auto"/>
          <w:sz w:val="30"/>
          <w:szCs w:val="30"/>
          <w:highlight w:val="none"/>
        </w:rPr>
      </w:pPr>
    </w:p>
    <w:p w14:paraId="30139F0C">
      <w:pPr>
        <w:spacing w:line="360" w:lineRule="auto"/>
        <w:rPr>
          <w:rFonts w:ascii="仿宋_GB2312" w:hAnsi="宋体" w:eastAsia="仿宋_GB2312" w:cs="Lucida Sans Unicode"/>
          <w:color w:val="auto"/>
          <w:sz w:val="30"/>
          <w:szCs w:val="30"/>
          <w:highlight w:val="none"/>
        </w:rPr>
      </w:pPr>
    </w:p>
    <w:p w14:paraId="0AC1AAC1">
      <w:pPr>
        <w:spacing w:line="360" w:lineRule="auto"/>
        <w:rPr>
          <w:rFonts w:ascii="仿宋_GB2312" w:hAnsi="宋体" w:eastAsia="仿宋_GB2312" w:cs="Lucida Sans Unicode"/>
          <w:color w:val="auto"/>
          <w:sz w:val="30"/>
          <w:szCs w:val="30"/>
          <w:highlight w:val="none"/>
        </w:rPr>
      </w:pPr>
      <w:r>
        <w:rPr>
          <w:rFonts w:hint="eastAsia" w:ascii="仿宋_GB2312" w:hAnsi="宋体" w:eastAsia="仿宋_GB2312" w:cs="Lucida Sans Unicode"/>
          <w:color w:val="auto"/>
          <w:sz w:val="30"/>
          <w:szCs w:val="30"/>
          <w:highlight w:val="none"/>
        </w:rPr>
        <w:t>格式1</w:t>
      </w:r>
      <w:r>
        <w:rPr>
          <w:rFonts w:hint="eastAsia" w:ascii="仿宋_GB2312" w:hAnsi="宋体" w:eastAsia="仿宋_GB2312" w:cs="Lucida Sans Unicode"/>
          <w:color w:val="auto"/>
          <w:sz w:val="30"/>
          <w:szCs w:val="30"/>
          <w:highlight w:val="none"/>
          <w:lang w:val="en-US" w:eastAsia="zh-CN"/>
        </w:rPr>
        <w:t>2</w:t>
      </w:r>
    </w:p>
    <w:p w14:paraId="2F9704FE">
      <w:pPr>
        <w:autoSpaceDN w:val="0"/>
        <w:snapToGrid w:val="0"/>
        <w:spacing w:before="50" w:afterAutospacing="1"/>
        <w:jc w:val="center"/>
        <w:rPr>
          <w:rFonts w:ascii="黑体" w:eastAsia="黑体"/>
          <w:color w:val="auto"/>
          <w:sz w:val="28"/>
          <w:szCs w:val="28"/>
          <w:highlight w:val="none"/>
        </w:rPr>
      </w:pPr>
      <w:r>
        <w:rPr>
          <w:rFonts w:ascii="黑体" w:eastAsia="黑体"/>
          <w:color w:val="auto"/>
          <w:sz w:val="28"/>
          <w:szCs w:val="28"/>
          <w:highlight w:val="none"/>
        </w:rPr>
        <w:t>商务响应表</w:t>
      </w:r>
    </w:p>
    <w:p w14:paraId="023DCDF5">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项目名称：                                      项目编号：</w:t>
      </w:r>
    </w:p>
    <w:tbl>
      <w:tblPr>
        <w:tblStyle w:val="21"/>
        <w:tblW w:w="0" w:type="auto"/>
        <w:tblInd w:w="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2700"/>
        <w:gridCol w:w="1260"/>
        <w:gridCol w:w="3020"/>
      </w:tblGrid>
      <w:tr w14:paraId="5CD8EF5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48" w:type="dxa"/>
            <w:tcBorders>
              <w:top w:val="single" w:color="000000" w:sz="4" w:space="0"/>
              <w:left w:val="single" w:color="000000" w:sz="4" w:space="0"/>
              <w:bottom w:val="single" w:color="auto" w:sz="4" w:space="0"/>
              <w:right w:val="single" w:color="000000" w:sz="4" w:space="0"/>
            </w:tcBorders>
            <w:noWrap w:val="0"/>
            <w:tcMar>
              <w:top w:w="0" w:type="dxa"/>
              <w:left w:w="108" w:type="dxa"/>
              <w:bottom w:w="0" w:type="dxa"/>
              <w:right w:w="108" w:type="dxa"/>
            </w:tcMar>
            <w:vAlign w:val="center"/>
          </w:tcPr>
          <w:p w14:paraId="554BAB5C">
            <w:pPr>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2700" w:type="dxa"/>
            <w:tcBorders>
              <w:top w:val="single" w:color="000000" w:sz="4" w:space="0"/>
              <w:left w:val="single" w:color="000000" w:sz="4" w:space="0"/>
              <w:bottom w:val="single" w:color="auto" w:sz="4" w:space="0"/>
              <w:right w:val="single" w:color="000000" w:sz="4" w:space="0"/>
            </w:tcBorders>
            <w:noWrap w:val="0"/>
            <w:tcMar>
              <w:top w:w="0" w:type="dxa"/>
              <w:left w:w="108" w:type="dxa"/>
              <w:bottom w:w="0" w:type="dxa"/>
              <w:right w:w="108" w:type="dxa"/>
            </w:tcMar>
            <w:vAlign w:val="center"/>
          </w:tcPr>
          <w:p w14:paraId="429C1276">
            <w:pPr>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磋商</w:t>
            </w:r>
            <w:r>
              <w:rPr>
                <w:rFonts w:ascii="宋体" w:hAnsi="宋体"/>
                <w:color w:val="auto"/>
                <w:sz w:val="21"/>
                <w:szCs w:val="21"/>
                <w:highlight w:val="none"/>
              </w:rPr>
              <w:t>文件要求</w:t>
            </w:r>
          </w:p>
        </w:tc>
        <w:tc>
          <w:tcPr>
            <w:tcW w:w="1260" w:type="dxa"/>
            <w:tcBorders>
              <w:top w:val="single" w:color="000000" w:sz="4" w:space="0"/>
              <w:left w:val="single" w:color="000000" w:sz="4" w:space="0"/>
              <w:bottom w:val="single" w:color="auto" w:sz="4" w:space="0"/>
              <w:right w:val="single" w:color="000000" w:sz="4" w:space="0"/>
            </w:tcBorders>
            <w:noWrap w:val="0"/>
            <w:tcMar>
              <w:top w:w="0" w:type="dxa"/>
              <w:left w:w="108" w:type="dxa"/>
              <w:bottom w:w="0" w:type="dxa"/>
              <w:right w:w="108" w:type="dxa"/>
            </w:tcMar>
            <w:vAlign w:val="center"/>
          </w:tcPr>
          <w:p w14:paraId="347A361A">
            <w:pPr>
              <w:spacing w:line="360" w:lineRule="auto"/>
              <w:jc w:val="center"/>
              <w:rPr>
                <w:rFonts w:ascii="宋体" w:hAnsi="宋体"/>
                <w:color w:val="auto"/>
                <w:sz w:val="21"/>
                <w:szCs w:val="21"/>
                <w:highlight w:val="none"/>
              </w:rPr>
            </w:pPr>
            <w:r>
              <w:rPr>
                <w:rFonts w:ascii="宋体" w:hAnsi="宋体"/>
                <w:color w:val="auto"/>
                <w:sz w:val="21"/>
                <w:szCs w:val="21"/>
                <w:highlight w:val="none"/>
              </w:rPr>
              <w:t>是否响应</w:t>
            </w:r>
          </w:p>
        </w:tc>
        <w:tc>
          <w:tcPr>
            <w:tcW w:w="3020" w:type="dxa"/>
            <w:tcBorders>
              <w:top w:val="single" w:color="000000" w:sz="4" w:space="0"/>
              <w:left w:val="single" w:color="000000" w:sz="4" w:space="0"/>
              <w:bottom w:val="single" w:color="auto" w:sz="4" w:space="0"/>
              <w:right w:val="single" w:color="000000" w:sz="4" w:space="0"/>
            </w:tcBorders>
            <w:noWrap w:val="0"/>
            <w:tcMar>
              <w:top w:w="0" w:type="dxa"/>
              <w:left w:w="108" w:type="dxa"/>
              <w:bottom w:w="0" w:type="dxa"/>
              <w:right w:w="108" w:type="dxa"/>
            </w:tcMar>
            <w:vAlign w:val="center"/>
          </w:tcPr>
          <w:p w14:paraId="0EC44D82">
            <w:pPr>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供应商</w:t>
            </w:r>
            <w:r>
              <w:rPr>
                <w:rFonts w:ascii="宋体" w:hAnsi="宋体"/>
                <w:color w:val="auto"/>
                <w:sz w:val="21"/>
                <w:szCs w:val="21"/>
                <w:highlight w:val="none"/>
              </w:rPr>
              <w:t>的承诺或说明</w:t>
            </w:r>
          </w:p>
        </w:tc>
      </w:tr>
      <w:tr w14:paraId="7B4B368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850" w:hRule="exact"/>
        </w:trPr>
        <w:tc>
          <w:tcPr>
            <w:tcW w:w="154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7DEE4B2">
            <w:pPr>
              <w:autoSpaceDN w:val="0"/>
              <w:snapToGrid w:val="0"/>
              <w:spacing w:before="156" w:line="240" w:lineRule="exact"/>
              <w:jc w:val="center"/>
              <w:rPr>
                <w:rFonts w:ascii="宋体" w:hAnsi="宋体"/>
                <w:color w:val="auto"/>
                <w:sz w:val="21"/>
                <w:szCs w:val="21"/>
                <w:highlight w:val="none"/>
              </w:rPr>
            </w:pPr>
          </w:p>
        </w:tc>
        <w:tc>
          <w:tcPr>
            <w:tcW w:w="270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DECA1B6">
            <w:pPr>
              <w:autoSpaceDN w:val="0"/>
              <w:spacing w:line="240" w:lineRule="exact"/>
              <w:jc w:val="center"/>
              <w:textAlignment w:val="top"/>
              <w:rPr>
                <w:rFonts w:ascii="宋体" w:hAnsi="宋体"/>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8BF7E6D">
            <w:pPr>
              <w:autoSpaceDN w:val="0"/>
              <w:spacing w:line="240" w:lineRule="exact"/>
              <w:jc w:val="center"/>
              <w:textAlignment w:val="top"/>
              <w:rPr>
                <w:rFonts w:ascii="宋体" w:hAnsi="宋体"/>
                <w:color w:val="auto"/>
                <w:sz w:val="21"/>
                <w:szCs w:val="21"/>
                <w:highlight w:val="none"/>
              </w:rPr>
            </w:pPr>
          </w:p>
        </w:tc>
        <w:tc>
          <w:tcPr>
            <w:tcW w:w="302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03F89E8">
            <w:pPr>
              <w:autoSpaceDN w:val="0"/>
              <w:spacing w:line="240" w:lineRule="exact"/>
              <w:jc w:val="center"/>
              <w:textAlignment w:val="top"/>
              <w:rPr>
                <w:rFonts w:ascii="宋体" w:hAnsi="宋体"/>
                <w:color w:val="auto"/>
                <w:sz w:val="21"/>
                <w:szCs w:val="21"/>
                <w:highlight w:val="none"/>
              </w:rPr>
            </w:pPr>
          </w:p>
        </w:tc>
      </w:tr>
      <w:tr w14:paraId="215ABD1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850" w:hRule="exact"/>
        </w:trPr>
        <w:tc>
          <w:tcPr>
            <w:tcW w:w="154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0660C0B">
            <w:pPr>
              <w:autoSpaceDN w:val="0"/>
              <w:snapToGrid w:val="0"/>
              <w:spacing w:before="156" w:line="240" w:lineRule="exact"/>
              <w:jc w:val="center"/>
              <w:rPr>
                <w:rFonts w:ascii="宋体" w:hAnsi="宋体"/>
                <w:color w:val="auto"/>
                <w:sz w:val="21"/>
                <w:szCs w:val="21"/>
                <w:highlight w:val="none"/>
              </w:rPr>
            </w:pPr>
          </w:p>
        </w:tc>
        <w:tc>
          <w:tcPr>
            <w:tcW w:w="270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A89B206">
            <w:pPr>
              <w:autoSpaceDN w:val="0"/>
              <w:spacing w:line="240" w:lineRule="exact"/>
              <w:jc w:val="center"/>
              <w:textAlignment w:val="top"/>
              <w:rPr>
                <w:rFonts w:ascii="宋体" w:hAnsi="宋体"/>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462E3A0">
            <w:pPr>
              <w:autoSpaceDN w:val="0"/>
              <w:spacing w:line="240" w:lineRule="exact"/>
              <w:jc w:val="center"/>
              <w:textAlignment w:val="top"/>
              <w:rPr>
                <w:rFonts w:ascii="宋体" w:hAnsi="宋体"/>
                <w:color w:val="auto"/>
                <w:sz w:val="21"/>
                <w:szCs w:val="21"/>
                <w:highlight w:val="none"/>
              </w:rPr>
            </w:pPr>
          </w:p>
        </w:tc>
        <w:tc>
          <w:tcPr>
            <w:tcW w:w="302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76BDFAC">
            <w:pPr>
              <w:autoSpaceDN w:val="0"/>
              <w:spacing w:line="240" w:lineRule="exact"/>
              <w:jc w:val="center"/>
              <w:textAlignment w:val="top"/>
              <w:rPr>
                <w:rFonts w:ascii="宋体" w:hAnsi="宋体"/>
                <w:color w:val="auto"/>
                <w:sz w:val="21"/>
                <w:szCs w:val="21"/>
                <w:highlight w:val="none"/>
              </w:rPr>
            </w:pPr>
          </w:p>
        </w:tc>
      </w:tr>
      <w:tr w14:paraId="112637D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850" w:hRule="exact"/>
        </w:trPr>
        <w:tc>
          <w:tcPr>
            <w:tcW w:w="1548" w:type="dxa"/>
            <w:tcBorders>
              <w:top w:val="single" w:color="auto"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8BE2B6">
            <w:pPr>
              <w:autoSpaceDN w:val="0"/>
              <w:snapToGrid w:val="0"/>
              <w:spacing w:before="156" w:line="240" w:lineRule="exact"/>
              <w:jc w:val="center"/>
              <w:rPr>
                <w:rFonts w:ascii="宋体" w:hAnsi="宋体"/>
                <w:color w:val="auto"/>
                <w:sz w:val="21"/>
                <w:szCs w:val="21"/>
                <w:highlight w:val="none"/>
              </w:rPr>
            </w:pPr>
          </w:p>
        </w:tc>
        <w:tc>
          <w:tcPr>
            <w:tcW w:w="2700" w:type="dxa"/>
            <w:tcBorders>
              <w:top w:val="single" w:color="auto"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834D85">
            <w:pPr>
              <w:autoSpaceDN w:val="0"/>
              <w:spacing w:line="240" w:lineRule="exact"/>
              <w:jc w:val="center"/>
              <w:textAlignment w:val="top"/>
              <w:rPr>
                <w:rFonts w:ascii="宋体" w:hAnsi="宋体"/>
                <w:color w:val="auto"/>
                <w:sz w:val="21"/>
                <w:szCs w:val="21"/>
                <w:highlight w:val="none"/>
              </w:rPr>
            </w:pPr>
          </w:p>
        </w:tc>
        <w:tc>
          <w:tcPr>
            <w:tcW w:w="1260" w:type="dxa"/>
            <w:tcBorders>
              <w:top w:val="single" w:color="auto"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50062FB">
            <w:pPr>
              <w:autoSpaceDN w:val="0"/>
              <w:spacing w:line="240" w:lineRule="exact"/>
              <w:jc w:val="center"/>
              <w:textAlignment w:val="top"/>
              <w:rPr>
                <w:rFonts w:ascii="宋体" w:hAnsi="宋体"/>
                <w:color w:val="auto"/>
                <w:sz w:val="21"/>
                <w:szCs w:val="21"/>
                <w:highlight w:val="none"/>
              </w:rPr>
            </w:pPr>
          </w:p>
        </w:tc>
        <w:tc>
          <w:tcPr>
            <w:tcW w:w="3020" w:type="dxa"/>
            <w:tcBorders>
              <w:top w:val="single" w:color="auto"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29B01EE">
            <w:pPr>
              <w:autoSpaceDN w:val="0"/>
              <w:spacing w:line="240" w:lineRule="exact"/>
              <w:jc w:val="center"/>
              <w:textAlignment w:val="top"/>
              <w:rPr>
                <w:rFonts w:ascii="宋体" w:hAnsi="宋体"/>
                <w:color w:val="auto"/>
                <w:sz w:val="21"/>
                <w:szCs w:val="21"/>
                <w:highlight w:val="none"/>
              </w:rPr>
            </w:pPr>
          </w:p>
        </w:tc>
      </w:tr>
      <w:tr w14:paraId="6934291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850" w:hRule="exact"/>
        </w:trPr>
        <w:tc>
          <w:tcPr>
            <w:tcW w:w="154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8B5942C">
            <w:pPr>
              <w:autoSpaceDN w:val="0"/>
              <w:snapToGrid w:val="0"/>
              <w:spacing w:before="156" w:line="240" w:lineRule="exact"/>
              <w:jc w:val="center"/>
              <w:rPr>
                <w:rFonts w:ascii="宋体" w:hAnsi="宋体"/>
                <w:color w:val="auto"/>
                <w:sz w:val="21"/>
                <w:szCs w:val="21"/>
                <w:highlight w:val="none"/>
              </w:rPr>
            </w:pPr>
          </w:p>
        </w:tc>
        <w:tc>
          <w:tcPr>
            <w:tcW w:w="27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26C53CE">
            <w:pPr>
              <w:autoSpaceDN w:val="0"/>
              <w:spacing w:line="240" w:lineRule="exact"/>
              <w:jc w:val="center"/>
              <w:textAlignment w:val="top"/>
              <w:rPr>
                <w:rFonts w:ascii="宋体" w:hAnsi="宋体"/>
                <w:color w:val="auto"/>
                <w:sz w:val="21"/>
                <w:szCs w:val="21"/>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0CAE9FC">
            <w:pPr>
              <w:autoSpaceDN w:val="0"/>
              <w:spacing w:line="240" w:lineRule="exact"/>
              <w:jc w:val="center"/>
              <w:textAlignment w:val="top"/>
              <w:rPr>
                <w:rFonts w:ascii="宋体" w:hAnsi="宋体"/>
                <w:color w:val="auto"/>
                <w:sz w:val="21"/>
                <w:szCs w:val="21"/>
                <w:highlight w:val="none"/>
              </w:rPr>
            </w:pPr>
          </w:p>
        </w:tc>
        <w:tc>
          <w:tcPr>
            <w:tcW w:w="30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0570B59">
            <w:pPr>
              <w:autoSpaceDN w:val="0"/>
              <w:spacing w:line="240" w:lineRule="exact"/>
              <w:jc w:val="center"/>
              <w:textAlignment w:val="top"/>
              <w:rPr>
                <w:rFonts w:ascii="宋体" w:hAnsi="宋体"/>
                <w:color w:val="auto"/>
                <w:sz w:val="21"/>
                <w:szCs w:val="21"/>
                <w:highlight w:val="none"/>
              </w:rPr>
            </w:pPr>
          </w:p>
        </w:tc>
      </w:tr>
      <w:tr w14:paraId="1FDEE70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850" w:hRule="exact"/>
        </w:trPr>
        <w:tc>
          <w:tcPr>
            <w:tcW w:w="154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472034D">
            <w:pPr>
              <w:autoSpaceDN w:val="0"/>
              <w:snapToGrid w:val="0"/>
              <w:spacing w:before="156" w:line="240" w:lineRule="exact"/>
              <w:jc w:val="center"/>
              <w:rPr>
                <w:rFonts w:ascii="宋体" w:hAnsi="宋体"/>
                <w:color w:val="auto"/>
                <w:sz w:val="21"/>
                <w:szCs w:val="21"/>
                <w:highlight w:val="none"/>
              </w:rPr>
            </w:pPr>
          </w:p>
        </w:tc>
        <w:tc>
          <w:tcPr>
            <w:tcW w:w="27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29FB885">
            <w:pPr>
              <w:autoSpaceDN w:val="0"/>
              <w:spacing w:line="240" w:lineRule="exact"/>
              <w:jc w:val="center"/>
              <w:textAlignment w:val="top"/>
              <w:rPr>
                <w:rFonts w:ascii="宋体" w:hAnsi="宋体"/>
                <w:color w:val="auto"/>
                <w:sz w:val="21"/>
                <w:szCs w:val="21"/>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BA0BF5F">
            <w:pPr>
              <w:autoSpaceDN w:val="0"/>
              <w:spacing w:line="240" w:lineRule="exact"/>
              <w:jc w:val="center"/>
              <w:textAlignment w:val="top"/>
              <w:rPr>
                <w:rFonts w:ascii="宋体" w:hAnsi="宋体"/>
                <w:color w:val="auto"/>
                <w:sz w:val="21"/>
                <w:szCs w:val="21"/>
                <w:highlight w:val="none"/>
              </w:rPr>
            </w:pPr>
          </w:p>
        </w:tc>
        <w:tc>
          <w:tcPr>
            <w:tcW w:w="30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617D95D">
            <w:pPr>
              <w:autoSpaceDN w:val="0"/>
              <w:spacing w:line="240" w:lineRule="exact"/>
              <w:jc w:val="center"/>
              <w:textAlignment w:val="top"/>
              <w:rPr>
                <w:rFonts w:ascii="宋体" w:hAnsi="宋体"/>
                <w:color w:val="auto"/>
                <w:sz w:val="21"/>
                <w:szCs w:val="21"/>
                <w:highlight w:val="none"/>
              </w:rPr>
            </w:pPr>
          </w:p>
        </w:tc>
      </w:tr>
      <w:tr w14:paraId="1BF3615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850" w:hRule="exact"/>
        </w:trPr>
        <w:tc>
          <w:tcPr>
            <w:tcW w:w="154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79F00D5">
            <w:pPr>
              <w:autoSpaceDN w:val="0"/>
              <w:snapToGrid w:val="0"/>
              <w:spacing w:before="156" w:line="240" w:lineRule="exact"/>
              <w:jc w:val="center"/>
              <w:rPr>
                <w:rFonts w:ascii="宋体" w:hAnsi="宋体"/>
                <w:color w:val="auto"/>
                <w:sz w:val="21"/>
                <w:szCs w:val="21"/>
                <w:highlight w:val="none"/>
              </w:rPr>
            </w:pPr>
          </w:p>
        </w:tc>
        <w:tc>
          <w:tcPr>
            <w:tcW w:w="27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0DDD9F7">
            <w:pPr>
              <w:autoSpaceDN w:val="0"/>
              <w:spacing w:line="240" w:lineRule="exact"/>
              <w:jc w:val="center"/>
              <w:textAlignment w:val="top"/>
              <w:rPr>
                <w:rFonts w:ascii="宋体" w:hAnsi="宋体"/>
                <w:color w:val="auto"/>
                <w:sz w:val="21"/>
                <w:szCs w:val="21"/>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4F637FF">
            <w:pPr>
              <w:autoSpaceDN w:val="0"/>
              <w:spacing w:line="240" w:lineRule="exact"/>
              <w:jc w:val="center"/>
              <w:textAlignment w:val="top"/>
              <w:rPr>
                <w:rFonts w:ascii="宋体" w:hAnsi="宋体"/>
                <w:color w:val="auto"/>
                <w:sz w:val="21"/>
                <w:szCs w:val="21"/>
                <w:highlight w:val="none"/>
              </w:rPr>
            </w:pPr>
          </w:p>
        </w:tc>
        <w:tc>
          <w:tcPr>
            <w:tcW w:w="30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C550893">
            <w:pPr>
              <w:autoSpaceDN w:val="0"/>
              <w:spacing w:line="240" w:lineRule="exact"/>
              <w:jc w:val="center"/>
              <w:textAlignment w:val="top"/>
              <w:rPr>
                <w:rFonts w:ascii="宋体" w:hAnsi="宋体"/>
                <w:color w:val="auto"/>
                <w:sz w:val="21"/>
                <w:szCs w:val="21"/>
                <w:highlight w:val="none"/>
              </w:rPr>
            </w:pPr>
          </w:p>
        </w:tc>
      </w:tr>
      <w:tr w14:paraId="3FD1CCD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850" w:hRule="exact"/>
        </w:trPr>
        <w:tc>
          <w:tcPr>
            <w:tcW w:w="154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DE0BF8F">
            <w:pPr>
              <w:autoSpaceDN w:val="0"/>
              <w:snapToGrid w:val="0"/>
              <w:spacing w:before="156" w:line="240" w:lineRule="exact"/>
              <w:jc w:val="center"/>
              <w:rPr>
                <w:rFonts w:ascii="宋体" w:hAnsi="宋体"/>
                <w:color w:val="auto"/>
                <w:sz w:val="21"/>
                <w:szCs w:val="21"/>
                <w:highlight w:val="none"/>
              </w:rPr>
            </w:pPr>
            <w:r>
              <w:rPr>
                <w:rFonts w:hint="eastAsia" w:ascii="宋体" w:hAnsi="宋体"/>
                <w:color w:val="auto"/>
                <w:sz w:val="21"/>
                <w:szCs w:val="21"/>
                <w:highlight w:val="none"/>
              </w:rPr>
              <w:t>…</w:t>
            </w:r>
          </w:p>
        </w:tc>
        <w:tc>
          <w:tcPr>
            <w:tcW w:w="27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A659203">
            <w:pPr>
              <w:autoSpaceDN w:val="0"/>
              <w:spacing w:line="240" w:lineRule="exact"/>
              <w:jc w:val="center"/>
              <w:textAlignment w:val="top"/>
              <w:rPr>
                <w:rFonts w:ascii="宋体" w:hAnsi="宋体"/>
                <w:color w:val="auto"/>
                <w:sz w:val="21"/>
                <w:szCs w:val="21"/>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5CCB47E">
            <w:pPr>
              <w:autoSpaceDN w:val="0"/>
              <w:spacing w:line="240" w:lineRule="exact"/>
              <w:jc w:val="center"/>
              <w:textAlignment w:val="top"/>
              <w:rPr>
                <w:rFonts w:ascii="宋体" w:hAnsi="宋体"/>
                <w:color w:val="auto"/>
                <w:sz w:val="21"/>
                <w:szCs w:val="21"/>
                <w:highlight w:val="none"/>
              </w:rPr>
            </w:pPr>
          </w:p>
        </w:tc>
        <w:tc>
          <w:tcPr>
            <w:tcW w:w="30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AC39C10">
            <w:pPr>
              <w:autoSpaceDN w:val="0"/>
              <w:spacing w:line="240" w:lineRule="exact"/>
              <w:jc w:val="center"/>
              <w:textAlignment w:val="top"/>
              <w:rPr>
                <w:rFonts w:ascii="宋体" w:hAnsi="宋体"/>
                <w:color w:val="auto"/>
                <w:sz w:val="21"/>
                <w:szCs w:val="21"/>
                <w:highlight w:val="none"/>
              </w:rPr>
            </w:pPr>
          </w:p>
        </w:tc>
      </w:tr>
    </w:tbl>
    <w:p w14:paraId="3EE2ED83">
      <w:pPr>
        <w:rPr>
          <w:rFonts w:ascii="宋体" w:hAnsi="宋体"/>
          <w:color w:val="auto"/>
          <w:sz w:val="21"/>
          <w:szCs w:val="21"/>
          <w:highlight w:val="none"/>
        </w:rPr>
      </w:pPr>
      <w:r>
        <w:rPr>
          <w:rFonts w:hint="eastAsia" w:ascii="宋体" w:hAnsi="宋体"/>
          <w:color w:val="auto"/>
          <w:sz w:val="21"/>
          <w:szCs w:val="21"/>
          <w:highlight w:val="none"/>
        </w:rPr>
        <w:t>注：1.供应商可根据实际情况自行添加表格内容；</w:t>
      </w:r>
    </w:p>
    <w:p w14:paraId="2744DEAC">
      <w:pPr>
        <w:rPr>
          <w:rFonts w:ascii="宋体" w:hAnsi="宋体"/>
          <w:color w:val="auto"/>
          <w:sz w:val="21"/>
          <w:szCs w:val="21"/>
          <w:highlight w:val="none"/>
        </w:rPr>
      </w:pPr>
      <w:r>
        <w:rPr>
          <w:rFonts w:hint="eastAsia" w:ascii="宋体" w:hAnsi="宋体"/>
          <w:color w:val="auto"/>
          <w:sz w:val="21"/>
          <w:szCs w:val="21"/>
          <w:highlight w:val="none"/>
        </w:rPr>
        <w:t>2.供应商必须完全响应磋商文件商务要求，否则按无效标处理。</w:t>
      </w:r>
    </w:p>
    <w:p w14:paraId="33710AB9">
      <w:pPr>
        <w:rPr>
          <w:rFonts w:ascii="宋体" w:hAnsi="宋体"/>
          <w:color w:val="auto"/>
          <w:sz w:val="30"/>
          <w:szCs w:val="30"/>
          <w:highlight w:val="none"/>
        </w:rPr>
      </w:pPr>
    </w:p>
    <w:p w14:paraId="4EABDA03">
      <w:pPr>
        <w:spacing w:line="360" w:lineRule="auto"/>
        <w:rPr>
          <w:rFonts w:ascii="仿宋_GB2312" w:hAnsi="宋体" w:eastAsia="仿宋_GB2312" w:cs="Lucida Sans Unicode"/>
          <w:color w:val="auto"/>
          <w:sz w:val="30"/>
          <w:szCs w:val="30"/>
          <w:highlight w:val="none"/>
        </w:rPr>
      </w:pPr>
    </w:p>
    <w:p w14:paraId="2F47380A">
      <w:pPr>
        <w:spacing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供应商名称：（单位公章）     </w:t>
      </w:r>
    </w:p>
    <w:p w14:paraId="5D0AD2A1">
      <w:pPr>
        <w:spacing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法定代表人：（</w:t>
      </w:r>
      <w:r>
        <w:rPr>
          <w:rFonts w:hint="eastAsia" w:ascii="仿宋_GB2312" w:eastAsia="仿宋_GB2312"/>
          <w:color w:val="auto"/>
          <w:sz w:val="28"/>
          <w:szCs w:val="28"/>
          <w:highlight w:val="none"/>
          <w:lang w:val="en-US" w:eastAsia="zh-CN"/>
        </w:rPr>
        <w:t>电子签章</w:t>
      </w:r>
      <w:r>
        <w:rPr>
          <w:rFonts w:hint="eastAsia" w:ascii="仿宋_GB2312" w:eastAsia="仿宋_GB2312"/>
          <w:color w:val="auto"/>
          <w:sz w:val="28"/>
          <w:szCs w:val="28"/>
          <w:highlight w:val="none"/>
        </w:rPr>
        <w:t xml:space="preserve">） </w:t>
      </w:r>
    </w:p>
    <w:p w14:paraId="745DD5D0">
      <w:pPr>
        <w:spacing w:line="360" w:lineRule="auto"/>
        <w:ind w:firstLine="560" w:firstLineChars="200"/>
        <w:jc w:val="right"/>
        <w:rPr>
          <w:rFonts w:ascii="仿宋_GB2312" w:hAnsi="宋体" w:eastAsia="仿宋_GB2312" w:cs="Lucida Sans Unicode"/>
          <w:color w:val="auto"/>
          <w:sz w:val="28"/>
          <w:szCs w:val="28"/>
          <w:highlight w:val="none"/>
        </w:rPr>
      </w:pPr>
      <w:r>
        <w:rPr>
          <w:rFonts w:hint="eastAsia" w:ascii="仿宋_GB2312" w:eastAsia="仿宋_GB2312"/>
          <w:color w:val="auto"/>
          <w:sz w:val="28"/>
          <w:szCs w:val="28"/>
          <w:highlight w:val="none"/>
        </w:rPr>
        <w:t xml:space="preserve"> 年  月  日</w:t>
      </w:r>
    </w:p>
    <w:p w14:paraId="193809FF">
      <w:pPr>
        <w:spacing w:line="360" w:lineRule="auto"/>
        <w:rPr>
          <w:rFonts w:hint="eastAsia" w:ascii="仿宋_GB2312" w:hAnsi="宋体" w:eastAsia="仿宋_GB2312" w:cs="Lucida Sans Unicode"/>
          <w:color w:val="auto"/>
          <w:sz w:val="30"/>
          <w:szCs w:val="30"/>
          <w:highlight w:val="none"/>
        </w:rPr>
      </w:pPr>
    </w:p>
    <w:p w14:paraId="55F499F8">
      <w:pPr>
        <w:spacing w:line="360" w:lineRule="auto"/>
        <w:rPr>
          <w:rFonts w:hint="eastAsia" w:ascii="仿宋_GB2312" w:hAnsi="宋体" w:eastAsia="仿宋_GB2312" w:cs="Lucida Sans Unicode"/>
          <w:color w:val="auto"/>
          <w:sz w:val="30"/>
          <w:szCs w:val="30"/>
          <w:highlight w:val="none"/>
        </w:rPr>
      </w:pPr>
    </w:p>
    <w:p w14:paraId="396FB8BF">
      <w:pPr>
        <w:spacing w:line="360" w:lineRule="auto"/>
        <w:rPr>
          <w:rFonts w:hint="default" w:ascii="仿宋_GB2312" w:hAnsi="宋体" w:eastAsia="仿宋_GB2312" w:cs="Lucida Sans Unicode"/>
          <w:color w:val="auto"/>
          <w:sz w:val="28"/>
          <w:szCs w:val="28"/>
          <w:highlight w:val="none"/>
          <w:lang w:val="en-US" w:eastAsia="zh-CN"/>
        </w:rPr>
      </w:pPr>
      <w:r>
        <w:rPr>
          <w:rFonts w:hint="eastAsia" w:ascii="仿宋_GB2312" w:hAnsi="宋体" w:eastAsia="仿宋_GB2312" w:cs="Lucida Sans Unicode"/>
          <w:color w:val="auto"/>
          <w:sz w:val="28"/>
          <w:szCs w:val="28"/>
          <w:highlight w:val="none"/>
        </w:rPr>
        <w:t>格式</w:t>
      </w:r>
      <w:r>
        <w:rPr>
          <w:rFonts w:hint="eastAsia" w:ascii="仿宋_GB2312" w:hAnsi="宋体" w:eastAsia="仿宋_GB2312" w:cs="Lucida Sans Unicode"/>
          <w:color w:val="auto"/>
          <w:sz w:val="28"/>
          <w:szCs w:val="28"/>
          <w:highlight w:val="none"/>
          <w:lang w:val="en-US" w:eastAsia="zh-CN"/>
        </w:rPr>
        <w:t>13</w:t>
      </w:r>
    </w:p>
    <w:p w14:paraId="6C24A540">
      <w:pPr>
        <w:autoSpaceDN w:val="0"/>
        <w:adjustRightInd w:val="0"/>
        <w:snapToGrid w:val="0"/>
        <w:spacing w:before="50" w:line="540" w:lineRule="exact"/>
        <w:jc w:val="center"/>
        <w:textAlignment w:val="baseline"/>
        <w:rPr>
          <w:rFonts w:ascii="黑体" w:eastAsia="黑体"/>
          <w:color w:val="auto"/>
          <w:sz w:val="28"/>
          <w:szCs w:val="28"/>
          <w:highlight w:val="none"/>
        </w:rPr>
      </w:pPr>
      <w:r>
        <w:rPr>
          <w:rFonts w:hint="eastAsia" w:ascii="黑体" w:eastAsia="黑体"/>
          <w:b/>
          <w:bCs/>
          <w:color w:val="auto"/>
          <w:sz w:val="28"/>
          <w:szCs w:val="28"/>
          <w:highlight w:val="none"/>
        </w:rPr>
        <w:t>中小企业声明函</w:t>
      </w:r>
    </w:p>
    <w:p w14:paraId="02BF9473">
      <w:pPr>
        <w:adjustRightInd w:val="0"/>
        <w:spacing w:line="540" w:lineRule="exact"/>
        <w:ind w:firstLine="584" w:firstLineChars="200"/>
        <w:textAlignment w:val="baseline"/>
        <w:rPr>
          <w:color w:val="auto"/>
          <w:sz w:val="28"/>
          <w:szCs w:val="28"/>
          <w:highlight w:val="none"/>
        </w:rPr>
      </w:pPr>
      <w:r>
        <w:rPr>
          <w:rFonts w:hint="eastAsia" w:ascii="仿宋_GB2312" w:eastAsia="仿宋_GB2312"/>
          <w:color w:val="auto"/>
          <w:spacing w:val="6"/>
          <w:sz w:val="28"/>
          <w:szCs w:val="28"/>
          <w:highlight w:val="none"/>
        </w:rPr>
        <w:t>本公司郑重声明，根据《政府采购促进中小企业发展管理办法》（财库﹝2020﹞46号）的规定，本公司参加</w:t>
      </w:r>
      <w:r>
        <w:rPr>
          <w:rFonts w:hint="eastAsia" w:ascii="仿宋_GB2312" w:eastAsia="仿宋_GB2312"/>
          <w:color w:val="auto"/>
          <w:spacing w:val="6"/>
          <w:sz w:val="28"/>
          <w:szCs w:val="28"/>
          <w:highlight w:val="none"/>
          <w:u w:val="single"/>
        </w:rPr>
        <w:t>（单位名称）</w:t>
      </w:r>
      <w:r>
        <w:rPr>
          <w:rFonts w:hint="eastAsia" w:ascii="仿宋_GB2312" w:eastAsia="仿宋_GB2312"/>
          <w:color w:val="auto"/>
          <w:spacing w:val="6"/>
          <w:sz w:val="28"/>
          <w:szCs w:val="28"/>
          <w:highlight w:val="none"/>
        </w:rPr>
        <w:t>的</w:t>
      </w:r>
      <w:r>
        <w:rPr>
          <w:rFonts w:hint="eastAsia" w:ascii="仿宋_GB2312" w:eastAsia="仿宋_GB2312"/>
          <w:color w:val="auto"/>
          <w:spacing w:val="6"/>
          <w:sz w:val="28"/>
          <w:szCs w:val="28"/>
          <w:highlight w:val="none"/>
          <w:u w:val="single"/>
        </w:rPr>
        <w:t>（项目名称）</w:t>
      </w:r>
      <w:r>
        <w:rPr>
          <w:rFonts w:hint="eastAsia" w:ascii="仿宋_GB2312" w:eastAsia="仿宋_GB2312"/>
          <w:color w:val="auto"/>
          <w:spacing w:val="6"/>
          <w:sz w:val="28"/>
          <w:szCs w:val="28"/>
          <w:highlight w:val="none"/>
        </w:rPr>
        <w:t>采购活动，提供的货物全部由符合政策要求的中小企业制造。相关企业的具体情况如下：</w:t>
      </w:r>
    </w:p>
    <w:p w14:paraId="6B3EB3D5">
      <w:pPr>
        <w:adjustRightInd w:val="0"/>
        <w:snapToGrid w:val="0"/>
        <w:spacing w:line="540" w:lineRule="exact"/>
        <w:ind w:firstLine="584" w:firstLineChars="200"/>
        <w:jc w:val="left"/>
        <w:textAlignment w:val="baseline"/>
        <w:rPr>
          <w:rFonts w:ascii="仿宋_GB2312" w:eastAsia="仿宋_GB2312"/>
          <w:color w:val="auto"/>
          <w:spacing w:val="6"/>
          <w:sz w:val="28"/>
          <w:szCs w:val="28"/>
          <w:highlight w:val="none"/>
        </w:rPr>
      </w:pPr>
      <w:r>
        <w:rPr>
          <w:rFonts w:hint="eastAsia" w:ascii="仿宋_GB2312" w:eastAsia="仿宋_GB2312"/>
          <w:color w:val="auto"/>
          <w:spacing w:val="6"/>
          <w:sz w:val="28"/>
          <w:szCs w:val="28"/>
          <w:highlight w:val="none"/>
        </w:rPr>
        <w:t>1.</w:t>
      </w:r>
      <w:r>
        <w:rPr>
          <w:rFonts w:hint="eastAsia" w:ascii="仿宋_GB2312" w:eastAsia="仿宋_GB2312"/>
          <w:color w:val="auto"/>
          <w:spacing w:val="6"/>
          <w:sz w:val="28"/>
          <w:szCs w:val="28"/>
          <w:highlight w:val="none"/>
          <w:u w:val="single"/>
        </w:rPr>
        <w:t>（标的名称）</w:t>
      </w:r>
      <w:r>
        <w:rPr>
          <w:rFonts w:hint="eastAsia" w:ascii="仿宋_GB2312" w:eastAsia="仿宋_GB2312"/>
          <w:color w:val="auto"/>
          <w:spacing w:val="6"/>
          <w:sz w:val="28"/>
          <w:szCs w:val="28"/>
          <w:highlight w:val="none"/>
        </w:rPr>
        <w:t>，属于</w:t>
      </w:r>
      <w:r>
        <w:rPr>
          <w:rFonts w:hint="eastAsia" w:ascii="仿宋_GB2312" w:eastAsia="仿宋_GB2312"/>
          <w:color w:val="auto"/>
          <w:spacing w:val="6"/>
          <w:sz w:val="28"/>
          <w:szCs w:val="28"/>
          <w:highlight w:val="none"/>
          <w:u w:val="single"/>
        </w:rPr>
        <w:t>（采购文件中明确的所属行业）</w:t>
      </w:r>
      <w:r>
        <w:rPr>
          <w:rFonts w:hint="eastAsia" w:ascii="仿宋_GB2312" w:eastAsia="仿宋_GB2312"/>
          <w:color w:val="auto"/>
          <w:spacing w:val="6"/>
          <w:sz w:val="28"/>
          <w:szCs w:val="28"/>
          <w:highlight w:val="none"/>
        </w:rPr>
        <w:t>行业；制造商为</w:t>
      </w:r>
      <w:r>
        <w:rPr>
          <w:rFonts w:hint="eastAsia" w:ascii="仿宋_GB2312" w:eastAsia="仿宋_GB2312"/>
          <w:color w:val="auto"/>
          <w:spacing w:val="6"/>
          <w:sz w:val="28"/>
          <w:szCs w:val="28"/>
          <w:highlight w:val="none"/>
          <w:u w:val="single"/>
        </w:rPr>
        <w:t>（企业名称）</w:t>
      </w:r>
      <w:r>
        <w:rPr>
          <w:rFonts w:hint="eastAsia" w:ascii="仿宋_GB2312" w:eastAsia="仿宋_GB2312"/>
          <w:color w:val="auto"/>
          <w:spacing w:val="6"/>
          <w:sz w:val="28"/>
          <w:szCs w:val="28"/>
          <w:highlight w:val="none"/>
        </w:rPr>
        <w:t>，从业人员</w:t>
      </w:r>
      <w:r>
        <w:rPr>
          <w:rFonts w:hint="eastAsia" w:ascii="仿宋_GB2312" w:eastAsia="仿宋_GB2312"/>
          <w:color w:val="auto"/>
          <w:spacing w:val="6"/>
          <w:sz w:val="28"/>
          <w:szCs w:val="28"/>
          <w:highlight w:val="none"/>
          <w:u w:val="single"/>
        </w:rPr>
        <w:t xml:space="preserve"> </w:t>
      </w:r>
      <w:r>
        <w:rPr>
          <w:rFonts w:hint="eastAsia" w:ascii="仿宋_GB2312" w:eastAsia="仿宋_GB2312"/>
          <w:color w:val="auto"/>
          <w:spacing w:val="6"/>
          <w:sz w:val="28"/>
          <w:szCs w:val="28"/>
          <w:highlight w:val="none"/>
          <w:u w:val="single"/>
        </w:rPr>
        <w:tab/>
      </w:r>
      <w:r>
        <w:rPr>
          <w:rFonts w:hint="eastAsia" w:ascii="仿宋_GB2312" w:eastAsia="仿宋_GB2312"/>
          <w:color w:val="auto"/>
          <w:spacing w:val="6"/>
          <w:sz w:val="28"/>
          <w:szCs w:val="28"/>
          <w:highlight w:val="none"/>
        </w:rPr>
        <w:t>人，营业收入为</w:t>
      </w:r>
      <w:r>
        <w:rPr>
          <w:rFonts w:hint="eastAsia" w:ascii="仿宋_GB2312" w:eastAsia="仿宋_GB2312"/>
          <w:color w:val="auto"/>
          <w:spacing w:val="6"/>
          <w:sz w:val="28"/>
          <w:szCs w:val="28"/>
          <w:highlight w:val="none"/>
          <w:u w:val="single"/>
        </w:rPr>
        <w:t xml:space="preserve"> </w:t>
      </w:r>
      <w:r>
        <w:rPr>
          <w:rFonts w:hint="eastAsia" w:ascii="仿宋_GB2312" w:eastAsia="仿宋_GB2312"/>
          <w:color w:val="auto"/>
          <w:spacing w:val="6"/>
          <w:sz w:val="28"/>
          <w:szCs w:val="28"/>
          <w:highlight w:val="none"/>
          <w:u w:val="single"/>
        </w:rPr>
        <w:tab/>
      </w:r>
      <w:r>
        <w:rPr>
          <w:rFonts w:hint="eastAsia" w:ascii="仿宋_GB2312" w:eastAsia="仿宋_GB2312"/>
          <w:color w:val="auto"/>
          <w:spacing w:val="6"/>
          <w:sz w:val="28"/>
          <w:szCs w:val="28"/>
          <w:highlight w:val="none"/>
        </w:rPr>
        <w:t>万元，资产总额为</w:t>
      </w:r>
      <w:r>
        <w:rPr>
          <w:rFonts w:hint="eastAsia" w:ascii="仿宋_GB2312" w:eastAsia="仿宋_GB2312"/>
          <w:color w:val="auto"/>
          <w:spacing w:val="6"/>
          <w:sz w:val="28"/>
          <w:szCs w:val="28"/>
          <w:highlight w:val="none"/>
          <w:u w:val="single"/>
        </w:rPr>
        <w:t xml:space="preserve"> </w:t>
      </w:r>
      <w:r>
        <w:rPr>
          <w:rFonts w:hint="eastAsia" w:ascii="仿宋_GB2312" w:eastAsia="仿宋_GB2312"/>
          <w:color w:val="auto"/>
          <w:spacing w:val="6"/>
          <w:sz w:val="28"/>
          <w:szCs w:val="28"/>
          <w:highlight w:val="none"/>
          <w:u w:val="single"/>
        </w:rPr>
        <w:tab/>
      </w:r>
      <w:r>
        <w:rPr>
          <w:rFonts w:hint="eastAsia" w:ascii="仿宋_GB2312" w:eastAsia="仿宋_GB2312"/>
          <w:color w:val="auto"/>
          <w:spacing w:val="6"/>
          <w:sz w:val="28"/>
          <w:szCs w:val="28"/>
          <w:highlight w:val="none"/>
        </w:rPr>
        <w:t>万元</w:t>
      </w:r>
      <w:r>
        <w:rPr>
          <w:rFonts w:eastAsia="Times New Roman"/>
          <w:color w:val="auto"/>
          <w:position w:val="6"/>
          <w:sz w:val="28"/>
          <w:szCs w:val="28"/>
          <w:highlight w:val="none"/>
        </w:rPr>
        <w:t>1</w:t>
      </w:r>
      <w:r>
        <w:rPr>
          <w:rFonts w:hint="eastAsia" w:ascii="仿宋_GB2312" w:eastAsia="仿宋_GB2312"/>
          <w:color w:val="auto"/>
          <w:spacing w:val="6"/>
          <w:sz w:val="28"/>
          <w:szCs w:val="28"/>
          <w:highlight w:val="none"/>
        </w:rPr>
        <w:t>，属于</w:t>
      </w:r>
      <w:r>
        <w:rPr>
          <w:rFonts w:hint="eastAsia" w:ascii="仿宋_GB2312" w:eastAsia="仿宋_GB2312"/>
          <w:color w:val="auto"/>
          <w:spacing w:val="6"/>
          <w:sz w:val="28"/>
          <w:szCs w:val="28"/>
          <w:highlight w:val="none"/>
          <w:u w:val="single"/>
        </w:rPr>
        <w:t>（中型企业、小型企业、微型企业）</w:t>
      </w:r>
      <w:r>
        <w:rPr>
          <w:rFonts w:hint="eastAsia" w:ascii="仿宋_GB2312" w:eastAsia="仿宋_GB2312"/>
          <w:color w:val="auto"/>
          <w:spacing w:val="6"/>
          <w:sz w:val="28"/>
          <w:szCs w:val="28"/>
          <w:highlight w:val="none"/>
          <w:u w:val="single"/>
          <w:vertAlign w:val="superscript"/>
        </w:rPr>
        <w:t>2</w:t>
      </w:r>
      <w:r>
        <w:rPr>
          <w:rFonts w:hint="eastAsia" w:ascii="仿宋_GB2312" w:eastAsia="仿宋_GB2312"/>
          <w:color w:val="auto"/>
          <w:spacing w:val="6"/>
          <w:sz w:val="28"/>
          <w:szCs w:val="28"/>
          <w:highlight w:val="none"/>
        </w:rPr>
        <w:t>；</w:t>
      </w:r>
    </w:p>
    <w:p w14:paraId="0F6D2AE0">
      <w:pPr>
        <w:adjustRightInd w:val="0"/>
        <w:snapToGrid w:val="0"/>
        <w:spacing w:line="540" w:lineRule="exact"/>
        <w:ind w:firstLine="584" w:firstLineChars="200"/>
        <w:jc w:val="left"/>
        <w:textAlignment w:val="baseline"/>
        <w:rPr>
          <w:rFonts w:ascii="仿宋_GB2312" w:eastAsia="仿宋_GB2312"/>
          <w:color w:val="auto"/>
          <w:spacing w:val="6"/>
          <w:sz w:val="28"/>
          <w:szCs w:val="28"/>
          <w:highlight w:val="none"/>
        </w:rPr>
      </w:pPr>
      <w:r>
        <w:rPr>
          <w:rFonts w:hint="eastAsia" w:ascii="仿宋_GB2312" w:eastAsia="仿宋_GB2312"/>
          <w:color w:val="auto"/>
          <w:spacing w:val="6"/>
          <w:sz w:val="28"/>
          <w:szCs w:val="28"/>
          <w:highlight w:val="none"/>
        </w:rPr>
        <w:t>2.</w:t>
      </w:r>
      <w:r>
        <w:rPr>
          <w:rFonts w:hint="eastAsia" w:ascii="仿宋_GB2312" w:eastAsia="仿宋_GB2312"/>
          <w:color w:val="auto"/>
          <w:spacing w:val="6"/>
          <w:sz w:val="28"/>
          <w:szCs w:val="28"/>
          <w:highlight w:val="none"/>
          <w:u w:val="single"/>
        </w:rPr>
        <w:t>（标的名称）</w:t>
      </w:r>
      <w:r>
        <w:rPr>
          <w:rFonts w:hint="eastAsia" w:ascii="仿宋_GB2312" w:eastAsia="仿宋_GB2312"/>
          <w:color w:val="auto"/>
          <w:spacing w:val="6"/>
          <w:sz w:val="28"/>
          <w:szCs w:val="28"/>
          <w:highlight w:val="none"/>
        </w:rPr>
        <w:t xml:space="preserve"> ， 属于</w:t>
      </w:r>
      <w:r>
        <w:rPr>
          <w:rFonts w:hint="eastAsia" w:ascii="仿宋_GB2312" w:eastAsia="仿宋_GB2312"/>
          <w:color w:val="auto"/>
          <w:spacing w:val="6"/>
          <w:sz w:val="28"/>
          <w:szCs w:val="28"/>
          <w:highlight w:val="none"/>
          <w:u w:val="single"/>
        </w:rPr>
        <w:t xml:space="preserve">（采购文件中明确的所属行业） </w:t>
      </w:r>
      <w:r>
        <w:rPr>
          <w:rFonts w:hint="eastAsia" w:ascii="仿宋_GB2312" w:eastAsia="仿宋_GB2312"/>
          <w:color w:val="auto"/>
          <w:spacing w:val="6"/>
          <w:sz w:val="28"/>
          <w:szCs w:val="28"/>
          <w:highlight w:val="none"/>
        </w:rPr>
        <w:t>行业；制造商为</w:t>
      </w:r>
      <w:r>
        <w:rPr>
          <w:rFonts w:hint="eastAsia" w:ascii="仿宋_GB2312" w:eastAsia="仿宋_GB2312"/>
          <w:color w:val="auto"/>
          <w:spacing w:val="6"/>
          <w:sz w:val="28"/>
          <w:szCs w:val="28"/>
          <w:highlight w:val="none"/>
          <w:u w:val="single"/>
        </w:rPr>
        <w:t>（企业名称）</w:t>
      </w:r>
      <w:r>
        <w:rPr>
          <w:rFonts w:hint="eastAsia" w:ascii="仿宋_GB2312" w:eastAsia="仿宋_GB2312"/>
          <w:color w:val="auto"/>
          <w:spacing w:val="6"/>
          <w:sz w:val="28"/>
          <w:szCs w:val="28"/>
          <w:highlight w:val="none"/>
        </w:rPr>
        <w:t>，从业人员</w:t>
      </w:r>
      <w:r>
        <w:rPr>
          <w:rFonts w:hint="eastAsia" w:ascii="仿宋_GB2312" w:eastAsia="仿宋_GB2312"/>
          <w:color w:val="auto"/>
          <w:spacing w:val="6"/>
          <w:sz w:val="28"/>
          <w:szCs w:val="28"/>
          <w:highlight w:val="none"/>
          <w:u w:val="single"/>
        </w:rPr>
        <w:t xml:space="preserve"> </w:t>
      </w:r>
      <w:r>
        <w:rPr>
          <w:rFonts w:hint="eastAsia" w:ascii="仿宋_GB2312" w:eastAsia="仿宋_GB2312"/>
          <w:color w:val="auto"/>
          <w:spacing w:val="6"/>
          <w:sz w:val="28"/>
          <w:szCs w:val="28"/>
          <w:highlight w:val="none"/>
          <w:u w:val="single"/>
        </w:rPr>
        <w:tab/>
      </w:r>
      <w:r>
        <w:rPr>
          <w:rFonts w:hint="eastAsia" w:ascii="仿宋_GB2312" w:eastAsia="仿宋_GB2312"/>
          <w:color w:val="auto"/>
          <w:spacing w:val="6"/>
          <w:sz w:val="28"/>
          <w:szCs w:val="28"/>
          <w:highlight w:val="none"/>
        </w:rPr>
        <w:t>人，营业收入为</w:t>
      </w:r>
      <w:r>
        <w:rPr>
          <w:rFonts w:hint="eastAsia" w:ascii="仿宋_GB2312" w:eastAsia="仿宋_GB2312"/>
          <w:color w:val="auto"/>
          <w:spacing w:val="6"/>
          <w:sz w:val="28"/>
          <w:szCs w:val="28"/>
          <w:highlight w:val="none"/>
          <w:u w:val="single"/>
        </w:rPr>
        <w:t xml:space="preserve"> </w:t>
      </w:r>
      <w:r>
        <w:rPr>
          <w:rFonts w:hint="eastAsia" w:ascii="仿宋_GB2312" w:eastAsia="仿宋_GB2312"/>
          <w:color w:val="auto"/>
          <w:spacing w:val="6"/>
          <w:sz w:val="28"/>
          <w:szCs w:val="28"/>
          <w:highlight w:val="none"/>
          <w:u w:val="single"/>
        </w:rPr>
        <w:tab/>
      </w:r>
      <w:r>
        <w:rPr>
          <w:rFonts w:hint="eastAsia" w:ascii="仿宋_GB2312" w:eastAsia="仿宋_GB2312"/>
          <w:color w:val="auto"/>
          <w:spacing w:val="6"/>
          <w:sz w:val="28"/>
          <w:szCs w:val="28"/>
          <w:highlight w:val="none"/>
        </w:rPr>
        <w:t>万元，资产总额为</w:t>
      </w:r>
      <w:r>
        <w:rPr>
          <w:rFonts w:hint="eastAsia" w:ascii="仿宋_GB2312" w:eastAsia="仿宋_GB2312"/>
          <w:color w:val="auto"/>
          <w:spacing w:val="6"/>
          <w:sz w:val="28"/>
          <w:szCs w:val="28"/>
          <w:highlight w:val="none"/>
          <w:u w:val="single"/>
        </w:rPr>
        <w:t xml:space="preserve"> </w:t>
      </w:r>
      <w:r>
        <w:rPr>
          <w:rFonts w:hint="eastAsia" w:ascii="仿宋_GB2312" w:eastAsia="仿宋_GB2312"/>
          <w:color w:val="auto"/>
          <w:spacing w:val="6"/>
          <w:sz w:val="28"/>
          <w:szCs w:val="28"/>
          <w:highlight w:val="none"/>
          <w:u w:val="single"/>
        </w:rPr>
        <w:tab/>
      </w:r>
      <w:r>
        <w:rPr>
          <w:rFonts w:hint="eastAsia" w:ascii="仿宋_GB2312" w:eastAsia="仿宋_GB2312"/>
          <w:color w:val="auto"/>
          <w:spacing w:val="6"/>
          <w:sz w:val="28"/>
          <w:szCs w:val="28"/>
          <w:highlight w:val="none"/>
        </w:rPr>
        <w:t>万元，属于</w:t>
      </w:r>
      <w:r>
        <w:rPr>
          <w:rFonts w:hint="eastAsia" w:ascii="仿宋_GB2312" w:eastAsia="仿宋_GB2312"/>
          <w:color w:val="auto"/>
          <w:spacing w:val="6"/>
          <w:sz w:val="28"/>
          <w:szCs w:val="28"/>
          <w:highlight w:val="none"/>
          <w:u w:val="single"/>
        </w:rPr>
        <w:t>（中型企业、小型企业、微型企业）</w:t>
      </w:r>
      <w:r>
        <w:rPr>
          <w:rFonts w:hint="eastAsia" w:ascii="仿宋_GB2312" w:eastAsia="仿宋_GB2312"/>
          <w:color w:val="auto"/>
          <w:spacing w:val="6"/>
          <w:sz w:val="28"/>
          <w:szCs w:val="28"/>
          <w:highlight w:val="none"/>
        </w:rPr>
        <w:t>；</w:t>
      </w:r>
    </w:p>
    <w:p w14:paraId="7EAA028C">
      <w:pPr>
        <w:adjustRightInd w:val="0"/>
        <w:snapToGrid w:val="0"/>
        <w:spacing w:line="540" w:lineRule="exact"/>
        <w:ind w:firstLine="584" w:firstLineChars="200"/>
        <w:jc w:val="left"/>
        <w:textAlignment w:val="baseline"/>
        <w:rPr>
          <w:rFonts w:ascii="仿宋_GB2312" w:eastAsia="仿宋_GB2312"/>
          <w:color w:val="auto"/>
          <w:spacing w:val="6"/>
          <w:sz w:val="28"/>
          <w:szCs w:val="28"/>
          <w:highlight w:val="none"/>
        </w:rPr>
      </w:pPr>
      <w:r>
        <w:rPr>
          <w:rFonts w:hint="eastAsia" w:ascii="仿宋_GB2312" w:eastAsia="仿宋_GB2312"/>
          <w:color w:val="auto"/>
          <w:spacing w:val="6"/>
          <w:sz w:val="28"/>
          <w:szCs w:val="28"/>
          <w:highlight w:val="none"/>
        </w:rPr>
        <w:t>……</w:t>
      </w:r>
    </w:p>
    <w:p w14:paraId="2C554018">
      <w:pPr>
        <w:adjustRightInd w:val="0"/>
        <w:spacing w:line="540" w:lineRule="exact"/>
        <w:ind w:firstLine="584" w:firstLineChars="200"/>
        <w:textAlignment w:val="baseline"/>
        <w:rPr>
          <w:rFonts w:ascii="仿宋_GB2312" w:eastAsia="仿宋_GB2312"/>
          <w:color w:val="auto"/>
          <w:spacing w:val="6"/>
          <w:sz w:val="28"/>
          <w:szCs w:val="28"/>
          <w:highlight w:val="none"/>
        </w:rPr>
      </w:pPr>
      <w:r>
        <w:rPr>
          <w:rFonts w:hint="eastAsia" w:ascii="仿宋_GB2312" w:eastAsia="仿宋_GB2312"/>
          <w:color w:val="auto"/>
          <w:spacing w:val="6"/>
          <w:sz w:val="28"/>
          <w:szCs w:val="28"/>
          <w:highlight w:val="none"/>
        </w:rPr>
        <w:t>以上企业，不属于大企业的分支机构，不存在控股股东为大企业的情形，也不存在与大企业的负责人为同一人的情形。</w:t>
      </w:r>
    </w:p>
    <w:p w14:paraId="3A3D5BFB">
      <w:pPr>
        <w:adjustRightInd w:val="0"/>
        <w:spacing w:line="540" w:lineRule="exact"/>
        <w:ind w:firstLine="584" w:firstLineChars="200"/>
        <w:textAlignment w:val="baseline"/>
        <w:rPr>
          <w:rFonts w:ascii="仿宋_GB2312" w:eastAsia="仿宋_GB2312"/>
          <w:color w:val="auto"/>
          <w:spacing w:val="6"/>
          <w:sz w:val="28"/>
          <w:szCs w:val="28"/>
          <w:highlight w:val="none"/>
        </w:rPr>
      </w:pPr>
      <w:r>
        <w:rPr>
          <w:rFonts w:hint="eastAsia" w:ascii="仿宋_GB2312" w:eastAsia="仿宋_GB2312"/>
          <w:color w:val="auto"/>
          <w:spacing w:val="6"/>
          <w:sz w:val="28"/>
          <w:szCs w:val="28"/>
          <w:highlight w:val="none"/>
        </w:rPr>
        <w:t>本企业对上述声明内容的真实性负责。如有虚假，将依法承担相应责任。</w:t>
      </w:r>
    </w:p>
    <w:p w14:paraId="1EF72BE3">
      <w:pPr>
        <w:adjustRightInd w:val="0"/>
        <w:spacing w:line="540" w:lineRule="exact"/>
        <w:ind w:firstLine="584" w:firstLineChars="200"/>
        <w:textAlignment w:val="baseline"/>
        <w:rPr>
          <w:rFonts w:ascii="仿宋_GB2312" w:eastAsia="仿宋_GB2312"/>
          <w:color w:val="auto"/>
          <w:spacing w:val="6"/>
          <w:sz w:val="28"/>
          <w:szCs w:val="28"/>
          <w:highlight w:val="none"/>
        </w:rPr>
      </w:pPr>
      <w:r>
        <w:rPr>
          <w:rFonts w:hint="eastAsia" w:ascii="仿宋_GB2312" w:eastAsia="仿宋_GB2312"/>
          <w:color w:val="auto"/>
          <w:spacing w:val="6"/>
          <w:sz w:val="28"/>
          <w:szCs w:val="28"/>
          <w:highlight w:val="none"/>
        </w:rPr>
        <w:t>企业名称（盖章）：</w:t>
      </w:r>
    </w:p>
    <w:p w14:paraId="34BB5753">
      <w:pPr>
        <w:adjustRightInd w:val="0"/>
        <w:spacing w:line="540" w:lineRule="exact"/>
        <w:ind w:firstLine="584" w:firstLineChars="200"/>
        <w:textAlignment w:val="baseline"/>
        <w:rPr>
          <w:rFonts w:eastAsia="Times New Roman"/>
          <w:color w:val="auto"/>
          <w:position w:val="6"/>
          <w:sz w:val="28"/>
          <w:szCs w:val="28"/>
          <w:highlight w:val="none"/>
        </w:rPr>
      </w:pPr>
      <w:r>
        <w:rPr>
          <w:rFonts w:hint="eastAsia" w:ascii="仿宋_GB2312" w:eastAsia="仿宋_GB2312"/>
          <w:color w:val="auto"/>
          <w:spacing w:val="6"/>
          <w:sz w:val="28"/>
          <w:szCs w:val="28"/>
          <w:highlight w:val="none"/>
        </w:rPr>
        <w:t>日期：</w:t>
      </w:r>
    </w:p>
    <w:p w14:paraId="235EBF38">
      <w:pPr>
        <w:adjustRightInd w:val="0"/>
        <w:spacing w:line="440" w:lineRule="exact"/>
        <w:ind w:firstLine="420" w:firstLineChars="200"/>
        <w:textAlignment w:val="baseline"/>
        <w:rPr>
          <w:color w:val="auto"/>
          <w:highlight w:val="none"/>
        </w:rPr>
      </w:pPr>
      <w:r>
        <w:rPr>
          <w:rFonts w:hint="eastAsia"/>
          <w:color w:val="auto"/>
          <w:highlight w:val="none"/>
        </w:rPr>
        <w:t>注：1.从业人员、营业收入、资产总额填报上一年度数据，无上一年度数据的新成立企业可不填报。</w:t>
      </w:r>
    </w:p>
    <w:p w14:paraId="51472B07">
      <w:pPr>
        <w:adjustRightInd w:val="0"/>
        <w:spacing w:line="440" w:lineRule="exact"/>
        <w:ind w:firstLine="420" w:firstLineChars="200"/>
        <w:textAlignment w:val="baseline"/>
        <w:rPr>
          <w:rFonts w:hint="eastAsia"/>
          <w:color w:val="auto"/>
          <w:highlight w:val="none"/>
        </w:rPr>
      </w:pPr>
      <w:r>
        <w:rPr>
          <w:rFonts w:hint="eastAsia"/>
          <w:color w:val="auto"/>
          <w:highlight w:val="none"/>
        </w:rPr>
        <w:t>2.中小企业划分标准见工业和信息化部 国家统计局 国家发展改革委 财政部 《关于印发中小企业划型标准规定的通知》工信部联企业 [2011]300号。</w:t>
      </w:r>
    </w:p>
    <w:p w14:paraId="1E633092">
      <w:pPr>
        <w:spacing w:line="500" w:lineRule="exact"/>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u w:val="none"/>
          <w:lang w:val="en-US" w:eastAsia="zh-CN"/>
        </w:rPr>
        <w:t>本项目标的物所属行</w:t>
      </w:r>
      <w:r>
        <w:rPr>
          <w:rFonts w:hint="eastAsia" w:ascii="宋体" w:hAnsi="宋体" w:eastAsia="宋体" w:cs="宋体"/>
          <w:color w:val="auto"/>
          <w:sz w:val="21"/>
          <w:szCs w:val="21"/>
          <w:highlight w:val="none"/>
          <w:lang w:val="en-US" w:eastAsia="zh-CN"/>
        </w:rPr>
        <w:t>业：</w:t>
      </w:r>
      <w:r>
        <w:rPr>
          <w:rFonts w:hint="eastAsia" w:ascii="宋体" w:hAnsi="宋体" w:cs="宋体"/>
          <w:color w:val="auto"/>
          <w:sz w:val="21"/>
          <w:szCs w:val="21"/>
          <w:highlight w:val="none"/>
          <w:u w:val="none"/>
          <w:lang w:val="en-US" w:eastAsia="zh-CN"/>
        </w:rPr>
        <w:t>工业</w:t>
      </w:r>
      <w:r>
        <w:rPr>
          <w:rFonts w:hint="eastAsia" w:ascii="宋体" w:hAnsi="宋体" w:eastAsia="宋体" w:cs="宋体"/>
          <w:color w:val="auto"/>
          <w:sz w:val="21"/>
          <w:szCs w:val="21"/>
          <w:highlight w:val="none"/>
          <w:lang w:val="en-US" w:eastAsia="zh-CN"/>
        </w:rPr>
        <w:t>。</w:t>
      </w:r>
    </w:p>
    <w:p w14:paraId="526F7916">
      <w:pPr>
        <w:spacing w:line="360" w:lineRule="auto"/>
        <w:rPr>
          <w:rFonts w:hint="eastAsia" w:ascii="仿宋_GB2312" w:hAnsi="宋体" w:eastAsia="仿宋_GB2312" w:cs="Lucida Sans Unicode"/>
          <w:color w:val="auto"/>
          <w:sz w:val="30"/>
          <w:szCs w:val="30"/>
          <w:highlight w:val="none"/>
        </w:rPr>
      </w:pPr>
    </w:p>
    <w:p w14:paraId="08602C19">
      <w:pPr>
        <w:spacing w:line="360" w:lineRule="auto"/>
        <w:rPr>
          <w:rFonts w:hint="eastAsia" w:ascii="仿宋_GB2312" w:hAnsi="宋体" w:eastAsia="仿宋_GB2312" w:cs="Lucida Sans Unicode"/>
          <w:color w:val="auto"/>
          <w:sz w:val="28"/>
          <w:szCs w:val="28"/>
          <w:highlight w:val="none"/>
        </w:rPr>
      </w:pPr>
    </w:p>
    <w:p w14:paraId="32A25050">
      <w:pPr>
        <w:spacing w:line="360" w:lineRule="auto"/>
        <w:rPr>
          <w:rFonts w:hint="default" w:ascii="仿宋_GB2312" w:hAnsi="宋体" w:eastAsia="仿宋_GB2312" w:cs="Lucida Sans Unicode"/>
          <w:color w:val="auto"/>
          <w:sz w:val="28"/>
          <w:szCs w:val="28"/>
          <w:highlight w:val="none"/>
          <w:lang w:val="en-US" w:eastAsia="zh-CN"/>
        </w:rPr>
      </w:pPr>
      <w:r>
        <w:rPr>
          <w:rFonts w:hint="eastAsia" w:ascii="仿宋_GB2312" w:hAnsi="宋体" w:eastAsia="仿宋_GB2312" w:cs="Lucida Sans Unicode"/>
          <w:color w:val="auto"/>
          <w:sz w:val="28"/>
          <w:szCs w:val="28"/>
          <w:highlight w:val="none"/>
        </w:rPr>
        <w:t>格式</w:t>
      </w:r>
      <w:r>
        <w:rPr>
          <w:rFonts w:hint="eastAsia" w:ascii="仿宋_GB2312" w:hAnsi="宋体" w:eastAsia="仿宋_GB2312" w:cs="Lucida Sans Unicode"/>
          <w:color w:val="auto"/>
          <w:sz w:val="28"/>
          <w:szCs w:val="28"/>
          <w:highlight w:val="none"/>
          <w:lang w:val="en-US" w:eastAsia="zh-CN"/>
        </w:rPr>
        <w:t>14</w:t>
      </w:r>
    </w:p>
    <w:p w14:paraId="6C4B7CD9">
      <w:pPr>
        <w:spacing w:line="360" w:lineRule="auto"/>
        <w:ind w:firstLine="560" w:firstLineChars="200"/>
        <w:jc w:val="both"/>
        <w:rPr>
          <w:rFonts w:ascii="黑体" w:eastAsia="黑体"/>
          <w:color w:val="auto"/>
          <w:sz w:val="28"/>
          <w:szCs w:val="28"/>
          <w:highlight w:val="none"/>
        </w:rPr>
      </w:pPr>
    </w:p>
    <w:p w14:paraId="27340D83">
      <w:pPr>
        <w:spacing w:line="588" w:lineRule="exact"/>
        <w:jc w:val="center"/>
        <w:rPr>
          <w:rFonts w:hint="eastAsia" w:ascii="黑体" w:hAnsi="黑体" w:eastAsia="黑体" w:cs="黑体"/>
          <w:b/>
          <w:color w:val="auto"/>
          <w:spacing w:val="6"/>
          <w:sz w:val="28"/>
          <w:szCs w:val="28"/>
          <w:highlight w:val="none"/>
        </w:rPr>
      </w:pPr>
      <w:bookmarkStart w:id="6" w:name="OLE_LINK13"/>
      <w:bookmarkStart w:id="7" w:name="OLE_LINK14"/>
      <w:r>
        <w:rPr>
          <w:rFonts w:hint="eastAsia" w:ascii="黑体" w:hAnsi="黑体" w:eastAsia="黑体" w:cs="黑体"/>
          <w:b/>
          <w:color w:val="auto"/>
          <w:spacing w:val="6"/>
          <w:sz w:val="28"/>
          <w:szCs w:val="28"/>
          <w:highlight w:val="none"/>
        </w:rPr>
        <w:t>残疾人福利性单位声明函</w:t>
      </w:r>
    </w:p>
    <w:bookmarkEnd w:id="6"/>
    <w:bookmarkEnd w:id="7"/>
    <w:p w14:paraId="69125878">
      <w:pPr>
        <w:spacing w:line="588" w:lineRule="exact"/>
        <w:rPr>
          <w:rFonts w:ascii="仿宋_GB2312" w:eastAsia="仿宋_GB2312"/>
          <w:b/>
          <w:color w:val="auto"/>
          <w:spacing w:val="6"/>
          <w:sz w:val="28"/>
          <w:szCs w:val="28"/>
          <w:highlight w:val="none"/>
        </w:rPr>
      </w:pPr>
    </w:p>
    <w:p w14:paraId="66D7262D">
      <w:pPr>
        <w:spacing w:line="588" w:lineRule="exact"/>
        <w:ind w:firstLine="584" w:firstLineChars="200"/>
        <w:rPr>
          <w:rFonts w:hint="eastAsia" w:ascii="仿宋_GB2312" w:eastAsia="仿宋_GB2312"/>
          <w:color w:val="auto"/>
          <w:spacing w:val="6"/>
          <w:sz w:val="28"/>
          <w:szCs w:val="28"/>
          <w:highlight w:val="none"/>
        </w:rPr>
      </w:pPr>
    </w:p>
    <w:p w14:paraId="74CF02C0">
      <w:pPr>
        <w:spacing w:line="588" w:lineRule="exact"/>
        <w:ind w:firstLine="584" w:firstLineChars="200"/>
        <w:rPr>
          <w:rFonts w:ascii="仿宋_GB2312" w:eastAsia="仿宋_GB2312"/>
          <w:color w:val="auto"/>
          <w:spacing w:val="6"/>
          <w:sz w:val="28"/>
          <w:szCs w:val="28"/>
          <w:highlight w:val="none"/>
        </w:rPr>
      </w:pPr>
      <w:r>
        <w:rPr>
          <w:rFonts w:hint="eastAsia" w:ascii="仿宋_GB2312" w:eastAsia="仿宋_GB2312"/>
          <w:color w:val="auto"/>
          <w:spacing w:val="6"/>
          <w:sz w:val="28"/>
          <w:szCs w:val="28"/>
          <w:highlight w:val="none"/>
        </w:rPr>
        <w:t>本单位郑重声明，根据《财政部 民政部 中国残疾人联合会关于促进残疾人就业政府采购政策的通知》（财库</w:t>
      </w:r>
      <w:r>
        <w:rPr>
          <w:rFonts w:hint="eastAsia" w:ascii="仿宋_GB2312" w:eastAsia="仿宋_GB2312"/>
          <w:color w:val="auto"/>
          <w:sz w:val="28"/>
          <w:szCs w:val="28"/>
          <w:highlight w:val="none"/>
        </w:rPr>
        <w:t>〔2017〕 141</w:t>
      </w:r>
      <w:r>
        <w:rPr>
          <w:rFonts w:hint="eastAsia" w:ascii="仿宋_GB2312" w:eastAsia="仿宋_GB2312"/>
          <w:color w:val="auto"/>
          <w:spacing w:val="6"/>
          <w:sz w:val="28"/>
          <w:szCs w:val="28"/>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A50A2BF">
      <w:pPr>
        <w:spacing w:line="588" w:lineRule="exact"/>
        <w:ind w:firstLine="584" w:firstLineChars="200"/>
        <w:rPr>
          <w:rFonts w:ascii="仿宋_GB2312" w:eastAsia="仿宋_GB2312"/>
          <w:color w:val="auto"/>
          <w:spacing w:val="6"/>
          <w:sz w:val="28"/>
          <w:szCs w:val="28"/>
          <w:highlight w:val="none"/>
        </w:rPr>
      </w:pPr>
      <w:r>
        <w:rPr>
          <w:rFonts w:hint="eastAsia" w:ascii="仿宋_GB2312" w:eastAsia="仿宋_GB2312"/>
          <w:color w:val="auto"/>
          <w:spacing w:val="6"/>
          <w:sz w:val="28"/>
          <w:szCs w:val="28"/>
          <w:highlight w:val="none"/>
        </w:rPr>
        <w:t>本单位对上述声明的真实性负责。如有虚假，将依法承担相应责任。</w:t>
      </w:r>
    </w:p>
    <w:p w14:paraId="555EF34B">
      <w:pPr>
        <w:spacing w:line="588" w:lineRule="exact"/>
        <w:ind w:firstLine="624" w:firstLineChars="200"/>
        <w:rPr>
          <w:rFonts w:ascii="仿宋_GB2312" w:eastAsia="仿宋_GB2312"/>
          <w:color w:val="auto"/>
          <w:spacing w:val="6"/>
          <w:sz w:val="30"/>
          <w:szCs w:val="30"/>
          <w:highlight w:val="none"/>
        </w:rPr>
      </w:pPr>
    </w:p>
    <w:p w14:paraId="2A356104">
      <w:pPr>
        <w:spacing w:line="588" w:lineRule="exact"/>
        <w:ind w:firstLine="624" w:firstLineChars="200"/>
        <w:rPr>
          <w:rFonts w:ascii="仿宋_GB2312" w:eastAsia="仿宋_GB2312"/>
          <w:color w:val="auto"/>
          <w:spacing w:val="6"/>
          <w:sz w:val="30"/>
          <w:szCs w:val="30"/>
          <w:highlight w:val="none"/>
        </w:rPr>
      </w:pPr>
    </w:p>
    <w:p w14:paraId="28DA623C">
      <w:pPr>
        <w:tabs>
          <w:tab w:val="left" w:pos="4860"/>
        </w:tabs>
        <w:spacing w:line="588" w:lineRule="exact"/>
        <w:ind w:right="1560" w:firstLine="624" w:firstLineChars="200"/>
        <w:jc w:val="center"/>
        <w:rPr>
          <w:rFonts w:hint="eastAsia" w:ascii="仿宋_GB2312" w:eastAsia="仿宋_GB2312"/>
          <w:color w:val="auto"/>
          <w:spacing w:val="6"/>
          <w:sz w:val="30"/>
          <w:szCs w:val="30"/>
          <w:highlight w:val="none"/>
        </w:rPr>
      </w:pPr>
      <w:r>
        <w:rPr>
          <w:rFonts w:hint="eastAsia" w:ascii="仿宋_GB2312" w:eastAsia="仿宋_GB2312"/>
          <w:color w:val="auto"/>
          <w:spacing w:val="6"/>
          <w:sz w:val="30"/>
          <w:szCs w:val="30"/>
          <w:highlight w:val="none"/>
        </w:rPr>
        <w:t xml:space="preserve">              </w:t>
      </w:r>
    </w:p>
    <w:p w14:paraId="604E8367">
      <w:pPr>
        <w:tabs>
          <w:tab w:val="left" w:pos="4860"/>
        </w:tabs>
        <w:spacing w:line="588" w:lineRule="exact"/>
        <w:ind w:right="1560" w:firstLine="624" w:firstLineChars="200"/>
        <w:jc w:val="center"/>
        <w:rPr>
          <w:rFonts w:hint="eastAsia" w:ascii="仿宋_GB2312" w:eastAsia="仿宋_GB2312"/>
          <w:color w:val="auto"/>
          <w:spacing w:val="6"/>
          <w:sz w:val="30"/>
          <w:szCs w:val="30"/>
          <w:highlight w:val="none"/>
        </w:rPr>
      </w:pPr>
    </w:p>
    <w:p w14:paraId="13778407">
      <w:pPr>
        <w:tabs>
          <w:tab w:val="left" w:pos="4860"/>
        </w:tabs>
        <w:spacing w:line="588" w:lineRule="exact"/>
        <w:ind w:right="1560" w:firstLine="584" w:firstLineChars="200"/>
        <w:jc w:val="center"/>
        <w:rPr>
          <w:rFonts w:hint="eastAsia" w:ascii="仿宋_GB2312" w:eastAsia="仿宋_GB2312"/>
          <w:color w:val="auto"/>
          <w:spacing w:val="6"/>
          <w:sz w:val="28"/>
          <w:szCs w:val="28"/>
          <w:highlight w:val="none"/>
        </w:rPr>
      </w:pPr>
    </w:p>
    <w:p w14:paraId="2584E525">
      <w:pPr>
        <w:tabs>
          <w:tab w:val="left" w:pos="4860"/>
        </w:tabs>
        <w:spacing w:line="588" w:lineRule="exact"/>
        <w:ind w:right="1560"/>
        <w:jc w:val="right"/>
        <w:rPr>
          <w:rFonts w:ascii="仿宋_GB2312" w:eastAsia="仿宋_GB2312"/>
          <w:color w:val="auto"/>
          <w:spacing w:val="6"/>
          <w:sz w:val="28"/>
          <w:szCs w:val="28"/>
          <w:highlight w:val="none"/>
        </w:rPr>
      </w:pPr>
      <w:r>
        <w:rPr>
          <w:rFonts w:hint="eastAsia" w:ascii="仿宋_GB2312" w:eastAsia="仿宋_GB2312"/>
          <w:color w:val="auto"/>
          <w:spacing w:val="6"/>
          <w:sz w:val="28"/>
          <w:szCs w:val="28"/>
          <w:highlight w:val="none"/>
        </w:rPr>
        <w:t>单位名称（</w:t>
      </w:r>
      <w:r>
        <w:rPr>
          <w:rFonts w:hint="eastAsia" w:ascii="仿宋_GB2312" w:eastAsia="仿宋_GB2312"/>
          <w:color w:val="auto"/>
          <w:spacing w:val="6"/>
          <w:sz w:val="28"/>
          <w:szCs w:val="28"/>
          <w:highlight w:val="none"/>
          <w:lang w:val="en-US" w:eastAsia="zh-CN"/>
        </w:rPr>
        <w:t>单位公章</w:t>
      </w:r>
      <w:r>
        <w:rPr>
          <w:rFonts w:hint="eastAsia" w:ascii="仿宋_GB2312" w:eastAsia="仿宋_GB2312"/>
          <w:color w:val="auto"/>
          <w:spacing w:val="6"/>
          <w:sz w:val="28"/>
          <w:szCs w:val="28"/>
          <w:highlight w:val="none"/>
        </w:rPr>
        <w:t>）</w:t>
      </w:r>
    </w:p>
    <w:p w14:paraId="57C2F251">
      <w:pPr>
        <w:tabs>
          <w:tab w:val="left" w:pos="4860"/>
        </w:tabs>
        <w:spacing w:line="588" w:lineRule="exact"/>
        <w:ind w:right="1560" w:firstLine="584" w:firstLineChars="200"/>
        <w:jc w:val="right"/>
        <w:rPr>
          <w:rFonts w:ascii="仿宋_GB2312" w:eastAsia="仿宋_GB2312"/>
          <w:color w:val="auto"/>
          <w:spacing w:val="6"/>
          <w:sz w:val="28"/>
          <w:szCs w:val="28"/>
          <w:highlight w:val="none"/>
        </w:rPr>
      </w:pPr>
      <w:r>
        <w:rPr>
          <w:rFonts w:hint="eastAsia" w:ascii="仿宋_GB2312" w:eastAsia="仿宋_GB2312"/>
          <w:color w:val="auto"/>
          <w:spacing w:val="6"/>
          <w:sz w:val="28"/>
          <w:szCs w:val="28"/>
          <w:highlight w:val="none"/>
        </w:rPr>
        <w:t xml:space="preserve">       日  期</w:t>
      </w:r>
    </w:p>
    <w:p w14:paraId="7B365170">
      <w:pPr>
        <w:rPr>
          <w:color w:val="auto"/>
          <w:sz w:val="30"/>
          <w:szCs w:val="30"/>
          <w:highlight w:val="none"/>
        </w:rPr>
      </w:pPr>
    </w:p>
    <w:p w14:paraId="72394F48">
      <w:pPr>
        <w:rPr>
          <w:color w:val="auto"/>
          <w:sz w:val="30"/>
          <w:szCs w:val="30"/>
          <w:highlight w:val="none"/>
        </w:rPr>
      </w:pPr>
    </w:p>
    <w:p w14:paraId="19A5BAEF">
      <w:pPr>
        <w:spacing w:line="360" w:lineRule="auto"/>
        <w:jc w:val="left"/>
        <w:rPr>
          <w:rFonts w:hint="eastAsia" w:ascii="仿宋" w:hAnsi="仿宋" w:eastAsia="仿宋" w:cs="仿宋"/>
          <w:color w:val="auto"/>
          <w:sz w:val="24"/>
          <w:highlight w:val="none"/>
        </w:rPr>
      </w:pPr>
    </w:p>
    <w:p w14:paraId="5DDE40BB">
      <w:pPr>
        <w:spacing w:line="360" w:lineRule="auto"/>
        <w:jc w:val="left"/>
        <w:rPr>
          <w:rFonts w:hint="eastAsia" w:ascii="仿宋" w:hAnsi="仿宋" w:eastAsia="仿宋" w:cs="仿宋"/>
          <w:color w:val="auto"/>
          <w:sz w:val="24"/>
          <w:highlight w:val="none"/>
        </w:rPr>
      </w:pPr>
    </w:p>
    <w:p w14:paraId="5BF96316">
      <w:pPr>
        <w:spacing w:line="360" w:lineRule="auto"/>
        <w:rPr>
          <w:rFonts w:hint="default" w:ascii="仿宋_GB2312" w:hAnsi="宋体" w:eastAsia="仿宋_GB2312" w:cs="Lucida Sans Unicode"/>
          <w:color w:val="auto"/>
          <w:sz w:val="28"/>
          <w:szCs w:val="28"/>
          <w:highlight w:val="none"/>
          <w:lang w:val="en-US" w:eastAsia="zh-CN"/>
        </w:rPr>
      </w:pPr>
      <w:r>
        <w:rPr>
          <w:rFonts w:hint="eastAsia" w:ascii="仿宋_GB2312" w:hAnsi="宋体" w:eastAsia="仿宋_GB2312" w:cs="Lucida Sans Unicode"/>
          <w:color w:val="auto"/>
          <w:sz w:val="28"/>
          <w:szCs w:val="28"/>
          <w:highlight w:val="none"/>
        </w:rPr>
        <w:t>格式1</w:t>
      </w:r>
      <w:r>
        <w:rPr>
          <w:rFonts w:hint="eastAsia" w:ascii="仿宋_GB2312" w:hAnsi="宋体" w:eastAsia="仿宋_GB2312" w:cs="Lucida Sans Unicode"/>
          <w:color w:val="auto"/>
          <w:sz w:val="28"/>
          <w:szCs w:val="28"/>
          <w:highlight w:val="none"/>
          <w:lang w:val="en-US" w:eastAsia="zh-CN"/>
        </w:rPr>
        <w:t>5</w:t>
      </w:r>
    </w:p>
    <w:p w14:paraId="28126E03">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0"/>
        <w:jc w:val="center"/>
        <w:textAlignment w:val="baseline"/>
        <w:rPr>
          <w:rFonts w:hint="eastAsia" w:ascii="黑体" w:hAnsi="黑体" w:eastAsia="黑体" w:cs="黑体"/>
          <w:i w:val="0"/>
          <w:iCs w:val="0"/>
          <w:caps w:val="0"/>
          <w:color w:val="auto"/>
          <w:spacing w:val="0"/>
          <w:sz w:val="28"/>
          <w:szCs w:val="28"/>
          <w:highlight w:val="none"/>
        </w:rPr>
      </w:pPr>
      <w:r>
        <w:rPr>
          <w:rStyle w:val="24"/>
          <w:rFonts w:hint="eastAsia" w:ascii="黑体" w:hAnsi="黑体" w:eastAsia="黑体" w:cs="黑体"/>
          <w:b/>
          <w:bCs/>
          <w:i w:val="0"/>
          <w:iCs w:val="0"/>
          <w:caps w:val="0"/>
          <w:color w:val="auto"/>
          <w:spacing w:val="0"/>
          <w:sz w:val="28"/>
          <w:szCs w:val="28"/>
          <w:highlight w:val="none"/>
          <w:shd w:val="clear" w:color="auto" w:fill="FFFFFF"/>
          <w:vertAlign w:val="baseline"/>
        </w:rPr>
        <w:t>关于符合本国产品标准的声明函</w:t>
      </w:r>
    </w:p>
    <w:p w14:paraId="76391A84">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60" w:lineRule="exact"/>
        <w:ind w:right="0" w:firstLine="560" w:firstLineChars="200"/>
        <w:textAlignment w:val="baseline"/>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41E9BA8D">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60" w:lineRule="exact"/>
        <w:ind w:right="0" w:firstLine="560" w:firstLineChars="200"/>
        <w:textAlignment w:val="baseline"/>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vertAlign w:val="baseline"/>
        </w:rPr>
        <w:t>1.</w:t>
      </w:r>
      <w:r>
        <w:rPr>
          <w:rStyle w:val="26"/>
          <w:rFonts w:hint="eastAsia" w:ascii="仿宋_GB2312" w:hAnsi="仿宋_GB2312" w:eastAsia="仿宋_GB2312" w:cs="仿宋_GB2312"/>
          <w:i w:val="0"/>
          <w:iCs w:val="0"/>
          <w:caps w:val="0"/>
          <w:color w:val="auto"/>
          <w:spacing w:val="0"/>
          <w:sz w:val="28"/>
          <w:szCs w:val="28"/>
          <w:highlight w:val="none"/>
          <w:u w:val="single"/>
          <w:shd w:val="clear" w:color="auto" w:fill="FFFFFF"/>
          <w:vertAlign w:val="baseline"/>
        </w:rPr>
        <w:t>（产品名称1）</w:t>
      </w:r>
      <w:r>
        <w:rPr>
          <w:rStyle w:val="26"/>
          <w:rFonts w:hint="eastAsia" w:ascii="仿宋_GB2312" w:hAnsi="仿宋_GB2312" w:eastAsia="仿宋_GB2312" w:cs="仿宋_GB2312"/>
          <w:i w:val="0"/>
          <w:iCs w:val="0"/>
          <w:caps w:val="0"/>
          <w:color w:val="auto"/>
          <w:spacing w:val="0"/>
          <w:sz w:val="28"/>
          <w:szCs w:val="28"/>
          <w:highlight w:val="none"/>
          <w:shd w:val="clear" w:color="auto" w:fill="FFFFFF"/>
          <w:vertAlign w:val="superscript"/>
        </w:rPr>
        <w:t>1</w:t>
      </w:r>
      <w:r>
        <w:rPr>
          <w:rFonts w:hint="eastAsia" w:ascii="仿宋_GB2312" w:hAnsi="仿宋_GB2312" w:eastAsia="仿宋_GB2312" w:cs="仿宋_GB2312"/>
          <w:i w:val="0"/>
          <w:iCs w:val="0"/>
          <w:caps w:val="0"/>
          <w:color w:val="auto"/>
          <w:spacing w:val="0"/>
          <w:sz w:val="28"/>
          <w:szCs w:val="28"/>
          <w:highlight w:val="none"/>
          <w:shd w:val="clear" w:color="auto" w:fill="FFFFFF"/>
          <w:vertAlign w:val="baseline"/>
        </w:rPr>
        <w:t>，生产厂为</w:t>
      </w:r>
      <w:r>
        <w:rPr>
          <w:rStyle w:val="26"/>
          <w:rFonts w:hint="eastAsia" w:ascii="仿宋_GB2312" w:hAnsi="仿宋_GB2312" w:eastAsia="仿宋_GB2312" w:cs="仿宋_GB2312"/>
          <w:i w:val="0"/>
          <w:iCs w:val="0"/>
          <w:caps w:val="0"/>
          <w:color w:val="auto"/>
          <w:spacing w:val="0"/>
          <w:sz w:val="28"/>
          <w:szCs w:val="28"/>
          <w:highlight w:val="none"/>
          <w:u w:val="single"/>
          <w:shd w:val="clear" w:color="auto" w:fill="FFFFFF"/>
          <w:vertAlign w:val="baseline"/>
        </w:rPr>
        <w:t>（厂名）</w:t>
      </w:r>
      <w:r>
        <w:rPr>
          <w:rStyle w:val="26"/>
          <w:rFonts w:hint="eastAsia" w:ascii="仿宋_GB2312" w:hAnsi="仿宋_GB2312" w:eastAsia="仿宋_GB2312" w:cs="仿宋_GB2312"/>
          <w:i w:val="0"/>
          <w:iCs w:val="0"/>
          <w:caps w:val="0"/>
          <w:color w:val="auto"/>
          <w:spacing w:val="0"/>
          <w:sz w:val="28"/>
          <w:szCs w:val="28"/>
          <w:highlight w:val="none"/>
          <w:shd w:val="clear" w:color="auto" w:fill="FFFFFF"/>
          <w:vertAlign w:val="superscript"/>
        </w:rPr>
        <w:t>2</w:t>
      </w:r>
      <w:r>
        <w:rPr>
          <w:rFonts w:hint="eastAsia" w:ascii="仿宋_GB2312" w:hAnsi="仿宋_GB2312" w:eastAsia="仿宋_GB2312" w:cs="仿宋_GB2312"/>
          <w:i w:val="0"/>
          <w:iCs w:val="0"/>
          <w:caps w:val="0"/>
          <w:color w:val="auto"/>
          <w:spacing w:val="0"/>
          <w:sz w:val="28"/>
          <w:szCs w:val="28"/>
          <w:highlight w:val="none"/>
          <w:shd w:val="clear" w:color="auto" w:fill="FFFFFF"/>
          <w:vertAlign w:val="baseline"/>
        </w:rPr>
        <w:t>，厂址为</w:t>
      </w:r>
      <w:r>
        <w:rPr>
          <w:rStyle w:val="26"/>
          <w:rFonts w:hint="eastAsia" w:ascii="仿宋_GB2312" w:hAnsi="仿宋_GB2312" w:eastAsia="仿宋_GB2312" w:cs="仿宋_GB2312"/>
          <w:i w:val="0"/>
          <w:iCs w:val="0"/>
          <w:caps w:val="0"/>
          <w:color w:val="auto"/>
          <w:spacing w:val="0"/>
          <w:sz w:val="28"/>
          <w:szCs w:val="28"/>
          <w:highlight w:val="none"/>
          <w:u w:val="single"/>
          <w:shd w:val="clear" w:color="auto" w:fill="FFFFFF"/>
          <w:vertAlign w:val="baseline"/>
        </w:rPr>
        <w:t>（生产厂址）</w:t>
      </w:r>
      <w:r>
        <w:rPr>
          <w:rFonts w:hint="eastAsia" w:ascii="仿宋_GB2312" w:hAnsi="仿宋_GB2312" w:eastAsia="仿宋_GB2312" w:cs="仿宋_GB2312"/>
          <w:i w:val="0"/>
          <w:iCs w:val="0"/>
          <w:caps w:val="0"/>
          <w:color w:val="auto"/>
          <w:spacing w:val="0"/>
          <w:sz w:val="28"/>
          <w:szCs w:val="28"/>
          <w:highlight w:val="none"/>
          <w:shd w:val="clear" w:color="auto" w:fill="FFFFFF"/>
          <w:vertAlign w:val="baseline"/>
        </w:rPr>
        <w:t>。</w:t>
      </w:r>
      <w:r>
        <w:rPr>
          <w:rStyle w:val="26"/>
          <w:rFonts w:hint="eastAsia" w:ascii="仿宋_GB2312" w:hAnsi="仿宋_GB2312" w:eastAsia="仿宋_GB2312" w:cs="仿宋_GB2312"/>
          <w:i w:val="0"/>
          <w:iCs w:val="0"/>
          <w:caps w:val="0"/>
          <w:color w:val="auto"/>
          <w:spacing w:val="0"/>
          <w:sz w:val="28"/>
          <w:szCs w:val="28"/>
          <w:highlight w:val="none"/>
          <w:u w:val="single"/>
          <w:shd w:val="clear" w:color="auto" w:fill="FFFFFF"/>
          <w:vertAlign w:val="baseline"/>
        </w:rPr>
        <w:t>（产品名称1）</w:t>
      </w:r>
      <w:r>
        <w:rPr>
          <w:rFonts w:hint="eastAsia" w:ascii="仿宋_GB2312" w:hAnsi="仿宋_GB2312" w:eastAsia="仿宋_GB2312" w:cs="仿宋_GB2312"/>
          <w:i w:val="0"/>
          <w:iCs w:val="0"/>
          <w:caps w:val="0"/>
          <w:color w:val="auto"/>
          <w:spacing w:val="0"/>
          <w:sz w:val="28"/>
          <w:szCs w:val="28"/>
          <w:highlight w:val="none"/>
          <w:shd w:val="clear" w:color="auto" w:fill="FFFFFF"/>
          <w:vertAlign w:val="baseline"/>
        </w:rPr>
        <w:t>的中国境内生产的组件成本占比≥</w:t>
      </w:r>
      <w:r>
        <w:rPr>
          <w:rStyle w:val="26"/>
          <w:rFonts w:hint="eastAsia" w:ascii="仿宋_GB2312" w:hAnsi="仿宋_GB2312" w:eastAsia="仿宋_GB2312" w:cs="仿宋_GB2312"/>
          <w:i w:val="0"/>
          <w:iCs w:val="0"/>
          <w:caps w:val="0"/>
          <w:color w:val="auto"/>
          <w:spacing w:val="0"/>
          <w:sz w:val="28"/>
          <w:szCs w:val="28"/>
          <w:highlight w:val="none"/>
          <w:u w:val="single"/>
          <w:shd w:val="clear" w:color="auto" w:fill="FFFFFF"/>
          <w:vertAlign w:val="baseline"/>
        </w:rPr>
        <w:t>（规定比例）</w:t>
      </w:r>
      <w:r>
        <w:rPr>
          <w:rStyle w:val="26"/>
          <w:rFonts w:hint="eastAsia" w:ascii="仿宋_GB2312" w:hAnsi="仿宋_GB2312" w:eastAsia="仿宋_GB2312" w:cs="仿宋_GB2312"/>
          <w:i w:val="0"/>
          <w:iCs w:val="0"/>
          <w:caps w:val="0"/>
          <w:color w:val="auto"/>
          <w:spacing w:val="0"/>
          <w:sz w:val="28"/>
          <w:szCs w:val="28"/>
          <w:highlight w:val="none"/>
          <w:shd w:val="clear" w:color="auto" w:fill="FFFFFF"/>
          <w:vertAlign w:val="superscript"/>
        </w:rPr>
        <w:t>3</w:t>
      </w:r>
      <w:r>
        <w:rPr>
          <w:rFonts w:hint="eastAsia" w:ascii="仿宋_GB2312" w:hAnsi="仿宋_GB2312" w:eastAsia="仿宋_GB2312" w:cs="仿宋_GB2312"/>
          <w:i w:val="0"/>
          <w:iCs w:val="0"/>
          <w:caps w:val="0"/>
          <w:color w:val="auto"/>
          <w:spacing w:val="0"/>
          <w:sz w:val="28"/>
          <w:szCs w:val="28"/>
          <w:highlight w:val="none"/>
          <w:shd w:val="clear" w:color="auto" w:fill="FFFFFF"/>
          <w:vertAlign w:val="baseline"/>
        </w:rPr>
        <w:t>。</w:t>
      </w:r>
      <w:r>
        <w:rPr>
          <w:rStyle w:val="26"/>
          <w:rFonts w:hint="eastAsia" w:ascii="仿宋_GB2312" w:hAnsi="仿宋_GB2312" w:eastAsia="仿宋_GB2312" w:cs="仿宋_GB2312"/>
          <w:i w:val="0"/>
          <w:iCs w:val="0"/>
          <w:caps w:val="0"/>
          <w:color w:val="auto"/>
          <w:spacing w:val="0"/>
          <w:sz w:val="28"/>
          <w:szCs w:val="28"/>
          <w:highlight w:val="none"/>
          <w:u w:val="single"/>
          <w:shd w:val="clear" w:color="auto" w:fill="FFFFFF"/>
          <w:vertAlign w:val="baseline"/>
        </w:rPr>
        <w:t>（产品名称1）</w:t>
      </w:r>
      <w:r>
        <w:rPr>
          <w:rFonts w:hint="eastAsia" w:ascii="仿宋_GB2312" w:hAnsi="仿宋_GB2312" w:eastAsia="仿宋_GB2312" w:cs="仿宋_GB2312"/>
          <w:i w:val="0"/>
          <w:iCs w:val="0"/>
          <w:caps w:val="0"/>
          <w:color w:val="auto"/>
          <w:spacing w:val="0"/>
          <w:sz w:val="28"/>
          <w:szCs w:val="28"/>
          <w:highlight w:val="none"/>
          <w:shd w:val="clear" w:color="auto" w:fill="FFFFFF"/>
          <w:vertAlign w:val="baseline"/>
        </w:rPr>
        <w:t>的</w:t>
      </w:r>
      <w:r>
        <w:rPr>
          <w:rStyle w:val="26"/>
          <w:rFonts w:hint="eastAsia" w:ascii="仿宋_GB2312" w:hAnsi="仿宋_GB2312" w:eastAsia="仿宋_GB2312" w:cs="仿宋_GB2312"/>
          <w:i w:val="0"/>
          <w:iCs w:val="0"/>
          <w:caps w:val="0"/>
          <w:color w:val="auto"/>
          <w:spacing w:val="0"/>
          <w:sz w:val="28"/>
          <w:szCs w:val="28"/>
          <w:highlight w:val="none"/>
          <w:shd w:val="clear" w:color="auto" w:fill="FFFFFF"/>
          <w:vertAlign w:val="baseline"/>
        </w:rPr>
        <w:t>（关键组件）</w:t>
      </w:r>
      <w:r>
        <w:rPr>
          <w:rStyle w:val="26"/>
          <w:rFonts w:hint="eastAsia" w:ascii="仿宋_GB2312" w:hAnsi="仿宋_GB2312" w:eastAsia="仿宋_GB2312" w:cs="仿宋_GB2312"/>
          <w:i w:val="0"/>
          <w:iCs w:val="0"/>
          <w:caps w:val="0"/>
          <w:color w:val="auto"/>
          <w:spacing w:val="0"/>
          <w:sz w:val="28"/>
          <w:szCs w:val="28"/>
          <w:highlight w:val="none"/>
          <w:shd w:val="clear" w:color="auto" w:fill="FFFFFF"/>
          <w:vertAlign w:val="superscript"/>
        </w:rPr>
        <w:t>4</w:t>
      </w:r>
      <w:r>
        <w:rPr>
          <w:rFonts w:hint="eastAsia" w:ascii="仿宋_GB2312" w:hAnsi="仿宋_GB2312" w:eastAsia="仿宋_GB2312" w:cs="仿宋_GB2312"/>
          <w:i w:val="0"/>
          <w:iCs w:val="0"/>
          <w:caps w:val="0"/>
          <w:color w:val="auto"/>
          <w:spacing w:val="0"/>
          <w:sz w:val="28"/>
          <w:szCs w:val="28"/>
          <w:highlight w:val="none"/>
          <w:shd w:val="clear" w:color="auto" w:fill="FFFFFF"/>
          <w:vertAlign w:val="baseline"/>
        </w:rPr>
        <w:t>在中国境内生产。</w:t>
      </w:r>
      <w:r>
        <w:rPr>
          <w:rStyle w:val="26"/>
          <w:rFonts w:hint="eastAsia" w:ascii="仿宋_GB2312" w:hAnsi="仿宋_GB2312" w:eastAsia="仿宋_GB2312" w:cs="仿宋_GB2312"/>
          <w:i w:val="0"/>
          <w:iCs w:val="0"/>
          <w:caps w:val="0"/>
          <w:color w:val="auto"/>
          <w:spacing w:val="0"/>
          <w:sz w:val="28"/>
          <w:szCs w:val="28"/>
          <w:highlight w:val="none"/>
          <w:u w:val="single"/>
          <w:shd w:val="clear" w:color="auto" w:fill="FFFFFF"/>
          <w:vertAlign w:val="baseline"/>
        </w:rPr>
        <w:t>（产品名称1）</w:t>
      </w:r>
      <w:r>
        <w:rPr>
          <w:rFonts w:hint="eastAsia" w:ascii="仿宋_GB2312" w:hAnsi="仿宋_GB2312" w:eastAsia="仿宋_GB2312" w:cs="仿宋_GB2312"/>
          <w:i w:val="0"/>
          <w:iCs w:val="0"/>
          <w:caps w:val="0"/>
          <w:color w:val="auto"/>
          <w:spacing w:val="0"/>
          <w:sz w:val="28"/>
          <w:szCs w:val="28"/>
          <w:highlight w:val="none"/>
          <w:shd w:val="clear" w:color="auto" w:fill="FFFFFF"/>
          <w:vertAlign w:val="baseline"/>
        </w:rPr>
        <w:t>的</w:t>
      </w:r>
      <w:r>
        <w:rPr>
          <w:rStyle w:val="26"/>
          <w:rFonts w:hint="eastAsia" w:ascii="仿宋_GB2312" w:hAnsi="仿宋_GB2312" w:eastAsia="仿宋_GB2312" w:cs="仿宋_GB2312"/>
          <w:i w:val="0"/>
          <w:iCs w:val="0"/>
          <w:caps w:val="0"/>
          <w:color w:val="auto"/>
          <w:spacing w:val="0"/>
          <w:sz w:val="28"/>
          <w:szCs w:val="28"/>
          <w:highlight w:val="none"/>
          <w:shd w:val="clear" w:color="auto" w:fill="FFFFFF"/>
          <w:vertAlign w:val="baseline"/>
        </w:rPr>
        <w:t>（关键工序）</w:t>
      </w:r>
      <w:r>
        <w:rPr>
          <w:rStyle w:val="26"/>
          <w:rFonts w:hint="eastAsia" w:ascii="仿宋_GB2312" w:hAnsi="仿宋_GB2312" w:eastAsia="仿宋_GB2312" w:cs="仿宋_GB2312"/>
          <w:i w:val="0"/>
          <w:iCs w:val="0"/>
          <w:caps w:val="0"/>
          <w:color w:val="auto"/>
          <w:spacing w:val="0"/>
          <w:sz w:val="28"/>
          <w:szCs w:val="28"/>
          <w:highlight w:val="none"/>
          <w:shd w:val="clear" w:color="auto" w:fill="FFFFFF"/>
          <w:vertAlign w:val="superscript"/>
        </w:rPr>
        <w:t>5</w:t>
      </w:r>
      <w:r>
        <w:rPr>
          <w:rFonts w:hint="eastAsia" w:ascii="仿宋_GB2312" w:hAnsi="仿宋_GB2312" w:eastAsia="仿宋_GB2312" w:cs="仿宋_GB2312"/>
          <w:i w:val="0"/>
          <w:iCs w:val="0"/>
          <w:caps w:val="0"/>
          <w:color w:val="auto"/>
          <w:spacing w:val="0"/>
          <w:sz w:val="28"/>
          <w:szCs w:val="28"/>
          <w:highlight w:val="none"/>
          <w:shd w:val="clear" w:color="auto" w:fill="FFFFFF"/>
          <w:vertAlign w:val="baseline"/>
        </w:rPr>
        <w:t>在中国境内完成。</w:t>
      </w:r>
    </w:p>
    <w:p w14:paraId="3F5CAB6A">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60" w:lineRule="exact"/>
        <w:ind w:right="0" w:firstLine="560" w:firstLineChars="200"/>
        <w:textAlignment w:val="baseline"/>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vertAlign w:val="baseline"/>
        </w:rPr>
        <w:t>2.</w:t>
      </w:r>
      <w:r>
        <w:rPr>
          <w:rStyle w:val="26"/>
          <w:rFonts w:hint="eastAsia" w:ascii="仿宋_GB2312" w:hAnsi="仿宋_GB2312" w:eastAsia="仿宋_GB2312" w:cs="仿宋_GB2312"/>
          <w:i w:val="0"/>
          <w:iCs w:val="0"/>
          <w:caps w:val="0"/>
          <w:color w:val="auto"/>
          <w:spacing w:val="0"/>
          <w:sz w:val="28"/>
          <w:szCs w:val="28"/>
          <w:highlight w:val="none"/>
          <w:u w:val="single"/>
          <w:shd w:val="clear" w:color="auto" w:fill="FFFFFF"/>
          <w:vertAlign w:val="baseline"/>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vertAlign w:val="baseline"/>
        </w:rPr>
        <w:t>，生产厂为</w:t>
      </w:r>
      <w:r>
        <w:rPr>
          <w:rStyle w:val="26"/>
          <w:rFonts w:hint="eastAsia" w:ascii="仿宋_GB2312" w:hAnsi="仿宋_GB2312" w:eastAsia="仿宋_GB2312" w:cs="仿宋_GB2312"/>
          <w:i w:val="0"/>
          <w:iCs w:val="0"/>
          <w:caps w:val="0"/>
          <w:color w:val="auto"/>
          <w:spacing w:val="0"/>
          <w:sz w:val="28"/>
          <w:szCs w:val="28"/>
          <w:highlight w:val="none"/>
          <w:u w:val="single"/>
          <w:shd w:val="clear" w:color="auto" w:fill="FFFFFF"/>
          <w:vertAlign w:val="baseline"/>
        </w:rPr>
        <w:t>（厂名）</w:t>
      </w:r>
      <w:r>
        <w:rPr>
          <w:rFonts w:hint="eastAsia" w:ascii="仿宋_GB2312" w:hAnsi="仿宋_GB2312" w:eastAsia="仿宋_GB2312" w:cs="仿宋_GB2312"/>
          <w:i w:val="0"/>
          <w:iCs w:val="0"/>
          <w:caps w:val="0"/>
          <w:color w:val="auto"/>
          <w:spacing w:val="0"/>
          <w:sz w:val="28"/>
          <w:szCs w:val="28"/>
          <w:highlight w:val="none"/>
          <w:shd w:val="clear" w:color="auto" w:fill="FFFFFF"/>
          <w:vertAlign w:val="baseline"/>
        </w:rPr>
        <w:t>，厂址为</w:t>
      </w:r>
      <w:r>
        <w:rPr>
          <w:rStyle w:val="26"/>
          <w:rFonts w:hint="eastAsia" w:ascii="仿宋_GB2312" w:hAnsi="仿宋_GB2312" w:eastAsia="仿宋_GB2312" w:cs="仿宋_GB2312"/>
          <w:i w:val="0"/>
          <w:iCs w:val="0"/>
          <w:caps w:val="0"/>
          <w:color w:val="auto"/>
          <w:spacing w:val="0"/>
          <w:sz w:val="28"/>
          <w:szCs w:val="28"/>
          <w:highlight w:val="none"/>
          <w:u w:val="single"/>
          <w:shd w:val="clear" w:color="auto" w:fill="FFFFFF"/>
          <w:vertAlign w:val="baseline"/>
        </w:rPr>
        <w:t>（生产厂址）</w:t>
      </w:r>
      <w:r>
        <w:rPr>
          <w:rFonts w:hint="eastAsia" w:ascii="仿宋_GB2312" w:hAnsi="仿宋_GB2312" w:eastAsia="仿宋_GB2312" w:cs="仿宋_GB2312"/>
          <w:i w:val="0"/>
          <w:iCs w:val="0"/>
          <w:caps w:val="0"/>
          <w:color w:val="auto"/>
          <w:spacing w:val="0"/>
          <w:sz w:val="28"/>
          <w:szCs w:val="28"/>
          <w:highlight w:val="none"/>
          <w:shd w:val="clear" w:color="auto" w:fill="FFFFFF"/>
          <w:vertAlign w:val="baseline"/>
        </w:rPr>
        <w:t>。</w:t>
      </w:r>
      <w:r>
        <w:rPr>
          <w:rStyle w:val="26"/>
          <w:rFonts w:hint="eastAsia" w:ascii="仿宋_GB2312" w:hAnsi="仿宋_GB2312" w:eastAsia="仿宋_GB2312" w:cs="仿宋_GB2312"/>
          <w:i w:val="0"/>
          <w:iCs w:val="0"/>
          <w:caps w:val="0"/>
          <w:color w:val="auto"/>
          <w:spacing w:val="0"/>
          <w:sz w:val="28"/>
          <w:szCs w:val="28"/>
          <w:highlight w:val="none"/>
          <w:u w:val="single"/>
          <w:shd w:val="clear" w:color="auto" w:fill="FFFFFF"/>
          <w:vertAlign w:val="baseline"/>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vertAlign w:val="baseline"/>
        </w:rPr>
        <w:t>的中国境内生产的组件成本占比≥</w:t>
      </w:r>
      <w:r>
        <w:rPr>
          <w:rStyle w:val="26"/>
          <w:rFonts w:hint="eastAsia" w:ascii="仿宋_GB2312" w:hAnsi="仿宋_GB2312" w:eastAsia="仿宋_GB2312" w:cs="仿宋_GB2312"/>
          <w:i w:val="0"/>
          <w:iCs w:val="0"/>
          <w:caps w:val="0"/>
          <w:color w:val="auto"/>
          <w:spacing w:val="0"/>
          <w:sz w:val="28"/>
          <w:szCs w:val="28"/>
          <w:highlight w:val="none"/>
          <w:u w:val="single"/>
          <w:shd w:val="clear" w:color="auto" w:fill="FFFFFF"/>
          <w:vertAlign w:val="baseline"/>
        </w:rPr>
        <w:t>（规定比例）</w:t>
      </w:r>
      <w:r>
        <w:rPr>
          <w:rFonts w:hint="eastAsia" w:ascii="仿宋_GB2312" w:hAnsi="仿宋_GB2312" w:eastAsia="仿宋_GB2312" w:cs="仿宋_GB2312"/>
          <w:i w:val="0"/>
          <w:iCs w:val="0"/>
          <w:caps w:val="0"/>
          <w:color w:val="auto"/>
          <w:spacing w:val="0"/>
          <w:sz w:val="28"/>
          <w:szCs w:val="28"/>
          <w:highlight w:val="none"/>
          <w:shd w:val="clear" w:color="auto" w:fill="FFFFFF"/>
          <w:vertAlign w:val="baseline"/>
        </w:rPr>
        <w:t>。</w:t>
      </w:r>
      <w:r>
        <w:rPr>
          <w:rStyle w:val="26"/>
          <w:rFonts w:hint="eastAsia" w:ascii="仿宋_GB2312" w:hAnsi="仿宋_GB2312" w:eastAsia="仿宋_GB2312" w:cs="仿宋_GB2312"/>
          <w:i w:val="0"/>
          <w:iCs w:val="0"/>
          <w:caps w:val="0"/>
          <w:color w:val="auto"/>
          <w:spacing w:val="0"/>
          <w:sz w:val="28"/>
          <w:szCs w:val="28"/>
          <w:highlight w:val="none"/>
          <w:u w:val="single"/>
          <w:shd w:val="clear" w:color="auto" w:fill="FFFFFF"/>
          <w:vertAlign w:val="baseline"/>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vertAlign w:val="baseline"/>
        </w:rPr>
        <w:t>的</w:t>
      </w:r>
      <w:r>
        <w:rPr>
          <w:rStyle w:val="26"/>
          <w:rFonts w:hint="eastAsia" w:ascii="仿宋_GB2312" w:hAnsi="仿宋_GB2312" w:eastAsia="仿宋_GB2312" w:cs="仿宋_GB2312"/>
          <w:i w:val="0"/>
          <w:iCs w:val="0"/>
          <w:caps w:val="0"/>
          <w:color w:val="auto"/>
          <w:spacing w:val="0"/>
          <w:sz w:val="28"/>
          <w:szCs w:val="28"/>
          <w:highlight w:val="none"/>
          <w:u w:val="single"/>
          <w:shd w:val="clear" w:color="auto" w:fill="FFFFFF"/>
          <w:vertAlign w:val="baseline"/>
        </w:rPr>
        <w:t>（关键组件）</w:t>
      </w:r>
      <w:r>
        <w:rPr>
          <w:rFonts w:hint="eastAsia" w:ascii="仿宋_GB2312" w:hAnsi="仿宋_GB2312" w:eastAsia="仿宋_GB2312" w:cs="仿宋_GB2312"/>
          <w:i w:val="0"/>
          <w:iCs w:val="0"/>
          <w:caps w:val="0"/>
          <w:color w:val="auto"/>
          <w:spacing w:val="0"/>
          <w:sz w:val="28"/>
          <w:szCs w:val="28"/>
          <w:highlight w:val="none"/>
          <w:shd w:val="clear" w:color="auto" w:fill="FFFFFF"/>
          <w:vertAlign w:val="baseline"/>
        </w:rPr>
        <w:t>在中国境内生产。</w:t>
      </w:r>
      <w:r>
        <w:rPr>
          <w:rStyle w:val="26"/>
          <w:rFonts w:hint="eastAsia" w:ascii="仿宋_GB2312" w:hAnsi="仿宋_GB2312" w:eastAsia="仿宋_GB2312" w:cs="仿宋_GB2312"/>
          <w:i w:val="0"/>
          <w:iCs w:val="0"/>
          <w:caps w:val="0"/>
          <w:color w:val="auto"/>
          <w:spacing w:val="0"/>
          <w:sz w:val="28"/>
          <w:szCs w:val="28"/>
          <w:highlight w:val="none"/>
          <w:u w:val="single"/>
          <w:shd w:val="clear" w:color="auto" w:fill="FFFFFF"/>
          <w:vertAlign w:val="baseline"/>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vertAlign w:val="baseline"/>
        </w:rPr>
        <w:t>的</w:t>
      </w:r>
      <w:r>
        <w:rPr>
          <w:rStyle w:val="26"/>
          <w:rFonts w:hint="eastAsia" w:ascii="仿宋_GB2312" w:hAnsi="仿宋_GB2312" w:eastAsia="仿宋_GB2312" w:cs="仿宋_GB2312"/>
          <w:i w:val="0"/>
          <w:iCs w:val="0"/>
          <w:caps w:val="0"/>
          <w:color w:val="auto"/>
          <w:spacing w:val="0"/>
          <w:sz w:val="28"/>
          <w:szCs w:val="28"/>
          <w:highlight w:val="none"/>
          <w:u w:val="single"/>
          <w:shd w:val="clear" w:color="auto" w:fill="FFFFFF"/>
          <w:vertAlign w:val="baseline"/>
        </w:rPr>
        <w:t>（关键工序）</w:t>
      </w:r>
      <w:r>
        <w:rPr>
          <w:rFonts w:hint="eastAsia" w:ascii="仿宋_GB2312" w:hAnsi="仿宋_GB2312" w:eastAsia="仿宋_GB2312" w:cs="仿宋_GB2312"/>
          <w:i w:val="0"/>
          <w:iCs w:val="0"/>
          <w:caps w:val="0"/>
          <w:color w:val="auto"/>
          <w:spacing w:val="0"/>
          <w:sz w:val="28"/>
          <w:szCs w:val="28"/>
          <w:highlight w:val="none"/>
          <w:shd w:val="clear" w:color="auto" w:fill="FFFFFF"/>
          <w:vertAlign w:val="baseline"/>
        </w:rPr>
        <w:t>在中国境内完成。</w:t>
      </w:r>
    </w:p>
    <w:p w14:paraId="53ECEE44">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60" w:lineRule="exact"/>
        <w:ind w:right="0" w:firstLine="560" w:firstLineChars="200"/>
        <w:textAlignment w:val="baseline"/>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vertAlign w:val="baseline"/>
        </w:rPr>
        <w:t>……</w:t>
      </w:r>
    </w:p>
    <w:p w14:paraId="6AFBA79C">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60" w:lineRule="exact"/>
        <w:ind w:right="0" w:firstLine="560" w:firstLineChars="200"/>
        <w:textAlignment w:val="baseline"/>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vertAlign w:val="baseline"/>
        </w:rPr>
        <w:t>本公司（单位）对上述声明内容的真实性负责。如有虚假，愿承担相应法律责任。</w:t>
      </w:r>
    </w:p>
    <w:p w14:paraId="7E2FCE33">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0"/>
        <w:jc w:val="right"/>
        <w:textAlignment w:val="baseline"/>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vertAlign w:val="baseline"/>
        </w:rPr>
        <w:t> 公司（单位）名称（盖章）：　        </w:t>
      </w:r>
    </w:p>
    <w:p w14:paraId="0B9330A2">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0"/>
        <w:jc w:val="right"/>
        <w:textAlignment w:val="baseline"/>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vertAlign w:val="baseline"/>
        </w:rPr>
        <w:t>日期：　   年　  月　  日         </w:t>
      </w:r>
    </w:p>
    <w:p w14:paraId="23A21D3E">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0"/>
        <w:textAlignment w:val="baseline"/>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vertAlign w:val="baseline"/>
        </w:rPr>
        <w:t>__________________</w:t>
      </w:r>
    </w:p>
    <w:p w14:paraId="3E4435C7">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00" w:lineRule="atLeast"/>
        <w:ind w:left="0" w:right="0" w:firstLine="420"/>
        <w:textAlignment w:val="baseline"/>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vertAlign w:val="baseline"/>
        </w:rPr>
        <w:t>1.产品如有型号，请在“产品名称”栏一并填写。</w:t>
      </w:r>
    </w:p>
    <w:p w14:paraId="73732D60">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00" w:lineRule="atLeast"/>
        <w:ind w:left="0" w:right="0" w:firstLine="420"/>
        <w:textAlignment w:val="baseline"/>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vertAlign w:val="baseline"/>
        </w:rPr>
        <w:t>2.生产厂名与厂址应与生产厂营业执照载明的相关信息保持一致。</w:t>
      </w:r>
    </w:p>
    <w:p w14:paraId="3D22C74E">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00" w:lineRule="atLeast"/>
        <w:ind w:left="0" w:right="0" w:firstLine="420"/>
        <w:textAlignment w:val="baseline"/>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vertAlign w:val="baseline"/>
        </w:rPr>
        <w:t>3.该产品的中国境内生产的组件成本占比相关要求实施前，“规定比例”栏可不填，下同。</w:t>
      </w:r>
    </w:p>
    <w:p w14:paraId="43AAE68F">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00" w:lineRule="atLeast"/>
        <w:ind w:left="0" w:right="0" w:firstLine="420"/>
        <w:textAlignment w:val="baseline"/>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vertAlign w:val="baseline"/>
        </w:rPr>
        <w:t>4.该产品的关键组件要求实施前，“关键组件”栏可不填，下同。</w:t>
      </w:r>
    </w:p>
    <w:p w14:paraId="4DD4224A">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00" w:lineRule="atLeast"/>
        <w:ind w:left="0" w:right="0" w:firstLine="420"/>
        <w:textAlignment w:val="baseline"/>
        <w:rPr>
          <w:color w:val="auto"/>
          <w:highlight w:val="none"/>
        </w:rPr>
      </w:pPr>
      <w:r>
        <w:rPr>
          <w:rFonts w:hint="eastAsia" w:ascii="宋体" w:hAnsi="宋体" w:eastAsia="宋体" w:cs="宋体"/>
          <w:i w:val="0"/>
          <w:iCs w:val="0"/>
          <w:caps w:val="0"/>
          <w:color w:val="auto"/>
          <w:spacing w:val="0"/>
          <w:sz w:val="21"/>
          <w:szCs w:val="21"/>
          <w:highlight w:val="none"/>
          <w:shd w:val="clear" w:color="auto" w:fill="FFFFFF"/>
          <w:vertAlign w:val="baseline"/>
        </w:rPr>
        <w:t>5.该产品的关键工序要求实施前，“关键工序”栏可不填，下同。</w:t>
      </w:r>
    </w:p>
    <w:p w14:paraId="644C208A">
      <w:pPr>
        <w:autoSpaceDE w:val="0"/>
        <w:autoSpaceDN w:val="0"/>
        <w:jc w:val="left"/>
        <w:rPr>
          <w:rFonts w:hint="eastAsia" w:ascii="仿宋_GB2312" w:hAnsi="宋体" w:eastAsia="仿宋_GB2312" w:cs="Lucida Sans Unicode"/>
          <w:color w:val="auto"/>
          <w:highlight w:val="none"/>
        </w:rPr>
      </w:pPr>
    </w:p>
    <w:p w14:paraId="4B2DC1B4">
      <w:pPr>
        <w:autoSpaceDE w:val="0"/>
        <w:autoSpaceDN w:val="0"/>
        <w:jc w:val="left"/>
        <w:rPr>
          <w:rFonts w:hint="eastAsia" w:ascii="仿宋_GB2312" w:hAnsi="宋体" w:eastAsia="仿宋_GB2312" w:cs="Lucida Sans Unicode"/>
          <w:color w:val="auto"/>
          <w:highlight w:val="none"/>
        </w:rPr>
      </w:pPr>
    </w:p>
    <w:p w14:paraId="2155082D">
      <w:pPr>
        <w:autoSpaceDE w:val="0"/>
        <w:autoSpaceDN w:val="0"/>
        <w:jc w:val="left"/>
        <w:rPr>
          <w:rFonts w:hint="eastAsia" w:ascii="仿宋_GB2312" w:hAnsi="宋体" w:eastAsia="仿宋_GB2312" w:cs="Lucida Sans Unicode"/>
          <w:color w:val="auto"/>
          <w:highlight w:val="none"/>
        </w:rPr>
      </w:pPr>
    </w:p>
    <w:p w14:paraId="3E1DCEF2">
      <w:pPr>
        <w:spacing w:line="360" w:lineRule="auto"/>
        <w:rPr>
          <w:rFonts w:hint="default" w:ascii="仿宋_GB2312" w:hAnsi="宋体" w:eastAsia="仿宋_GB2312" w:cs="Lucida Sans Unicode"/>
          <w:color w:val="auto"/>
          <w:sz w:val="28"/>
          <w:szCs w:val="28"/>
          <w:highlight w:val="none"/>
          <w:lang w:val="en-US" w:eastAsia="zh-CN"/>
        </w:rPr>
      </w:pPr>
      <w:r>
        <w:rPr>
          <w:rFonts w:hint="eastAsia" w:ascii="仿宋_GB2312" w:hAnsi="宋体" w:eastAsia="仿宋_GB2312" w:cs="Lucida Sans Unicode"/>
          <w:color w:val="auto"/>
          <w:sz w:val="28"/>
          <w:szCs w:val="28"/>
          <w:highlight w:val="none"/>
        </w:rPr>
        <w:t>格式1</w:t>
      </w:r>
      <w:r>
        <w:rPr>
          <w:rFonts w:hint="eastAsia" w:ascii="仿宋_GB2312" w:hAnsi="宋体" w:eastAsia="仿宋_GB2312" w:cs="Lucida Sans Unicode"/>
          <w:color w:val="auto"/>
          <w:sz w:val="28"/>
          <w:szCs w:val="28"/>
          <w:highlight w:val="none"/>
          <w:lang w:val="en-US" w:eastAsia="zh-CN"/>
        </w:rPr>
        <w:t>6</w:t>
      </w:r>
    </w:p>
    <w:p w14:paraId="2A8A87FC">
      <w:pPr>
        <w:autoSpaceDE w:val="0"/>
        <w:autoSpaceDN w:val="0"/>
        <w:jc w:val="center"/>
        <w:rPr>
          <w:rFonts w:ascii="黑体" w:eastAsia="黑体"/>
          <w:color w:val="auto"/>
          <w:sz w:val="28"/>
          <w:szCs w:val="28"/>
          <w:highlight w:val="none"/>
        </w:rPr>
      </w:pPr>
      <w:r>
        <w:rPr>
          <w:rFonts w:hint="eastAsia" w:ascii="黑体" w:eastAsia="黑体"/>
          <w:color w:val="auto"/>
          <w:sz w:val="28"/>
          <w:szCs w:val="28"/>
          <w:highlight w:val="none"/>
        </w:rPr>
        <w:t>评分标准中要求的各项方案</w:t>
      </w:r>
    </w:p>
    <w:p w14:paraId="78F7C0A6">
      <w:pPr>
        <w:autoSpaceDE w:val="0"/>
        <w:autoSpaceDN w:val="0"/>
        <w:jc w:val="center"/>
        <w:rPr>
          <w:rFonts w:ascii="黑体" w:eastAsia="黑体"/>
          <w:color w:val="auto"/>
          <w:sz w:val="28"/>
          <w:szCs w:val="28"/>
          <w:highlight w:val="none"/>
        </w:rPr>
      </w:pPr>
    </w:p>
    <w:p w14:paraId="61841DE2">
      <w:pPr>
        <w:spacing w:line="360" w:lineRule="auto"/>
        <w:ind w:firstLine="600" w:firstLineChars="200"/>
        <w:rPr>
          <w:rFonts w:hint="eastAsia" w:ascii="仿宋_GB2312" w:eastAsia="仿宋_GB2312"/>
          <w:color w:val="auto"/>
          <w:sz w:val="30"/>
          <w:szCs w:val="30"/>
          <w:highlight w:val="none"/>
        </w:rPr>
      </w:pPr>
      <w:r>
        <w:rPr>
          <w:rFonts w:hint="eastAsia" w:ascii="仿宋_GB2312" w:eastAsia="仿宋_GB2312"/>
          <w:color w:val="auto"/>
          <w:sz w:val="30"/>
          <w:szCs w:val="30"/>
          <w:highlight w:val="none"/>
        </w:rPr>
        <w:t>根据</w:t>
      </w:r>
      <w:r>
        <w:rPr>
          <w:rFonts w:hint="eastAsia" w:ascii="仿宋_GB2312" w:eastAsia="仿宋_GB2312"/>
          <w:color w:val="auto"/>
          <w:sz w:val="30"/>
          <w:szCs w:val="30"/>
          <w:highlight w:val="none"/>
          <w:lang w:val="en-US" w:eastAsia="zh-CN"/>
        </w:rPr>
        <w:t>磋商</w:t>
      </w:r>
      <w:r>
        <w:rPr>
          <w:rFonts w:hint="eastAsia" w:ascii="仿宋_GB2312" w:eastAsia="仿宋_GB2312"/>
          <w:color w:val="auto"/>
          <w:sz w:val="30"/>
          <w:szCs w:val="30"/>
          <w:highlight w:val="none"/>
        </w:rPr>
        <w:t>文件评审方法和标准及第三</w:t>
      </w:r>
      <w:r>
        <w:rPr>
          <w:rFonts w:hint="eastAsia" w:ascii="仿宋_GB2312" w:eastAsia="仿宋_GB2312"/>
          <w:color w:val="auto"/>
          <w:sz w:val="30"/>
          <w:szCs w:val="30"/>
          <w:highlight w:val="none"/>
          <w:lang w:val="en-US" w:eastAsia="zh-CN"/>
        </w:rPr>
        <w:t>部分</w:t>
      </w:r>
      <w:r>
        <w:rPr>
          <w:rFonts w:hint="eastAsia" w:ascii="仿宋_GB2312" w:eastAsia="仿宋_GB2312"/>
          <w:color w:val="auto"/>
          <w:sz w:val="30"/>
          <w:szCs w:val="30"/>
          <w:highlight w:val="none"/>
        </w:rPr>
        <w:t>采购项目内容及要求的各项要求编制。</w:t>
      </w:r>
    </w:p>
    <w:p w14:paraId="77EFC454">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baseline"/>
        <w:rPr>
          <w:rFonts w:hint="eastAsia" w:ascii="仿宋" w:hAnsi="仿宋" w:eastAsia="仿宋" w:cs="仿宋"/>
          <w:color w:val="auto"/>
          <w:sz w:val="28"/>
          <w:szCs w:val="28"/>
          <w:highlight w:val="none"/>
          <w:lang w:val="en-US" w:eastAsia="zh-CN"/>
        </w:rPr>
      </w:pPr>
    </w:p>
    <w:p w14:paraId="12CBDACA">
      <w:pPr>
        <w:spacing w:line="360" w:lineRule="auto"/>
        <w:jc w:val="center"/>
        <w:rPr>
          <w:rFonts w:hint="eastAsia" w:ascii="黑体" w:hAnsi="黑体" w:eastAsia="黑体" w:cs="黑体"/>
          <w:b/>
          <w:bCs/>
          <w:color w:val="auto"/>
          <w:sz w:val="28"/>
          <w:szCs w:val="28"/>
          <w:highlight w:val="none"/>
        </w:rPr>
      </w:pPr>
    </w:p>
    <w:p w14:paraId="2C97AC25">
      <w:pPr>
        <w:rPr>
          <w:rFonts w:hint="eastAsia"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br w:type="page"/>
      </w:r>
    </w:p>
    <w:p w14:paraId="440FB249">
      <w:pPr>
        <w:spacing w:line="360" w:lineRule="auto"/>
        <w:jc w:val="center"/>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第五</w:t>
      </w:r>
      <w:r>
        <w:rPr>
          <w:rFonts w:hint="eastAsia" w:ascii="黑体" w:hAnsi="黑体" w:eastAsia="黑体" w:cs="黑体"/>
          <w:b/>
          <w:bCs/>
          <w:color w:val="auto"/>
          <w:sz w:val="28"/>
          <w:szCs w:val="28"/>
          <w:highlight w:val="none"/>
          <w:lang w:val="en-US" w:eastAsia="zh-CN"/>
        </w:rPr>
        <w:t>章</w:t>
      </w:r>
      <w:r>
        <w:rPr>
          <w:rFonts w:hint="eastAsia" w:ascii="黑体" w:hAnsi="黑体" w:eastAsia="黑体" w:cs="黑体"/>
          <w:b/>
          <w:bCs/>
          <w:color w:val="auto"/>
          <w:sz w:val="28"/>
          <w:szCs w:val="28"/>
          <w:highlight w:val="none"/>
        </w:rPr>
        <w:t xml:space="preserve">  合同</w:t>
      </w:r>
      <w:r>
        <w:rPr>
          <w:rFonts w:hint="eastAsia" w:ascii="黑体" w:hAnsi="黑体" w:eastAsia="黑体" w:cs="黑体"/>
          <w:b/>
          <w:bCs/>
          <w:color w:val="auto"/>
          <w:sz w:val="28"/>
          <w:szCs w:val="28"/>
          <w:highlight w:val="none"/>
          <w:lang w:eastAsia="zh-CN"/>
        </w:rPr>
        <w:t>主要条款（参考）</w:t>
      </w:r>
      <w:r>
        <w:rPr>
          <w:rFonts w:hint="eastAsia" w:ascii="黑体" w:hAnsi="黑体" w:eastAsia="黑体" w:cs="黑体"/>
          <w:b/>
          <w:bCs/>
          <w:color w:val="auto"/>
          <w:sz w:val="28"/>
          <w:szCs w:val="28"/>
          <w:highlight w:val="none"/>
        </w:rPr>
        <w:t xml:space="preserve"> </w:t>
      </w:r>
    </w:p>
    <w:p w14:paraId="6E92A13E">
      <w:pPr>
        <w:pStyle w:val="9"/>
        <w:rPr>
          <w:color w:val="auto"/>
          <w:sz w:val="28"/>
          <w:szCs w:val="28"/>
          <w:highlight w:val="none"/>
        </w:rPr>
      </w:pPr>
    </w:p>
    <w:p w14:paraId="57C86F39">
      <w:pPr>
        <w:widowControl w:val="0"/>
        <w:wordWrap/>
        <w:adjustRightInd/>
        <w:snapToGrid/>
        <w:spacing w:line="560" w:lineRule="exact"/>
        <w:ind w:firstLine="560" w:firstLineChars="200"/>
        <w:textAlignment w:val="auto"/>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注： 合同签订双方可根据项目的具体要求进行适当修订。但是应当包括采购人与成交供应商的名称和住所、标的、数量、质量、价款或者报酬、履行期限及地点和方式、验收要求、违约责任、解决争议的方法等内容。</w:t>
      </w:r>
    </w:p>
    <w:p w14:paraId="5F082785">
      <w:pPr>
        <w:pStyle w:val="9"/>
        <w:jc w:val="both"/>
        <w:rPr>
          <w:color w:val="auto"/>
          <w:highlight w:val="none"/>
        </w:rPr>
      </w:pPr>
    </w:p>
    <w:p w14:paraId="0012AA2E">
      <w:pPr>
        <w:autoSpaceDE w:val="0"/>
        <w:autoSpaceDN w:val="0"/>
        <w:adjustRightInd w:val="0"/>
        <w:spacing w:line="360" w:lineRule="auto"/>
        <w:jc w:val="center"/>
        <w:rPr>
          <w:rFonts w:ascii="仿宋_GB2312" w:eastAsia="仿宋_GB2312" w:cs="仿宋_GB2312"/>
          <w:b/>
          <w:bCs/>
          <w:color w:val="auto"/>
          <w:kern w:val="0"/>
          <w:sz w:val="30"/>
          <w:szCs w:val="30"/>
          <w:highlight w:val="none"/>
          <w:lang w:val="zh-CN"/>
        </w:rPr>
      </w:pPr>
    </w:p>
    <w:p w14:paraId="375DB7BF">
      <w:pPr>
        <w:autoSpaceDE w:val="0"/>
        <w:autoSpaceDN w:val="0"/>
        <w:adjustRightInd w:val="0"/>
        <w:spacing w:line="360" w:lineRule="auto"/>
        <w:jc w:val="center"/>
        <w:rPr>
          <w:rFonts w:ascii="仿宋_GB2312" w:eastAsia="仿宋_GB2312" w:cs="仿宋_GB2312"/>
          <w:color w:val="auto"/>
          <w:kern w:val="0"/>
          <w:sz w:val="30"/>
          <w:szCs w:val="30"/>
          <w:highlight w:val="none"/>
          <w:lang w:val="zh-CN"/>
        </w:rPr>
      </w:pPr>
    </w:p>
    <w:p w14:paraId="2CD293AD">
      <w:pPr>
        <w:spacing w:line="240" w:lineRule="atLeast"/>
        <w:ind w:firstLine="600" w:firstLineChars="200"/>
        <w:rPr>
          <w:rFonts w:ascii="仿宋_GB2312" w:eastAsia="仿宋_GB2312"/>
          <w:color w:val="auto"/>
          <w:sz w:val="30"/>
          <w:szCs w:val="30"/>
          <w:highlight w:val="none"/>
        </w:rPr>
      </w:pPr>
    </w:p>
    <w:p w14:paraId="579B39C7">
      <w:pPr>
        <w:spacing w:line="240" w:lineRule="atLeast"/>
        <w:ind w:firstLine="600" w:firstLineChars="200"/>
        <w:rPr>
          <w:rFonts w:ascii="仿宋_GB2312" w:eastAsia="仿宋_GB2312"/>
          <w:color w:val="auto"/>
          <w:sz w:val="30"/>
          <w:szCs w:val="30"/>
          <w:highlight w:val="none"/>
        </w:rPr>
      </w:pPr>
    </w:p>
    <w:p w14:paraId="6325FB70">
      <w:pPr>
        <w:spacing w:line="240" w:lineRule="atLeast"/>
        <w:ind w:firstLine="600" w:firstLineChars="200"/>
        <w:rPr>
          <w:rFonts w:ascii="仿宋_GB2312" w:eastAsia="仿宋_GB2312"/>
          <w:color w:val="auto"/>
          <w:sz w:val="30"/>
          <w:szCs w:val="30"/>
          <w:highlight w:val="none"/>
        </w:rPr>
      </w:pPr>
    </w:p>
    <w:p w14:paraId="3F8BDA5E">
      <w:pPr>
        <w:spacing w:line="240" w:lineRule="atLeast"/>
        <w:ind w:firstLine="600" w:firstLineChars="200"/>
        <w:rPr>
          <w:rFonts w:ascii="仿宋_GB2312" w:eastAsia="仿宋_GB2312"/>
          <w:color w:val="auto"/>
          <w:sz w:val="30"/>
          <w:szCs w:val="30"/>
          <w:highlight w:val="none"/>
        </w:rPr>
      </w:pPr>
    </w:p>
    <w:p w14:paraId="0FE6392F">
      <w:pPr>
        <w:spacing w:line="240" w:lineRule="atLeast"/>
        <w:ind w:firstLine="600" w:firstLineChars="200"/>
        <w:rPr>
          <w:rFonts w:ascii="仿宋_GB2312" w:eastAsia="仿宋_GB2312"/>
          <w:color w:val="auto"/>
          <w:sz w:val="30"/>
          <w:szCs w:val="30"/>
          <w:highlight w:val="none"/>
        </w:rPr>
      </w:pPr>
    </w:p>
    <w:p w14:paraId="6E120E76">
      <w:pPr>
        <w:spacing w:line="240" w:lineRule="atLeast"/>
        <w:ind w:firstLine="600" w:firstLineChars="200"/>
        <w:rPr>
          <w:rFonts w:ascii="仿宋_GB2312" w:eastAsia="仿宋_GB2312"/>
          <w:color w:val="auto"/>
          <w:sz w:val="30"/>
          <w:szCs w:val="30"/>
          <w:highlight w:val="none"/>
        </w:rPr>
      </w:pPr>
    </w:p>
    <w:p w14:paraId="04D62661">
      <w:pPr>
        <w:spacing w:line="240" w:lineRule="atLeast"/>
        <w:ind w:firstLine="600" w:firstLineChars="200"/>
        <w:rPr>
          <w:rFonts w:ascii="仿宋_GB2312" w:eastAsia="仿宋_GB2312"/>
          <w:color w:val="auto"/>
          <w:sz w:val="30"/>
          <w:szCs w:val="30"/>
          <w:highlight w:val="none"/>
        </w:rPr>
      </w:pPr>
    </w:p>
    <w:p w14:paraId="15E18266">
      <w:pPr>
        <w:spacing w:line="240" w:lineRule="atLeast"/>
        <w:ind w:firstLine="600" w:firstLineChars="200"/>
        <w:rPr>
          <w:rFonts w:ascii="仿宋_GB2312" w:eastAsia="仿宋_GB2312"/>
          <w:color w:val="auto"/>
          <w:sz w:val="30"/>
          <w:szCs w:val="30"/>
          <w:highlight w:val="none"/>
        </w:rPr>
      </w:pPr>
    </w:p>
    <w:p w14:paraId="65AE4849">
      <w:pPr>
        <w:spacing w:line="240" w:lineRule="atLeast"/>
        <w:ind w:firstLine="600" w:firstLineChars="200"/>
        <w:rPr>
          <w:rFonts w:ascii="仿宋_GB2312" w:eastAsia="仿宋_GB2312"/>
          <w:color w:val="auto"/>
          <w:sz w:val="30"/>
          <w:szCs w:val="30"/>
          <w:highlight w:val="none"/>
        </w:rPr>
      </w:pPr>
    </w:p>
    <w:p w14:paraId="73F8F854">
      <w:pPr>
        <w:spacing w:line="240" w:lineRule="atLeast"/>
        <w:ind w:firstLine="600" w:firstLineChars="200"/>
        <w:rPr>
          <w:rFonts w:ascii="仿宋_GB2312" w:eastAsia="仿宋_GB2312"/>
          <w:color w:val="auto"/>
          <w:sz w:val="30"/>
          <w:szCs w:val="30"/>
          <w:highlight w:val="none"/>
        </w:rPr>
      </w:pPr>
    </w:p>
    <w:p w14:paraId="49A45888">
      <w:pPr>
        <w:spacing w:line="240" w:lineRule="atLeast"/>
        <w:ind w:firstLine="600" w:firstLineChars="200"/>
        <w:rPr>
          <w:rFonts w:ascii="仿宋_GB2312" w:eastAsia="仿宋_GB2312"/>
          <w:color w:val="auto"/>
          <w:sz w:val="30"/>
          <w:szCs w:val="30"/>
          <w:highlight w:val="none"/>
        </w:rPr>
      </w:pPr>
    </w:p>
    <w:p w14:paraId="660EC30D">
      <w:pPr>
        <w:spacing w:line="240" w:lineRule="atLeast"/>
        <w:ind w:firstLine="600" w:firstLineChars="200"/>
        <w:rPr>
          <w:rFonts w:ascii="仿宋_GB2312" w:eastAsia="仿宋_GB2312"/>
          <w:color w:val="auto"/>
          <w:sz w:val="30"/>
          <w:szCs w:val="30"/>
          <w:highlight w:val="none"/>
        </w:rPr>
      </w:pPr>
    </w:p>
    <w:p w14:paraId="4F71C98A">
      <w:pPr>
        <w:pStyle w:val="3"/>
        <w:rPr>
          <w:rFonts w:ascii="仿宋_GB2312" w:eastAsia="仿宋_GB2312"/>
          <w:color w:val="auto"/>
          <w:sz w:val="30"/>
          <w:szCs w:val="30"/>
          <w:highlight w:val="none"/>
        </w:rPr>
      </w:pPr>
    </w:p>
    <w:p w14:paraId="7E595028">
      <w:pPr>
        <w:pStyle w:val="17"/>
        <w:rPr>
          <w:color w:val="auto"/>
          <w:highlight w:val="none"/>
        </w:rPr>
      </w:pPr>
    </w:p>
    <w:p w14:paraId="6024AA4E">
      <w:pPr>
        <w:spacing w:line="240" w:lineRule="atLeast"/>
        <w:ind w:firstLine="560" w:firstLineChars="200"/>
        <w:rPr>
          <w:rFonts w:hint="eastAsia" w:ascii="仿宋_GB2312" w:eastAsia="仿宋_GB2312"/>
          <w:color w:val="auto"/>
          <w:sz w:val="28"/>
          <w:szCs w:val="28"/>
          <w:highlight w:val="none"/>
        </w:rPr>
      </w:pPr>
      <w:bookmarkStart w:id="8" w:name="_Toc310580633"/>
      <w:r>
        <w:rPr>
          <w:rFonts w:hint="eastAsia" w:ascii="仿宋_GB2312" w:eastAsia="仿宋_GB2312"/>
          <w:color w:val="auto"/>
          <w:sz w:val="28"/>
          <w:szCs w:val="28"/>
          <w:highlight w:val="none"/>
        </w:rPr>
        <w:t>甲方（需方）：_________</w:t>
      </w:r>
    </w:p>
    <w:p w14:paraId="1B22FB6F">
      <w:pPr>
        <w:spacing w:line="240" w:lineRule="atLeas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乙方（供方）：_________</w:t>
      </w:r>
    </w:p>
    <w:p w14:paraId="112FBB42">
      <w:pPr>
        <w:spacing w:line="240" w:lineRule="atLeas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经过双方友好协商，依据《中华人民共和国</w:t>
      </w:r>
      <w:r>
        <w:rPr>
          <w:rFonts w:hint="eastAsia" w:ascii="仿宋_GB2312" w:eastAsia="仿宋_GB2312"/>
          <w:color w:val="auto"/>
          <w:sz w:val="28"/>
          <w:szCs w:val="28"/>
          <w:highlight w:val="none"/>
          <w:lang w:val="en-US" w:eastAsia="zh-CN"/>
        </w:rPr>
        <w:t>民法典</w:t>
      </w:r>
      <w:r>
        <w:rPr>
          <w:rFonts w:hint="eastAsia" w:ascii="仿宋_GB2312" w:eastAsia="仿宋_GB2312"/>
          <w:color w:val="auto"/>
          <w:sz w:val="28"/>
          <w:szCs w:val="28"/>
          <w:highlight w:val="none"/>
        </w:rPr>
        <w:t>》，双方同意签订以下合同条款，以便双方共同遵守、履行合同。</w:t>
      </w:r>
    </w:p>
    <w:p w14:paraId="3A2D2AE3">
      <w:pPr>
        <w:spacing w:line="240" w:lineRule="atLeast"/>
        <w:ind w:firstLine="562" w:firstLineChars="200"/>
        <w:rPr>
          <w:rFonts w:hint="eastAsia" w:ascii="仿宋_GB2312" w:eastAsia="仿宋_GB2312"/>
          <w:b/>
          <w:color w:val="auto"/>
          <w:sz w:val="28"/>
          <w:szCs w:val="28"/>
          <w:highlight w:val="none"/>
        </w:rPr>
      </w:pPr>
      <w:r>
        <w:rPr>
          <w:rFonts w:hint="eastAsia" w:ascii="仿宋_GB2312" w:eastAsia="仿宋_GB2312"/>
          <w:b/>
          <w:color w:val="auto"/>
          <w:sz w:val="28"/>
          <w:szCs w:val="28"/>
          <w:highlight w:val="none"/>
        </w:rPr>
        <w:t>一、产品清单及付款方式</w:t>
      </w:r>
    </w:p>
    <w:p w14:paraId="6BD1639A">
      <w:pPr>
        <w:spacing w:line="240" w:lineRule="atLeast"/>
        <w:ind w:firstLine="560" w:firstLineChars="200"/>
        <w:rPr>
          <w:rFonts w:hint="eastAsia"/>
          <w:color w:val="auto"/>
          <w:highlight w:val="none"/>
        </w:rPr>
      </w:pPr>
      <w:r>
        <w:rPr>
          <w:rFonts w:hint="eastAsia" w:ascii="仿宋_GB2312" w:eastAsia="仿宋_GB2312"/>
          <w:color w:val="auto"/>
          <w:sz w:val="28"/>
          <w:szCs w:val="28"/>
          <w:highlight w:val="none"/>
        </w:rPr>
        <w:t xml:space="preserve">1．产品清单及价格 </w:t>
      </w:r>
    </w:p>
    <w:tbl>
      <w:tblPr>
        <w:tblStyle w:val="21"/>
        <w:tblW w:w="9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1731"/>
        <w:gridCol w:w="1376"/>
        <w:gridCol w:w="1582"/>
        <w:gridCol w:w="1137"/>
        <w:gridCol w:w="964"/>
        <w:gridCol w:w="890"/>
        <w:gridCol w:w="923"/>
      </w:tblGrid>
      <w:tr w14:paraId="02244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614" w:type="dxa"/>
            <w:noWrap w:val="0"/>
            <w:vAlign w:val="center"/>
          </w:tcPr>
          <w:p w14:paraId="5E238D38">
            <w:pPr>
              <w:spacing w:line="240" w:lineRule="atLeast"/>
              <w:jc w:val="center"/>
              <w:rPr>
                <w:rFonts w:hint="eastAsia" w:ascii="宋体" w:hAnsi="宋体"/>
                <w:color w:val="auto"/>
                <w:sz w:val="21"/>
                <w:szCs w:val="21"/>
                <w:highlight w:val="none"/>
              </w:rPr>
            </w:pPr>
            <w:r>
              <w:rPr>
                <w:rFonts w:hint="eastAsia" w:ascii="宋体" w:hAnsi="宋体"/>
                <w:color w:val="auto"/>
                <w:sz w:val="21"/>
                <w:szCs w:val="21"/>
                <w:highlight w:val="none"/>
              </w:rPr>
              <w:t>序号</w:t>
            </w:r>
          </w:p>
        </w:tc>
        <w:tc>
          <w:tcPr>
            <w:tcW w:w="1731" w:type="dxa"/>
            <w:noWrap w:val="0"/>
            <w:vAlign w:val="center"/>
          </w:tcPr>
          <w:p w14:paraId="498582D0">
            <w:pPr>
              <w:spacing w:line="240" w:lineRule="atLeast"/>
              <w:jc w:val="center"/>
              <w:rPr>
                <w:rFonts w:hint="eastAsia" w:ascii="宋体" w:hAnsi="宋体"/>
                <w:color w:val="auto"/>
                <w:sz w:val="21"/>
                <w:szCs w:val="21"/>
                <w:highlight w:val="none"/>
              </w:rPr>
            </w:pPr>
            <w:r>
              <w:rPr>
                <w:rFonts w:hint="eastAsia" w:ascii="宋体" w:hAnsi="宋体"/>
                <w:color w:val="auto"/>
                <w:sz w:val="21"/>
                <w:szCs w:val="21"/>
                <w:highlight w:val="none"/>
              </w:rPr>
              <w:t>货物名称</w:t>
            </w:r>
          </w:p>
        </w:tc>
        <w:tc>
          <w:tcPr>
            <w:tcW w:w="1376" w:type="dxa"/>
            <w:noWrap w:val="0"/>
            <w:vAlign w:val="center"/>
          </w:tcPr>
          <w:p w14:paraId="18419D15">
            <w:pPr>
              <w:spacing w:line="240" w:lineRule="atLeast"/>
              <w:jc w:val="center"/>
              <w:rPr>
                <w:rFonts w:hint="eastAsia" w:ascii="宋体" w:hAnsi="宋体"/>
                <w:color w:val="auto"/>
                <w:sz w:val="21"/>
                <w:szCs w:val="21"/>
                <w:highlight w:val="none"/>
              </w:rPr>
            </w:pPr>
            <w:r>
              <w:rPr>
                <w:rFonts w:hint="eastAsia" w:ascii="宋体" w:hAnsi="宋体"/>
                <w:color w:val="auto"/>
                <w:sz w:val="21"/>
                <w:szCs w:val="21"/>
                <w:highlight w:val="none"/>
              </w:rPr>
              <w:t>品牌</w:t>
            </w:r>
          </w:p>
        </w:tc>
        <w:tc>
          <w:tcPr>
            <w:tcW w:w="1582" w:type="dxa"/>
            <w:noWrap w:val="0"/>
            <w:vAlign w:val="center"/>
          </w:tcPr>
          <w:p w14:paraId="5C4EE155">
            <w:pPr>
              <w:spacing w:line="240" w:lineRule="atLeast"/>
              <w:jc w:val="center"/>
              <w:rPr>
                <w:rFonts w:hint="eastAsia" w:ascii="宋体" w:hAnsi="宋体"/>
                <w:color w:val="auto"/>
                <w:sz w:val="21"/>
                <w:szCs w:val="21"/>
                <w:highlight w:val="none"/>
              </w:rPr>
            </w:pPr>
            <w:r>
              <w:rPr>
                <w:rFonts w:hint="eastAsia" w:ascii="宋体" w:hAnsi="宋体"/>
                <w:color w:val="auto"/>
                <w:sz w:val="21"/>
                <w:szCs w:val="21"/>
                <w:highlight w:val="none"/>
              </w:rPr>
              <w:t>规格型号</w:t>
            </w:r>
          </w:p>
        </w:tc>
        <w:tc>
          <w:tcPr>
            <w:tcW w:w="1137" w:type="dxa"/>
            <w:noWrap w:val="0"/>
            <w:vAlign w:val="center"/>
          </w:tcPr>
          <w:p w14:paraId="50F5583E">
            <w:pPr>
              <w:spacing w:line="240" w:lineRule="atLeast"/>
              <w:jc w:val="center"/>
              <w:rPr>
                <w:rFonts w:hint="eastAsia" w:ascii="宋体" w:hAnsi="宋体"/>
                <w:color w:val="auto"/>
                <w:sz w:val="21"/>
                <w:szCs w:val="21"/>
                <w:highlight w:val="none"/>
              </w:rPr>
            </w:pPr>
            <w:r>
              <w:rPr>
                <w:rFonts w:hint="eastAsia" w:ascii="宋体" w:hAnsi="宋体"/>
                <w:color w:val="auto"/>
                <w:sz w:val="21"/>
                <w:szCs w:val="21"/>
                <w:highlight w:val="none"/>
              </w:rPr>
              <w:t>数量</w:t>
            </w:r>
          </w:p>
        </w:tc>
        <w:tc>
          <w:tcPr>
            <w:tcW w:w="964" w:type="dxa"/>
            <w:noWrap w:val="0"/>
            <w:vAlign w:val="center"/>
          </w:tcPr>
          <w:p w14:paraId="1B967F00">
            <w:pPr>
              <w:spacing w:line="240" w:lineRule="atLeast"/>
              <w:jc w:val="center"/>
              <w:rPr>
                <w:rFonts w:hint="eastAsia" w:ascii="宋体" w:hAnsi="宋体"/>
                <w:color w:val="auto"/>
                <w:sz w:val="21"/>
                <w:szCs w:val="21"/>
                <w:highlight w:val="none"/>
              </w:rPr>
            </w:pPr>
            <w:r>
              <w:rPr>
                <w:rFonts w:hint="eastAsia" w:ascii="宋体" w:hAnsi="宋体"/>
                <w:color w:val="auto"/>
                <w:sz w:val="21"/>
                <w:szCs w:val="21"/>
                <w:highlight w:val="none"/>
              </w:rPr>
              <w:t>单价</w:t>
            </w:r>
          </w:p>
        </w:tc>
        <w:tc>
          <w:tcPr>
            <w:tcW w:w="890" w:type="dxa"/>
            <w:noWrap w:val="0"/>
            <w:vAlign w:val="center"/>
          </w:tcPr>
          <w:p w14:paraId="556B256B">
            <w:pPr>
              <w:spacing w:line="240" w:lineRule="atLeast"/>
              <w:jc w:val="center"/>
              <w:rPr>
                <w:rFonts w:hint="eastAsia" w:ascii="宋体" w:hAnsi="宋体"/>
                <w:color w:val="auto"/>
                <w:sz w:val="21"/>
                <w:szCs w:val="21"/>
                <w:highlight w:val="none"/>
              </w:rPr>
            </w:pPr>
            <w:r>
              <w:rPr>
                <w:rFonts w:hint="eastAsia" w:ascii="宋体" w:hAnsi="宋体"/>
                <w:color w:val="auto"/>
                <w:sz w:val="21"/>
                <w:szCs w:val="21"/>
                <w:highlight w:val="none"/>
              </w:rPr>
              <w:t>总价</w:t>
            </w:r>
          </w:p>
        </w:tc>
        <w:tc>
          <w:tcPr>
            <w:tcW w:w="923" w:type="dxa"/>
            <w:noWrap w:val="0"/>
            <w:vAlign w:val="center"/>
          </w:tcPr>
          <w:p w14:paraId="6198E166">
            <w:pPr>
              <w:spacing w:line="240" w:lineRule="atLeast"/>
              <w:ind w:firstLine="210" w:firstLineChars="100"/>
              <w:jc w:val="both"/>
              <w:rPr>
                <w:rFonts w:hint="eastAsia" w:ascii="宋体" w:hAnsi="宋体"/>
                <w:color w:val="auto"/>
                <w:sz w:val="21"/>
                <w:szCs w:val="21"/>
                <w:highlight w:val="none"/>
              </w:rPr>
            </w:pPr>
            <w:r>
              <w:rPr>
                <w:rFonts w:hint="eastAsia" w:ascii="宋体" w:hAnsi="宋体"/>
                <w:color w:val="auto"/>
                <w:sz w:val="21"/>
                <w:szCs w:val="21"/>
                <w:highlight w:val="none"/>
              </w:rPr>
              <w:t>备注</w:t>
            </w:r>
          </w:p>
        </w:tc>
      </w:tr>
      <w:tr w14:paraId="28D21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614" w:type="dxa"/>
            <w:noWrap w:val="0"/>
            <w:vAlign w:val="center"/>
          </w:tcPr>
          <w:p w14:paraId="3861077E">
            <w:pPr>
              <w:spacing w:line="240" w:lineRule="atLeast"/>
              <w:ind w:firstLine="420" w:firstLineChars="200"/>
              <w:jc w:val="center"/>
              <w:rPr>
                <w:rFonts w:hint="eastAsia" w:ascii="宋体" w:hAnsi="宋体"/>
                <w:color w:val="auto"/>
                <w:sz w:val="21"/>
                <w:szCs w:val="21"/>
                <w:highlight w:val="none"/>
              </w:rPr>
            </w:pPr>
          </w:p>
        </w:tc>
        <w:tc>
          <w:tcPr>
            <w:tcW w:w="1731" w:type="dxa"/>
            <w:noWrap w:val="0"/>
            <w:vAlign w:val="center"/>
          </w:tcPr>
          <w:p w14:paraId="0AFCAD1E">
            <w:pPr>
              <w:spacing w:line="240" w:lineRule="atLeast"/>
              <w:ind w:firstLine="420" w:firstLineChars="200"/>
              <w:jc w:val="center"/>
              <w:rPr>
                <w:rFonts w:hint="eastAsia" w:ascii="宋体" w:hAnsi="宋体"/>
                <w:color w:val="auto"/>
                <w:sz w:val="21"/>
                <w:szCs w:val="21"/>
                <w:highlight w:val="none"/>
              </w:rPr>
            </w:pPr>
          </w:p>
        </w:tc>
        <w:tc>
          <w:tcPr>
            <w:tcW w:w="1376" w:type="dxa"/>
            <w:noWrap w:val="0"/>
            <w:vAlign w:val="center"/>
          </w:tcPr>
          <w:p w14:paraId="3C2F1129">
            <w:pPr>
              <w:spacing w:line="240" w:lineRule="atLeast"/>
              <w:ind w:firstLine="420" w:firstLineChars="200"/>
              <w:jc w:val="center"/>
              <w:rPr>
                <w:rFonts w:hint="eastAsia" w:ascii="宋体" w:hAnsi="宋体"/>
                <w:color w:val="auto"/>
                <w:sz w:val="21"/>
                <w:szCs w:val="21"/>
                <w:highlight w:val="none"/>
              </w:rPr>
            </w:pPr>
          </w:p>
        </w:tc>
        <w:tc>
          <w:tcPr>
            <w:tcW w:w="1582" w:type="dxa"/>
            <w:noWrap w:val="0"/>
            <w:vAlign w:val="center"/>
          </w:tcPr>
          <w:p w14:paraId="5B0E9B3D">
            <w:pPr>
              <w:spacing w:line="240" w:lineRule="atLeast"/>
              <w:ind w:firstLine="420" w:firstLineChars="200"/>
              <w:jc w:val="center"/>
              <w:rPr>
                <w:rFonts w:hint="eastAsia" w:ascii="宋体" w:hAnsi="宋体"/>
                <w:color w:val="auto"/>
                <w:sz w:val="21"/>
                <w:szCs w:val="21"/>
                <w:highlight w:val="none"/>
              </w:rPr>
            </w:pPr>
          </w:p>
        </w:tc>
        <w:tc>
          <w:tcPr>
            <w:tcW w:w="1137" w:type="dxa"/>
            <w:noWrap w:val="0"/>
            <w:vAlign w:val="center"/>
          </w:tcPr>
          <w:p w14:paraId="7BC48850">
            <w:pPr>
              <w:spacing w:line="240" w:lineRule="atLeast"/>
              <w:ind w:firstLine="420" w:firstLineChars="200"/>
              <w:jc w:val="center"/>
              <w:rPr>
                <w:rFonts w:hint="eastAsia" w:ascii="宋体" w:hAnsi="宋体"/>
                <w:color w:val="auto"/>
                <w:sz w:val="21"/>
                <w:szCs w:val="21"/>
                <w:highlight w:val="none"/>
              </w:rPr>
            </w:pPr>
          </w:p>
        </w:tc>
        <w:tc>
          <w:tcPr>
            <w:tcW w:w="964" w:type="dxa"/>
            <w:noWrap w:val="0"/>
            <w:vAlign w:val="center"/>
          </w:tcPr>
          <w:p w14:paraId="3D61FFA7">
            <w:pPr>
              <w:spacing w:line="240" w:lineRule="atLeast"/>
              <w:ind w:firstLine="420" w:firstLineChars="200"/>
              <w:jc w:val="center"/>
              <w:rPr>
                <w:rFonts w:hint="eastAsia" w:ascii="宋体" w:hAnsi="宋体"/>
                <w:color w:val="auto"/>
                <w:sz w:val="21"/>
                <w:szCs w:val="21"/>
                <w:highlight w:val="none"/>
              </w:rPr>
            </w:pPr>
          </w:p>
        </w:tc>
        <w:tc>
          <w:tcPr>
            <w:tcW w:w="890" w:type="dxa"/>
            <w:noWrap w:val="0"/>
            <w:vAlign w:val="center"/>
          </w:tcPr>
          <w:p w14:paraId="5318D3D9">
            <w:pPr>
              <w:spacing w:line="240" w:lineRule="atLeast"/>
              <w:ind w:firstLine="420" w:firstLineChars="200"/>
              <w:jc w:val="center"/>
              <w:rPr>
                <w:rFonts w:hint="eastAsia" w:ascii="宋体" w:hAnsi="宋体"/>
                <w:color w:val="auto"/>
                <w:sz w:val="21"/>
                <w:szCs w:val="21"/>
                <w:highlight w:val="none"/>
              </w:rPr>
            </w:pPr>
          </w:p>
        </w:tc>
        <w:tc>
          <w:tcPr>
            <w:tcW w:w="923" w:type="dxa"/>
            <w:noWrap w:val="0"/>
            <w:vAlign w:val="center"/>
          </w:tcPr>
          <w:p w14:paraId="42E64632">
            <w:pPr>
              <w:spacing w:line="240" w:lineRule="atLeast"/>
              <w:ind w:firstLine="420" w:firstLineChars="200"/>
              <w:jc w:val="center"/>
              <w:rPr>
                <w:rFonts w:hint="eastAsia" w:ascii="宋体" w:hAnsi="宋体"/>
                <w:color w:val="auto"/>
                <w:sz w:val="21"/>
                <w:szCs w:val="21"/>
                <w:highlight w:val="none"/>
              </w:rPr>
            </w:pPr>
          </w:p>
        </w:tc>
      </w:tr>
      <w:tr w14:paraId="52B8C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14" w:type="dxa"/>
            <w:noWrap w:val="0"/>
            <w:vAlign w:val="center"/>
          </w:tcPr>
          <w:p w14:paraId="69E71AE7">
            <w:pPr>
              <w:spacing w:line="240" w:lineRule="atLeast"/>
              <w:ind w:firstLine="420" w:firstLineChars="200"/>
              <w:jc w:val="center"/>
              <w:rPr>
                <w:rFonts w:hint="eastAsia" w:ascii="宋体" w:hAnsi="宋体"/>
                <w:color w:val="auto"/>
                <w:sz w:val="21"/>
                <w:szCs w:val="21"/>
                <w:highlight w:val="none"/>
              </w:rPr>
            </w:pPr>
          </w:p>
        </w:tc>
        <w:tc>
          <w:tcPr>
            <w:tcW w:w="1731" w:type="dxa"/>
            <w:noWrap w:val="0"/>
            <w:vAlign w:val="center"/>
          </w:tcPr>
          <w:p w14:paraId="439CE5E9">
            <w:pPr>
              <w:spacing w:line="240" w:lineRule="atLeast"/>
              <w:ind w:firstLine="420" w:firstLineChars="200"/>
              <w:jc w:val="center"/>
              <w:rPr>
                <w:rFonts w:hint="eastAsia" w:ascii="宋体" w:hAnsi="宋体"/>
                <w:color w:val="auto"/>
                <w:sz w:val="21"/>
                <w:szCs w:val="21"/>
                <w:highlight w:val="none"/>
              </w:rPr>
            </w:pPr>
          </w:p>
        </w:tc>
        <w:tc>
          <w:tcPr>
            <w:tcW w:w="1376" w:type="dxa"/>
            <w:noWrap w:val="0"/>
            <w:vAlign w:val="center"/>
          </w:tcPr>
          <w:p w14:paraId="339B9B3F">
            <w:pPr>
              <w:spacing w:line="240" w:lineRule="atLeast"/>
              <w:ind w:firstLine="420" w:firstLineChars="200"/>
              <w:jc w:val="center"/>
              <w:rPr>
                <w:rFonts w:hint="eastAsia" w:ascii="宋体" w:hAnsi="宋体"/>
                <w:color w:val="auto"/>
                <w:sz w:val="21"/>
                <w:szCs w:val="21"/>
                <w:highlight w:val="none"/>
              </w:rPr>
            </w:pPr>
          </w:p>
        </w:tc>
        <w:tc>
          <w:tcPr>
            <w:tcW w:w="1582" w:type="dxa"/>
            <w:noWrap w:val="0"/>
            <w:vAlign w:val="center"/>
          </w:tcPr>
          <w:p w14:paraId="6246D30A">
            <w:pPr>
              <w:spacing w:line="240" w:lineRule="atLeast"/>
              <w:ind w:firstLine="420" w:firstLineChars="200"/>
              <w:jc w:val="center"/>
              <w:rPr>
                <w:rFonts w:hint="eastAsia" w:ascii="宋体" w:hAnsi="宋体"/>
                <w:color w:val="auto"/>
                <w:sz w:val="21"/>
                <w:szCs w:val="21"/>
                <w:highlight w:val="none"/>
              </w:rPr>
            </w:pPr>
          </w:p>
        </w:tc>
        <w:tc>
          <w:tcPr>
            <w:tcW w:w="1137" w:type="dxa"/>
            <w:noWrap w:val="0"/>
            <w:vAlign w:val="center"/>
          </w:tcPr>
          <w:p w14:paraId="583E0095">
            <w:pPr>
              <w:spacing w:line="240" w:lineRule="atLeast"/>
              <w:ind w:firstLine="420" w:firstLineChars="200"/>
              <w:jc w:val="center"/>
              <w:rPr>
                <w:rFonts w:hint="eastAsia" w:ascii="宋体" w:hAnsi="宋体"/>
                <w:color w:val="auto"/>
                <w:sz w:val="21"/>
                <w:szCs w:val="21"/>
                <w:highlight w:val="none"/>
              </w:rPr>
            </w:pPr>
          </w:p>
        </w:tc>
        <w:tc>
          <w:tcPr>
            <w:tcW w:w="964" w:type="dxa"/>
            <w:noWrap w:val="0"/>
            <w:vAlign w:val="center"/>
          </w:tcPr>
          <w:p w14:paraId="21B86214">
            <w:pPr>
              <w:spacing w:line="240" w:lineRule="atLeast"/>
              <w:ind w:firstLine="420" w:firstLineChars="200"/>
              <w:jc w:val="center"/>
              <w:rPr>
                <w:rFonts w:hint="eastAsia" w:ascii="宋体" w:hAnsi="宋体"/>
                <w:color w:val="auto"/>
                <w:sz w:val="21"/>
                <w:szCs w:val="21"/>
                <w:highlight w:val="none"/>
              </w:rPr>
            </w:pPr>
          </w:p>
        </w:tc>
        <w:tc>
          <w:tcPr>
            <w:tcW w:w="890" w:type="dxa"/>
            <w:noWrap w:val="0"/>
            <w:vAlign w:val="center"/>
          </w:tcPr>
          <w:p w14:paraId="5FD03525">
            <w:pPr>
              <w:spacing w:line="240" w:lineRule="atLeast"/>
              <w:ind w:firstLine="420" w:firstLineChars="200"/>
              <w:jc w:val="center"/>
              <w:rPr>
                <w:rFonts w:hint="eastAsia" w:ascii="宋体" w:hAnsi="宋体"/>
                <w:color w:val="auto"/>
                <w:sz w:val="21"/>
                <w:szCs w:val="21"/>
                <w:highlight w:val="none"/>
              </w:rPr>
            </w:pPr>
          </w:p>
        </w:tc>
        <w:tc>
          <w:tcPr>
            <w:tcW w:w="923" w:type="dxa"/>
            <w:noWrap w:val="0"/>
            <w:vAlign w:val="center"/>
          </w:tcPr>
          <w:p w14:paraId="5A7C2253">
            <w:pPr>
              <w:spacing w:line="240" w:lineRule="atLeast"/>
              <w:ind w:firstLine="420" w:firstLineChars="200"/>
              <w:jc w:val="center"/>
              <w:rPr>
                <w:rFonts w:hint="eastAsia" w:ascii="宋体" w:hAnsi="宋体"/>
                <w:color w:val="auto"/>
                <w:sz w:val="21"/>
                <w:szCs w:val="21"/>
                <w:highlight w:val="none"/>
              </w:rPr>
            </w:pPr>
          </w:p>
        </w:tc>
      </w:tr>
      <w:tr w14:paraId="144BC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14" w:type="dxa"/>
            <w:noWrap w:val="0"/>
            <w:vAlign w:val="center"/>
          </w:tcPr>
          <w:p w14:paraId="315567D1">
            <w:pPr>
              <w:spacing w:line="240" w:lineRule="atLeast"/>
              <w:ind w:firstLine="420" w:firstLineChars="200"/>
              <w:jc w:val="center"/>
              <w:rPr>
                <w:rFonts w:hint="eastAsia" w:ascii="宋体" w:hAnsi="宋体"/>
                <w:color w:val="auto"/>
                <w:sz w:val="21"/>
                <w:szCs w:val="21"/>
                <w:highlight w:val="none"/>
              </w:rPr>
            </w:pPr>
          </w:p>
        </w:tc>
        <w:tc>
          <w:tcPr>
            <w:tcW w:w="1731" w:type="dxa"/>
            <w:noWrap w:val="0"/>
            <w:vAlign w:val="center"/>
          </w:tcPr>
          <w:p w14:paraId="27FAECAC">
            <w:pPr>
              <w:spacing w:line="240" w:lineRule="atLeast"/>
              <w:ind w:firstLine="420" w:firstLineChars="200"/>
              <w:jc w:val="center"/>
              <w:rPr>
                <w:rFonts w:hint="eastAsia" w:ascii="宋体" w:hAnsi="宋体"/>
                <w:color w:val="auto"/>
                <w:sz w:val="21"/>
                <w:szCs w:val="21"/>
                <w:highlight w:val="none"/>
              </w:rPr>
            </w:pPr>
          </w:p>
        </w:tc>
        <w:tc>
          <w:tcPr>
            <w:tcW w:w="1376" w:type="dxa"/>
            <w:noWrap w:val="0"/>
            <w:vAlign w:val="center"/>
          </w:tcPr>
          <w:p w14:paraId="3B8D8EF5">
            <w:pPr>
              <w:spacing w:line="240" w:lineRule="atLeast"/>
              <w:ind w:firstLine="420" w:firstLineChars="200"/>
              <w:jc w:val="center"/>
              <w:rPr>
                <w:rFonts w:hint="eastAsia" w:ascii="宋体" w:hAnsi="宋体"/>
                <w:color w:val="auto"/>
                <w:sz w:val="21"/>
                <w:szCs w:val="21"/>
                <w:highlight w:val="none"/>
              </w:rPr>
            </w:pPr>
          </w:p>
        </w:tc>
        <w:tc>
          <w:tcPr>
            <w:tcW w:w="1582" w:type="dxa"/>
            <w:noWrap w:val="0"/>
            <w:vAlign w:val="center"/>
          </w:tcPr>
          <w:p w14:paraId="08A8FA28">
            <w:pPr>
              <w:spacing w:line="240" w:lineRule="atLeast"/>
              <w:ind w:firstLine="420" w:firstLineChars="200"/>
              <w:jc w:val="center"/>
              <w:rPr>
                <w:rFonts w:hint="eastAsia" w:ascii="宋体" w:hAnsi="宋体"/>
                <w:color w:val="auto"/>
                <w:sz w:val="21"/>
                <w:szCs w:val="21"/>
                <w:highlight w:val="none"/>
              </w:rPr>
            </w:pPr>
          </w:p>
        </w:tc>
        <w:tc>
          <w:tcPr>
            <w:tcW w:w="1137" w:type="dxa"/>
            <w:noWrap w:val="0"/>
            <w:vAlign w:val="center"/>
          </w:tcPr>
          <w:p w14:paraId="0D6CE7B1">
            <w:pPr>
              <w:spacing w:line="240" w:lineRule="atLeast"/>
              <w:ind w:firstLine="420" w:firstLineChars="200"/>
              <w:jc w:val="center"/>
              <w:rPr>
                <w:rFonts w:hint="eastAsia" w:ascii="宋体" w:hAnsi="宋体"/>
                <w:color w:val="auto"/>
                <w:sz w:val="21"/>
                <w:szCs w:val="21"/>
                <w:highlight w:val="none"/>
              </w:rPr>
            </w:pPr>
          </w:p>
        </w:tc>
        <w:tc>
          <w:tcPr>
            <w:tcW w:w="964" w:type="dxa"/>
            <w:noWrap w:val="0"/>
            <w:vAlign w:val="center"/>
          </w:tcPr>
          <w:p w14:paraId="69D20718">
            <w:pPr>
              <w:spacing w:line="240" w:lineRule="atLeast"/>
              <w:ind w:firstLine="420" w:firstLineChars="200"/>
              <w:jc w:val="center"/>
              <w:rPr>
                <w:rFonts w:hint="eastAsia" w:ascii="宋体" w:hAnsi="宋体"/>
                <w:color w:val="auto"/>
                <w:sz w:val="21"/>
                <w:szCs w:val="21"/>
                <w:highlight w:val="none"/>
              </w:rPr>
            </w:pPr>
          </w:p>
        </w:tc>
        <w:tc>
          <w:tcPr>
            <w:tcW w:w="890" w:type="dxa"/>
            <w:noWrap w:val="0"/>
            <w:vAlign w:val="center"/>
          </w:tcPr>
          <w:p w14:paraId="34A7E3B7">
            <w:pPr>
              <w:spacing w:line="240" w:lineRule="atLeast"/>
              <w:ind w:firstLine="420" w:firstLineChars="200"/>
              <w:jc w:val="center"/>
              <w:rPr>
                <w:rFonts w:hint="eastAsia" w:ascii="宋体" w:hAnsi="宋体"/>
                <w:color w:val="auto"/>
                <w:sz w:val="21"/>
                <w:szCs w:val="21"/>
                <w:highlight w:val="none"/>
              </w:rPr>
            </w:pPr>
          </w:p>
        </w:tc>
        <w:tc>
          <w:tcPr>
            <w:tcW w:w="923" w:type="dxa"/>
            <w:noWrap w:val="0"/>
            <w:vAlign w:val="center"/>
          </w:tcPr>
          <w:p w14:paraId="0D6B9DEE">
            <w:pPr>
              <w:spacing w:line="240" w:lineRule="atLeast"/>
              <w:ind w:firstLine="420" w:firstLineChars="200"/>
              <w:jc w:val="center"/>
              <w:rPr>
                <w:rFonts w:hint="eastAsia" w:ascii="宋体" w:hAnsi="宋体"/>
                <w:color w:val="auto"/>
                <w:sz w:val="21"/>
                <w:szCs w:val="21"/>
                <w:highlight w:val="none"/>
              </w:rPr>
            </w:pPr>
          </w:p>
        </w:tc>
      </w:tr>
      <w:tr w14:paraId="4BC17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14" w:type="dxa"/>
            <w:noWrap w:val="0"/>
            <w:vAlign w:val="center"/>
          </w:tcPr>
          <w:p w14:paraId="6FA88745">
            <w:pPr>
              <w:spacing w:line="240" w:lineRule="atLeast"/>
              <w:ind w:firstLine="420" w:firstLineChars="200"/>
              <w:jc w:val="center"/>
              <w:rPr>
                <w:rFonts w:hint="eastAsia" w:ascii="宋体" w:hAnsi="宋体"/>
                <w:color w:val="auto"/>
                <w:sz w:val="21"/>
                <w:szCs w:val="21"/>
                <w:highlight w:val="none"/>
              </w:rPr>
            </w:pPr>
          </w:p>
        </w:tc>
        <w:tc>
          <w:tcPr>
            <w:tcW w:w="1731" w:type="dxa"/>
            <w:noWrap w:val="0"/>
            <w:vAlign w:val="center"/>
          </w:tcPr>
          <w:p w14:paraId="49CCC725">
            <w:pPr>
              <w:spacing w:line="240" w:lineRule="atLeast"/>
              <w:ind w:firstLine="420" w:firstLineChars="200"/>
              <w:jc w:val="center"/>
              <w:rPr>
                <w:rFonts w:hint="eastAsia" w:ascii="宋体" w:hAnsi="宋体"/>
                <w:color w:val="auto"/>
                <w:sz w:val="21"/>
                <w:szCs w:val="21"/>
                <w:highlight w:val="none"/>
              </w:rPr>
            </w:pPr>
          </w:p>
        </w:tc>
        <w:tc>
          <w:tcPr>
            <w:tcW w:w="1376" w:type="dxa"/>
            <w:noWrap w:val="0"/>
            <w:vAlign w:val="center"/>
          </w:tcPr>
          <w:p w14:paraId="5FCC0971">
            <w:pPr>
              <w:spacing w:line="240" w:lineRule="atLeast"/>
              <w:ind w:firstLine="420" w:firstLineChars="200"/>
              <w:jc w:val="center"/>
              <w:rPr>
                <w:rFonts w:hint="eastAsia" w:ascii="宋体" w:hAnsi="宋体"/>
                <w:color w:val="auto"/>
                <w:sz w:val="21"/>
                <w:szCs w:val="21"/>
                <w:highlight w:val="none"/>
              </w:rPr>
            </w:pPr>
          </w:p>
        </w:tc>
        <w:tc>
          <w:tcPr>
            <w:tcW w:w="1582" w:type="dxa"/>
            <w:noWrap w:val="0"/>
            <w:vAlign w:val="center"/>
          </w:tcPr>
          <w:p w14:paraId="65E0157F">
            <w:pPr>
              <w:spacing w:line="240" w:lineRule="atLeast"/>
              <w:ind w:firstLine="420" w:firstLineChars="200"/>
              <w:jc w:val="center"/>
              <w:rPr>
                <w:rFonts w:hint="eastAsia" w:ascii="宋体" w:hAnsi="宋体"/>
                <w:color w:val="auto"/>
                <w:sz w:val="21"/>
                <w:szCs w:val="21"/>
                <w:highlight w:val="none"/>
              </w:rPr>
            </w:pPr>
          </w:p>
        </w:tc>
        <w:tc>
          <w:tcPr>
            <w:tcW w:w="1137" w:type="dxa"/>
            <w:noWrap w:val="0"/>
            <w:vAlign w:val="center"/>
          </w:tcPr>
          <w:p w14:paraId="25BEB83A">
            <w:pPr>
              <w:spacing w:line="240" w:lineRule="atLeast"/>
              <w:ind w:firstLine="420" w:firstLineChars="200"/>
              <w:jc w:val="center"/>
              <w:rPr>
                <w:rFonts w:hint="eastAsia" w:ascii="宋体" w:hAnsi="宋体"/>
                <w:color w:val="auto"/>
                <w:sz w:val="21"/>
                <w:szCs w:val="21"/>
                <w:highlight w:val="none"/>
              </w:rPr>
            </w:pPr>
          </w:p>
        </w:tc>
        <w:tc>
          <w:tcPr>
            <w:tcW w:w="964" w:type="dxa"/>
            <w:noWrap w:val="0"/>
            <w:vAlign w:val="center"/>
          </w:tcPr>
          <w:p w14:paraId="4135D538">
            <w:pPr>
              <w:spacing w:line="240" w:lineRule="atLeast"/>
              <w:ind w:firstLine="420" w:firstLineChars="200"/>
              <w:jc w:val="center"/>
              <w:rPr>
                <w:rFonts w:hint="eastAsia" w:ascii="宋体" w:hAnsi="宋体"/>
                <w:color w:val="auto"/>
                <w:sz w:val="21"/>
                <w:szCs w:val="21"/>
                <w:highlight w:val="none"/>
              </w:rPr>
            </w:pPr>
          </w:p>
        </w:tc>
        <w:tc>
          <w:tcPr>
            <w:tcW w:w="890" w:type="dxa"/>
            <w:noWrap w:val="0"/>
            <w:vAlign w:val="center"/>
          </w:tcPr>
          <w:p w14:paraId="0A966330">
            <w:pPr>
              <w:spacing w:line="240" w:lineRule="atLeast"/>
              <w:ind w:firstLine="420" w:firstLineChars="200"/>
              <w:jc w:val="center"/>
              <w:rPr>
                <w:rFonts w:hint="eastAsia" w:ascii="宋体" w:hAnsi="宋体"/>
                <w:color w:val="auto"/>
                <w:sz w:val="21"/>
                <w:szCs w:val="21"/>
                <w:highlight w:val="none"/>
              </w:rPr>
            </w:pPr>
          </w:p>
        </w:tc>
        <w:tc>
          <w:tcPr>
            <w:tcW w:w="923" w:type="dxa"/>
            <w:noWrap w:val="0"/>
            <w:vAlign w:val="center"/>
          </w:tcPr>
          <w:p w14:paraId="7B0F5093">
            <w:pPr>
              <w:spacing w:line="240" w:lineRule="atLeast"/>
              <w:ind w:firstLine="420" w:firstLineChars="200"/>
              <w:jc w:val="center"/>
              <w:rPr>
                <w:rFonts w:hint="eastAsia" w:ascii="宋体" w:hAnsi="宋体"/>
                <w:color w:val="auto"/>
                <w:sz w:val="21"/>
                <w:szCs w:val="21"/>
                <w:highlight w:val="none"/>
              </w:rPr>
            </w:pPr>
          </w:p>
        </w:tc>
      </w:tr>
      <w:tr w14:paraId="08957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14" w:type="dxa"/>
            <w:noWrap w:val="0"/>
            <w:vAlign w:val="center"/>
          </w:tcPr>
          <w:p w14:paraId="19898709">
            <w:pPr>
              <w:spacing w:line="240" w:lineRule="atLeast"/>
              <w:ind w:firstLine="420" w:firstLineChars="200"/>
              <w:jc w:val="center"/>
              <w:rPr>
                <w:rFonts w:hint="eastAsia" w:ascii="宋体" w:hAnsi="宋体"/>
                <w:color w:val="auto"/>
                <w:sz w:val="21"/>
                <w:szCs w:val="21"/>
                <w:highlight w:val="none"/>
              </w:rPr>
            </w:pPr>
          </w:p>
        </w:tc>
        <w:tc>
          <w:tcPr>
            <w:tcW w:w="1731" w:type="dxa"/>
            <w:noWrap w:val="0"/>
            <w:vAlign w:val="center"/>
          </w:tcPr>
          <w:p w14:paraId="08196F6B">
            <w:pPr>
              <w:spacing w:line="240" w:lineRule="atLeast"/>
              <w:ind w:firstLine="420" w:firstLineChars="200"/>
              <w:jc w:val="center"/>
              <w:rPr>
                <w:rFonts w:hint="eastAsia" w:ascii="宋体" w:hAnsi="宋体"/>
                <w:color w:val="auto"/>
                <w:sz w:val="21"/>
                <w:szCs w:val="21"/>
                <w:highlight w:val="none"/>
              </w:rPr>
            </w:pPr>
          </w:p>
        </w:tc>
        <w:tc>
          <w:tcPr>
            <w:tcW w:w="1376" w:type="dxa"/>
            <w:noWrap w:val="0"/>
            <w:vAlign w:val="center"/>
          </w:tcPr>
          <w:p w14:paraId="11F9C3B9">
            <w:pPr>
              <w:spacing w:line="240" w:lineRule="atLeast"/>
              <w:ind w:firstLine="420" w:firstLineChars="200"/>
              <w:jc w:val="center"/>
              <w:rPr>
                <w:rFonts w:hint="eastAsia" w:ascii="宋体" w:hAnsi="宋体"/>
                <w:color w:val="auto"/>
                <w:sz w:val="21"/>
                <w:szCs w:val="21"/>
                <w:highlight w:val="none"/>
              </w:rPr>
            </w:pPr>
          </w:p>
        </w:tc>
        <w:tc>
          <w:tcPr>
            <w:tcW w:w="1582" w:type="dxa"/>
            <w:noWrap w:val="0"/>
            <w:vAlign w:val="center"/>
          </w:tcPr>
          <w:p w14:paraId="01A2A213">
            <w:pPr>
              <w:spacing w:line="240" w:lineRule="atLeast"/>
              <w:ind w:firstLine="420" w:firstLineChars="200"/>
              <w:jc w:val="center"/>
              <w:rPr>
                <w:rFonts w:hint="eastAsia" w:ascii="宋体" w:hAnsi="宋体"/>
                <w:color w:val="auto"/>
                <w:sz w:val="21"/>
                <w:szCs w:val="21"/>
                <w:highlight w:val="none"/>
              </w:rPr>
            </w:pPr>
          </w:p>
        </w:tc>
        <w:tc>
          <w:tcPr>
            <w:tcW w:w="1137" w:type="dxa"/>
            <w:noWrap w:val="0"/>
            <w:vAlign w:val="center"/>
          </w:tcPr>
          <w:p w14:paraId="676CAC02">
            <w:pPr>
              <w:spacing w:line="240" w:lineRule="atLeast"/>
              <w:ind w:firstLine="420" w:firstLineChars="200"/>
              <w:jc w:val="center"/>
              <w:rPr>
                <w:rFonts w:hint="eastAsia" w:ascii="宋体" w:hAnsi="宋体"/>
                <w:color w:val="auto"/>
                <w:sz w:val="21"/>
                <w:szCs w:val="21"/>
                <w:highlight w:val="none"/>
              </w:rPr>
            </w:pPr>
          </w:p>
        </w:tc>
        <w:tc>
          <w:tcPr>
            <w:tcW w:w="964" w:type="dxa"/>
            <w:noWrap w:val="0"/>
            <w:vAlign w:val="center"/>
          </w:tcPr>
          <w:p w14:paraId="7E7D5C08">
            <w:pPr>
              <w:spacing w:line="240" w:lineRule="atLeast"/>
              <w:ind w:firstLine="420" w:firstLineChars="200"/>
              <w:jc w:val="center"/>
              <w:rPr>
                <w:rFonts w:hint="eastAsia" w:ascii="宋体" w:hAnsi="宋体"/>
                <w:color w:val="auto"/>
                <w:sz w:val="21"/>
                <w:szCs w:val="21"/>
                <w:highlight w:val="none"/>
              </w:rPr>
            </w:pPr>
          </w:p>
        </w:tc>
        <w:tc>
          <w:tcPr>
            <w:tcW w:w="890" w:type="dxa"/>
            <w:noWrap w:val="0"/>
            <w:vAlign w:val="center"/>
          </w:tcPr>
          <w:p w14:paraId="041A3461">
            <w:pPr>
              <w:spacing w:line="240" w:lineRule="atLeast"/>
              <w:ind w:firstLine="420" w:firstLineChars="200"/>
              <w:jc w:val="center"/>
              <w:rPr>
                <w:rFonts w:hint="eastAsia" w:ascii="宋体" w:hAnsi="宋体"/>
                <w:color w:val="auto"/>
                <w:sz w:val="21"/>
                <w:szCs w:val="21"/>
                <w:highlight w:val="none"/>
              </w:rPr>
            </w:pPr>
          </w:p>
        </w:tc>
        <w:tc>
          <w:tcPr>
            <w:tcW w:w="923" w:type="dxa"/>
            <w:noWrap w:val="0"/>
            <w:vAlign w:val="center"/>
          </w:tcPr>
          <w:p w14:paraId="4D26A42D">
            <w:pPr>
              <w:spacing w:line="240" w:lineRule="atLeast"/>
              <w:ind w:firstLine="420" w:firstLineChars="200"/>
              <w:jc w:val="center"/>
              <w:rPr>
                <w:rFonts w:hint="eastAsia" w:ascii="宋体" w:hAnsi="宋体"/>
                <w:color w:val="auto"/>
                <w:sz w:val="21"/>
                <w:szCs w:val="21"/>
                <w:highlight w:val="none"/>
              </w:rPr>
            </w:pPr>
          </w:p>
        </w:tc>
      </w:tr>
      <w:tr w14:paraId="58513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9217" w:type="dxa"/>
            <w:gridSpan w:val="8"/>
            <w:noWrap w:val="0"/>
            <w:vAlign w:val="center"/>
          </w:tcPr>
          <w:p w14:paraId="2888DD0F">
            <w:pPr>
              <w:spacing w:line="240" w:lineRule="atLeast"/>
              <w:rPr>
                <w:rFonts w:hint="eastAsia" w:ascii="宋体" w:hAnsi="宋体"/>
                <w:color w:val="auto"/>
                <w:sz w:val="21"/>
                <w:szCs w:val="21"/>
                <w:highlight w:val="none"/>
              </w:rPr>
            </w:pPr>
            <w:r>
              <w:rPr>
                <w:rFonts w:hint="eastAsia" w:ascii="宋体" w:hAnsi="宋体"/>
                <w:color w:val="auto"/>
                <w:sz w:val="21"/>
                <w:szCs w:val="21"/>
                <w:highlight w:val="none"/>
                <w:lang w:val="en-US" w:eastAsia="zh-CN"/>
              </w:rPr>
              <w:t>成交</w:t>
            </w:r>
            <w:r>
              <w:rPr>
                <w:rFonts w:hint="eastAsia" w:ascii="宋体" w:hAnsi="宋体"/>
                <w:color w:val="auto"/>
                <w:sz w:val="21"/>
                <w:szCs w:val="21"/>
                <w:highlight w:val="none"/>
              </w:rPr>
              <w:t>总价（小写）：</w:t>
            </w:r>
          </w:p>
        </w:tc>
      </w:tr>
      <w:tr w14:paraId="707D7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9217" w:type="dxa"/>
            <w:gridSpan w:val="8"/>
            <w:noWrap w:val="0"/>
            <w:vAlign w:val="center"/>
          </w:tcPr>
          <w:p w14:paraId="49F68E73">
            <w:pPr>
              <w:spacing w:line="240" w:lineRule="atLeast"/>
              <w:rPr>
                <w:rFonts w:hint="eastAsia" w:ascii="宋体" w:hAnsi="宋体"/>
                <w:color w:val="auto"/>
                <w:sz w:val="21"/>
                <w:szCs w:val="21"/>
                <w:highlight w:val="none"/>
              </w:rPr>
            </w:pPr>
            <w:r>
              <w:rPr>
                <w:rFonts w:hint="eastAsia" w:ascii="宋体" w:hAnsi="宋体"/>
                <w:color w:val="auto"/>
                <w:sz w:val="21"/>
                <w:szCs w:val="21"/>
                <w:highlight w:val="none"/>
                <w:lang w:val="en-US" w:eastAsia="zh-CN"/>
              </w:rPr>
              <w:t>成交</w:t>
            </w:r>
            <w:r>
              <w:rPr>
                <w:rFonts w:hint="eastAsia" w:ascii="宋体" w:hAnsi="宋体"/>
                <w:color w:val="auto"/>
                <w:sz w:val="21"/>
                <w:szCs w:val="21"/>
                <w:highlight w:val="none"/>
              </w:rPr>
              <w:t>总价（大写）：</w:t>
            </w:r>
          </w:p>
        </w:tc>
      </w:tr>
    </w:tbl>
    <w:p w14:paraId="27E7733D">
      <w:pPr>
        <w:adjustRightInd/>
        <w:spacing w:line="560" w:lineRule="exact"/>
        <w:ind w:firstLine="560" w:firstLineChars="200"/>
        <w:textAlignment w:val="auto"/>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2</w:t>
      </w:r>
      <w:r>
        <w:rPr>
          <w:rFonts w:hint="eastAsia" w:ascii="仿宋_GB2312" w:eastAsia="仿宋_GB2312"/>
          <w:color w:val="auto"/>
          <w:sz w:val="28"/>
          <w:szCs w:val="28"/>
          <w:highlight w:val="none"/>
          <w:lang w:val="en-US" w:eastAsia="zh-CN"/>
        </w:rPr>
        <w:t>.</w:t>
      </w:r>
      <w:r>
        <w:rPr>
          <w:rFonts w:hint="eastAsia" w:ascii="仿宋_GB2312" w:eastAsia="仿宋_GB2312"/>
          <w:color w:val="auto"/>
          <w:sz w:val="28"/>
          <w:szCs w:val="28"/>
          <w:highlight w:val="none"/>
        </w:rPr>
        <w:t>付款方式及时间：</w:t>
      </w:r>
    </w:p>
    <w:p w14:paraId="21DBB61D">
      <w:pPr>
        <w:spacing w:line="240" w:lineRule="atLeast"/>
        <w:ind w:firstLine="562" w:firstLineChars="200"/>
        <w:rPr>
          <w:rFonts w:hint="eastAsia" w:ascii="仿宋_GB2312" w:eastAsia="仿宋_GB2312"/>
          <w:b/>
          <w:color w:val="auto"/>
          <w:sz w:val="28"/>
          <w:szCs w:val="28"/>
          <w:highlight w:val="none"/>
        </w:rPr>
      </w:pPr>
      <w:r>
        <w:rPr>
          <w:rFonts w:hint="eastAsia" w:ascii="仿宋_GB2312" w:eastAsia="仿宋_GB2312"/>
          <w:b/>
          <w:color w:val="auto"/>
          <w:sz w:val="28"/>
          <w:szCs w:val="28"/>
          <w:highlight w:val="none"/>
        </w:rPr>
        <w:t>二、交货时间及地点</w:t>
      </w:r>
    </w:p>
    <w:p w14:paraId="3FCA4390">
      <w:pPr>
        <w:spacing w:line="240" w:lineRule="atLeas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1．交货时间：_________（</w:t>
      </w:r>
      <w:r>
        <w:rPr>
          <w:rFonts w:hint="eastAsia" w:ascii="仿宋_GB2312" w:eastAsia="仿宋_GB2312"/>
          <w:color w:val="auto"/>
          <w:sz w:val="28"/>
          <w:szCs w:val="28"/>
          <w:highlight w:val="none"/>
          <w:lang w:eastAsia="zh-CN"/>
        </w:rPr>
        <w:t>响应性</w:t>
      </w:r>
      <w:r>
        <w:rPr>
          <w:rFonts w:hint="eastAsia" w:ascii="仿宋_GB2312" w:eastAsia="仿宋_GB2312"/>
          <w:color w:val="auto"/>
          <w:sz w:val="28"/>
          <w:szCs w:val="28"/>
          <w:highlight w:val="none"/>
        </w:rPr>
        <w:t xml:space="preserve">文件承诺时间）。  </w:t>
      </w:r>
    </w:p>
    <w:p w14:paraId="209C120F">
      <w:pPr>
        <w:spacing w:line="240" w:lineRule="atLeas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2．交货地点：________。</w:t>
      </w:r>
    </w:p>
    <w:p w14:paraId="414AD637">
      <w:pPr>
        <w:spacing w:line="240" w:lineRule="atLeast"/>
        <w:ind w:firstLine="562" w:firstLineChars="200"/>
        <w:rPr>
          <w:rFonts w:hint="eastAsia" w:ascii="仿宋_GB2312" w:eastAsia="仿宋_GB2312"/>
          <w:b/>
          <w:color w:val="auto"/>
          <w:sz w:val="28"/>
          <w:szCs w:val="28"/>
          <w:highlight w:val="none"/>
        </w:rPr>
      </w:pPr>
      <w:r>
        <w:rPr>
          <w:rFonts w:hint="eastAsia" w:ascii="仿宋_GB2312" w:eastAsia="仿宋_GB2312"/>
          <w:b/>
          <w:color w:val="auto"/>
          <w:sz w:val="28"/>
          <w:szCs w:val="28"/>
          <w:highlight w:val="none"/>
        </w:rPr>
        <w:t>三、权利义务和质量保证</w:t>
      </w:r>
    </w:p>
    <w:p w14:paraId="6A3A8226">
      <w:pPr>
        <w:spacing w:line="240" w:lineRule="atLeas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1．甲方应当在到货后的</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个工作日内对货物进行验收。货物验收时，甲乙双方必须同时在场，双方共同确认货物与本合同规定的生产厂家产地、品牌、规格型号、数量、质量、技术参数和性能等是否一致。乙方所交付的货物不符合合同约定的，甲方有权拒收。乙方应及时按本合同约定和甲方要求免费对拒收货物采取更换或其他必要的补救措施，直至验收合格，方视为乙方按本合同约定完成交货。验收合格的，由双方共同签署《验收报告》；</w:t>
      </w:r>
    </w:p>
    <w:p w14:paraId="295BE1E1">
      <w:pPr>
        <w:spacing w:line="240" w:lineRule="atLeas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2．甲方有权监督乙方对所交付设备进行安装调试，并督导完成；</w:t>
      </w:r>
    </w:p>
    <w:p w14:paraId="46267313">
      <w:pPr>
        <w:spacing w:line="240" w:lineRule="atLeas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3．甲方有权监督乙方的售后服务，并对乙方的售后服务不符合合同要求时加以指出乃至追究合同责任；</w:t>
      </w:r>
    </w:p>
    <w:p w14:paraId="24B9C345">
      <w:pPr>
        <w:spacing w:line="240" w:lineRule="atLeas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4．甲方在合同约定期限内履行付款责任；</w:t>
      </w:r>
    </w:p>
    <w:p w14:paraId="6BA2990D">
      <w:pPr>
        <w:spacing w:line="240" w:lineRule="atLeas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5．甲方在乙方进行安装调试时应给予协助和协调各方关系，乙方应及时提出需要甲方协助和协调的内容，以便保证合同的正常履行；</w:t>
      </w:r>
    </w:p>
    <w:p w14:paraId="6399842E">
      <w:pPr>
        <w:spacing w:line="240" w:lineRule="atLeas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6．甲方对乙方的技术及商业机密予以保密；</w:t>
      </w:r>
    </w:p>
    <w:p w14:paraId="79478144">
      <w:pPr>
        <w:spacing w:line="240" w:lineRule="atLeas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7．乙方有权按照合同，要求甲方支付相应款项；</w:t>
      </w:r>
    </w:p>
    <w:p w14:paraId="7AEA379D">
      <w:pPr>
        <w:spacing w:line="560" w:lineRule="exact"/>
        <w:ind w:firstLine="560" w:firstLineChars="200"/>
        <w:jc w:val="both"/>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8．乙方有权在实施安装调试时，提出合乎情理的甲方协助要求；</w:t>
      </w:r>
    </w:p>
    <w:p w14:paraId="18A41F61">
      <w:pPr>
        <w:spacing w:line="240" w:lineRule="atLeas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9．乙方应保证甲方在使用该货物或其任何一部分时不受第三方提出侵犯其专利权、版权、商标权或其他权利的起诉。一旦出现侵权，索赔或诉讼，乙方应承担全部责任；</w:t>
      </w:r>
    </w:p>
    <w:p w14:paraId="4A703C86">
      <w:pPr>
        <w:spacing w:line="240" w:lineRule="atLeas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10.乙方保证货物是全新的、未使用过的，完全符合国家规范及甲乙双方确认的</w:t>
      </w:r>
      <w:r>
        <w:rPr>
          <w:rFonts w:hint="eastAsia" w:ascii="仿宋_GB2312" w:eastAsia="仿宋_GB2312"/>
          <w:color w:val="auto"/>
          <w:sz w:val="28"/>
          <w:szCs w:val="28"/>
          <w:highlight w:val="none"/>
          <w:lang w:eastAsia="zh-CN"/>
        </w:rPr>
        <w:t>响应性</w:t>
      </w:r>
      <w:r>
        <w:rPr>
          <w:rFonts w:hint="eastAsia" w:ascii="仿宋_GB2312" w:eastAsia="仿宋_GB2312"/>
          <w:color w:val="auto"/>
          <w:sz w:val="28"/>
          <w:szCs w:val="28"/>
          <w:highlight w:val="none"/>
        </w:rPr>
        <w:t>文件、本合同关于货物数量、质量的要求。货物符合实行国家“三包”规定的，应执行“三包”规定。</w:t>
      </w:r>
    </w:p>
    <w:p w14:paraId="3CECC7D1">
      <w:pPr>
        <w:spacing w:line="240" w:lineRule="atLeas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本项目质保期</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年，保修期</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年；</w:t>
      </w:r>
    </w:p>
    <w:p w14:paraId="0FFC1994">
      <w:pPr>
        <w:spacing w:line="240" w:lineRule="atLeas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11.乙方提交的货物应符合</w:t>
      </w:r>
      <w:r>
        <w:rPr>
          <w:rFonts w:hint="eastAsia" w:ascii="仿宋_GB2312" w:eastAsia="仿宋_GB2312"/>
          <w:color w:val="auto"/>
          <w:sz w:val="28"/>
          <w:szCs w:val="28"/>
          <w:highlight w:val="none"/>
          <w:lang w:eastAsia="zh-CN"/>
        </w:rPr>
        <w:t>响应性</w:t>
      </w:r>
      <w:r>
        <w:rPr>
          <w:rFonts w:hint="eastAsia" w:ascii="仿宋_GB2312" w:eastAsia="仿宋_GB2312"/>
          <w:color w:val="auto"/>
          <w:sz w:val="28"/>
          <w:szCs w:val="28"/>
          <w:highlight w:val="none"/>
        </w:rPr>
        <w:t>文件中所记载的详细配置、技术参数、参数及性能，并应附有此类货物完整、详细的技术资料和说明文件；</w:t>
      </w:r>
    </w:p>
    <w:p w14:paraId="39D44DFD">
      <w:pPr>
        <w:spacing w:line="240" w:lineRule="atLeas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12.乙方提交的货物必须按照采购文件的要求和</w:t>
      </w:r>
      <w:r>
        <w:rPr>
          <w:rFonts w:hint="eastAsia" w:ascii="仿宋_GB2312" w:eastAsia="仿宋_GB2312"/>
          <w:color w:val="auto"/>
          <w:sz w:val="28"/>
          <w:szCs w:val="28"/>
          <w:highlight w:val="none"/>
          <w:lang w:eastAsia="zh-CN"/>
        </w:rPr>
        <w:t>成交供应商响应性</w:t>
      </w:r>
      <w:r>
        <w:rPr>
          <w:rFonts w:hint="eastAsia" w:ascii="仿宋_GB2312" w:eastAsia="仿宋_GB2312"/>
          <w:color w:val="auto"/>
          <w:sz w:val="28"/>
          <w:szCs w:val="28"/>
          <w:highlight w:val="none"/>
        </w:rPr>
        <w:t>文件的承诺，以规定标准进行制造、安装；</w:t>
      </w:r>
    </w:p>
    <w:p w14:paraId="4FFFEB8E">
      <w:pPr>
        <w:spacing w:line="240" w:lineRule="atLeas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13.乙方应保证将货物按照国家或专业标准包装、确保货物安全无损运抵合同规定的交货地点，并进行安装、试运行；</w:t>
      </w:r>
    </w:p>
    <w:p w14:paraId="653D465F">
      <w:pPr>
        <w:spacing w:line="240" w:lineRule="atLeas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14.乙方保证货物不存在危及人身及财产安全的产品缺陷，否则应承担全部法律责任。</w:t>
      </w:r>
    </w:p>
    <w:p w14:paraId="472E5AEE">
      <w:pPr>
        <w:spacing w:line="240" w:lineRule="atLeast"/>
        <w:ind w:firstLine="562" w:firstLineChars="200"/>
        <w:rPr>
          <w:rFonts w:hint="eastAsia" w:ascii="仿宋_GB2312" w:eastAsia="仿宋_GB2312"/>
          <w:b/>
          <w:color w:val="auto"/>
          <w:sz w:val="28"/>
          <w:szCs w:val="28"/>
          <w:highlight w:val="none"/>
        </w:rPr>
      </w:pPr>
      <w:r>
        <w:rPr>
          <w:rFonts w:hint="eastAsia" w:ascii="仿宋_GB2312" w:eastAsia="仿宋_GB2312"/>
          <w:b/>
          <w:color w:val="auto"/>
          <w:sz w:val="28"/>
          <w:szCs w:val="28"/>
          <w:highlight w:val="none"/>
        </w:rPr>
        <w:t>四、售后服务</w:t>
      </w:r>
    </w:p>
    <w:p w14:paraId="05925647">
      <w:pPr>
        <w:spacing w:line="240" w:lineRule="atLeast"/>
        <w:ind w:firstLine="560" w:firstLineChars="200"/>
        <w:rPr>
          <w:rFonts w:hint="eastAsia" w:ascii="仿宋_GB2312" w:eastAsia="仿宋_GB2312"/>
          <w:bCs/>
          <w:color w:val="auto"/>
          <w:sz w:val="28"/>
          <w:szCs w:val="28"/>
          <w:highlight w:val="none"/>
        </w:rPr>
      </w:pPr>
      <w:r>
        <w:rPr>
          <w:rFonts w:hint="eastAsia" w:ascii="仿宋_GB2312" w:eastAsia="仿宋_GB2312"/>
          <w:bCs/>
          <w:color w:val="auto"/>
          <w:sz w:val="28"/>
          <w:szCs w:val="28"/>
          <w:highlight w:val="none"/>
        </w:rPr>
        <w:t>1.质量保证期为自货物通过最终验收之日起</w:t>
      </w:r>
      <w:r>
        <w:rPr>
          <w:rFonts w:hint="eastAsia" w:ascii="仿宋_GB2312" w:eastAsia="仿宋_GB2312"/>
          <w:bCs/>
          <w:color w:val="auto"/>
          <w:sz w:val="28"/>
          <w:szCs w:val="28"/>
          <w:highlight w:val="none"/>
          <w:u w:val="single"/>
        </w:rPr>
        <w:t xml:space="preserve">    </w:t>
      </w:r>
      <w:r>
        <w:rPr>
          <w:rFonts w:hint="eastAsia" w:ascii="仿宋_GB2312" w:eastAsia="仿宋_GB2312"/>
          <w:bCs/>
          <w:color w:val="auto"/>
          <w:sz w:val="28"/>
          <w:szCs w:val="28"/>
          <w:highlight w:val="none"/>
        </w:rPr>
        <w:t>个月。若国家有明确规定的质量保证期高于此质量保证期的，执行国家规定。</w:t>
      </w:r>
    </w:p>
    <w:p w14:paraId="79D1405F">
      <w:pPr>
        <w:spacing w:line="240" w:lineRule="atLeast"/>
        <w:ind w:firstLine="560" w:firstLineChars="200"/>
        <w:rPr>
          <w:rFonts w:hint="eastAsia" w:ascii="仿宋_GB2312" w:eastAsia="仿宋_GB2312"/>
          <w:bCs/>
          <w:color w:val="auto"/>
          <w:sz w:val="28"/>
          <w:szCs w:val="28"/>
          <w:highlight w:val="none"/>
        </w:rPr>
      </w:pPr>
      <w:r>
        <w:rPr>
          <w:rFonts w:hint="eastAsia" w:ascii="仿宋_GB2312" w:eastAsia="仿宋_GB2312"/>
          <w:bCs/>
          <w:color w:val="auto"/>
          <w:sz w:val="28"/>
          <w:szCs w:val="28"/>
          <w:highlight w:val="none"/>
        </w:rPr>
        <w:t>2.在货物质保期内，乙方应对由于设计、工艺、质量（含环保节能要求）、材料和的缺陷而发生的任何不足或故障负责，并解决存在的问题。</w:t>
      </w:r>
    </w:p>
    <w:p w14:paraId="448A76B8">
      <w:pPr>
        <w:spacing w:line="240" w:lineRule="atLeast"/>
        <w:ind w:firstLine="560" w:firstLineChars="200"/>
        <w:rPr>
          <w:rFonts w:hint="eastAsia" w:ascii="仿宋_GB2312" w:eastAsia="仿宋_GB2312"/>
          <w:bCs/>
          <w:color w:val="auto"/>
          <w:sz w:val="28"/>
          <w:szCs w:val="28"/>
          <w:highlight w:val="none"/>
        </w:rPr>
      </w:pPr>
      <w:r>
        <w:rPr>
          <w:rFonts w:hint="eastAsia" w:ascii="仿宋_GB2312" w:eastAsia="仿宋_GB2312"/>
          <w:bCs/>
          <w:color w:val="auto"/>
          <w:sz w:val="28"/>
          <w:szCs w:val="28"/>
          <w:highlight w:val="none"/>
        </w:rPr>
        <w:t>3.对不符合本合同第四条约定要求的货物应立即进行调换，调换本身并不影响甲方就其损失向乙方索赔的权利。</w:t>
      </w:r>
    </w:p>
    <w:p w14:paraId="485939DB">
      <w:pPr>
        <w:spacing w:line="240" w:lineRule="atLeast"/>
        <w:ind w:firstLine="560" w:firstLineChars="200"/>
        <w:rPr>
          <w:rFonts w:hint="eastAsia" w:ascii="仿宋_GB2312" w:eastAsia="仿宋_GB2312"/>
          <w:bCs/>
          <w:color w:val="auto"/>
          <w:sz w:val="28"/>
          <w:szCs w:val="28"/>
          <w:highlight w:val="none"/>
        </w:rPr>
      </w:pPr>
      <w:r>
        <w:rPr>
          <w:rFonts w:hint="eastAsia" w:ascii="仿宋_GB2312" w:eastAsia="仿宋_GB2312"/>
          <w:bCs/>
          <w:color w:val="auto"/>
          <w:sz w:val="28"/>
          <w:szCs w:val="28"/>
          <w:highlight w:val="none"/>
        </w:rPr>
        <w:t>4.货物安装调试完成后，乙方应继续向甲方提供良好的技术支持。应当由专门队伍从事此项工作，并提供全天候的热线技术支持服务，应当对甲方所反映的任何问题在</w:t>
      </w:r>
      <w:r>
        <w:rPr>
          <w:rFonts w:hint="eastAsia" w:ascii="仿宋_GB2312" w:eastAsia="仿宋_GB2312"/>
          <w:bCs/>
          <w:color w:val="auto"/>
          <w:sz w:val="28"/>
          <w:szCs w:val="28"/>
          <w:highlight w:val="none"/>
          <w:u w:val="single"/>
        </w:rPr>
        <w:t xml:space="preserve">    </w:t>
      </w:r>
      <w:r>
        <w:rPr>
          <w:rFonts w:hint="eastAsia" w:ascii="仿宋_GB2312" w:eastAsia="仿宋_GB2312"/>
          <w:bCs/>
          <w:color w:val="auto"/>
          <w:sz w:val="28"/>
          <w:szCs w:val="28"/>
          <w:highlight w:val="none"/>
        </w:rPr>
        <w:t>日（小时）之内做出及时响应，在</w:t>
      </w:r>
      <w:r>
        <w:rPr>
          <w:rFonts w:hint="eastAsia" w:ascii="仿宋_GB2312" w:eastAsia="仿宋_GB2312"/>
          <w:bCs/>
          <w:color w:val="auto"/>
          <w:sz w:val="28"/>
          <w:szCs w:val="28"/>
          <w:highlight w:val="none"/>
          <w:u w:val="single"/>
        </w:rPr>
        <w:t xml:space="preserve">    </w:t>
      </w:r>
      <w:r>
        <w:rPr>
          <w:rFonts w:hint="eastAsia" w:ascii="仿宋_GB2312" w:eastAsia="仿宋_GB2312"/>
          <w:bCs/>
          <w:color w:val="auto"/>
          <w:sz w:val="28"/>
          <w:szCs w:val="28"/>
          <w:highlight w:val="none"/>
        </w:rPr>
        <w:t>日（小时）之内赶到现场实地解决问题。若问题、故障在检修</w:t>
      </w:r>
      <w:r>
        <w:rPr>
          <w:rFonts w:hint="eastAsia" w:ascii="仿宋_GB2312" w:eastAsia="仿宋_GB2312"/>
          <w:bCs/>
          <w:color w:val="auto"/>
          <w:sz w:val="28"/>
          <w:szCs w:val="28"/>
          <w:highlight w:val="none"/>
          <w:u w:val="single"/>
        </w:rPr>
        <w:t xml:space="preserve">    </w:t>
      </w:r>
      <w:r>
        <w:rPr>
          <w:rFonts w:hint="eastAsia" w:ascii="仿宋_GB2312" w:eastAsia="仿宋_GB2312"/>
          <w:bCs/>
          <w:color w:val="auto"/>
          <w:sz w:val="28"/>
          <w:szCs w:val="28"/>
          <w:highlight w:val="none"/>
        </w:rPr>
        <w:t>工作日（小时）后仍无法解决，乙方应在</w:t>
      </w:r>
      <w:r>
        <w:rPr>
          <w:rFonts w:hint="eastAsia" w:ascii="仿宋_GB2312" w:eastAsia="仿宋_GB2312"/>
          <w:bCs/>
          <w:color w:val="auto"/>
          <w:sz w:val="28"/>
          <w:szCs w:val="28"/>
          <w:highlight w:val="none"/>
          <w:u w:val="single"/>
        </w:rPr>
        <w:t xml:space="preserve">     </w:t>
      </w:r>
      <w:r>
        <w:rPr>
          <w:rFonts w:hint="eastAsia" w:ascii="仿宋_GB2312" w:eastAsia="仿宋_GB2312"/>
          <w:bCs/>
          <w:color w:val="auto"/>
          <w:sz w:val="28"/>
          <w:szCs w:val="28"/>
          <w:highlight w:val="none"/>
        </w:rPr>
        <w:t>日（小时）内免费提供不低于故障货物规格型号档次的备用货物供甲方使用，直至故障货物修复。</w:t>
      </w:r>
    </w:p>
    <w:p w14:paraId="37D450A0">
      <w:pPr>
        <w:spacing w:line="240" w:lineRule="atLeast"/>
        <w:ind w:firstLine="560" w:firstLineChars="200"/>
        <w:rPr>
          <w:rFonts w:hint="eastAsia" w:ascii="仿宋_GB2312" w:eastAsia="仿宋_GB2312"/>
          <w:bCs/>
          <w:color w:val="auto"/>
          <w:sz w:val="28"/>
          <w:szCs w:val="28"/>
          <w:highlight w:val="none"/>
        </w:rPr>
      </w:pPr>
      <w:r>
        <w:rPr>
          <w:rFonts w:hint="eastAsia" w:ascii="仿宋_GB2312" w:eastAsia="仿宋_GB2312"/>
          <w:bCs/>
          <w:color w:val="auto"/>
          <w:sz w:val="28"/>
          <w:szCs w:val="28"/>
          <w:highlight w:val="none"/>
        </w:rPr>
        <w:t>5.乙方应当建立健全售后服务体系，确保货物正常运行。乙方应当遵守甲方的有关管理制度、操作规程。</w:t>
      </w:r>
    </w:p>
    <w:p w14:paraId="417EFFDE">
      <w:pPr>
        <w:spacing w:line="240" w:lineRule="atLeast"/>
        <w:ind w:firstLine="560" w:firstLineChars="200"/>
        <w:rPr>
          <w:rFonts w:hint="eastAsia" w:ascii="仿宋_GB2312" w:eastAsia="仿宋_GB2312"/>
          <w:bCs/>
          <w:color w:val="auto"/>
          <w:sz w:val="28"/>
          <w:szCs w:val="28"/>
          <w:highlight w:val="none"/>
        </w:rPr>
      </w:pPr>
      <w:r>
        <w:rPr>
          <w:rFonts w:hint="eastAsia" w:ascii="仿宋_GB2312" w:eastAsia="仿宋_GB2312"/>
          <w:bCs/>
          <w:color w:val="auto"/>
          <w:sz w:val="28"/>
          <w:szCs w:val="28"/>
          <w:highlight w:val="none"/>
        </w:rPr>
        <w:t>6.乙方应负责货物及主要部件、配件维修更换。质保期内，乙方对货物（人为故意损坏除外）提供全免费保修或免费更换；质保期后，收取维修成本费（备品备件乙方应以</w:t>
      </w:r>
      <w:r>
        <w:rPr>
          <w:rFonts w:hint="eastAsia" w:ascii="仿宋_GB2312" w:eastAsia="仿宋_GB2312"/>
          <w:bCs/>
          <w:color w:val="auto"/>
          <w:sz w:val="28"/>
          <w:szCs w:val="28"/>
          <w:highlight w:val="none"/>
          <w:lang w:eastAsia="zh-CN"/>
        </w:rPr>
        <w:t>响应性</w:t>
      </w:r>
      <w:r>
        <w:rPr>
          <w:rFonts w:hint="eastAsia" w:ascii="仿宋_GB2312" w:eastAsia="仿宋_GB2312"/>
          <w:bCs/>
          <w:color w:val="auto"/>
          <w:sz w:val="28"/>
          <w:szCs w:val="28"/>
          <w:highlight w:val="none"/>
        </w:rPr>
        <w:t>文件承诺的优惠价格提供）。</w:t>
      </w:r>
    </w:p>
    <w:p w14:paraId="7CDCC335">
      <w:pPr>
        <w:spacing w:line="360" w:lineRule="auto"/>
        <w:ind w:firstLine="562" w:firstLineChars="200"/>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五、合同的生效</w:t>
      </w:r>
    </w:p>
    <w:p w14:paraId="60996CF6">
      <w:pPr>
        <w:spacing w:line="240" w:lineRule="atLeast"/>
        <w:ind w:firstLine="560" w:firstLineChars="200"/>
        <w:rPr>
          <w:rFonts w:hint="eastAsia" w:ascii="仿宋_GB2312" w:eastAsia="仿宋_GB2312" w:cs="宋体"/>
          <w:bCs/>
          <w:color w:val="auto"/>
          <w:sz w:val="28"/>
          <w:szCs w:val="28"/>
          <w:highlight w:val="none"/>
        </w:rPr>
      </w:pPr>
      <w:r>
        <w:rPr>
          <w:rFonts w:hint="eastAsia" w:ascii="仿宋_GB2312" w:eastAsia="仿宋_GB2312" w:cs="宋体"/>
          <w:bCs/>
          <w:color w:val="auto"/>
          <w:sz w:val="28"/>
          <w:szCs w:val="28"/>
          <w:highlight w:val="none"/>
        </w:rPr>
        <w:t>1.本合同经双方法定代表人或委托代理人签字并加盖公章或合同专用章之日起生效；</w:t>
      </w:r>
    </w:p>
    <w:p w14:paraId="651B1DD3">
      <w:pPr>
        <w:spacing w:line="240" w:lineRule="atLeast"/>
        <w:ind w:firstLine="560" w:firstLineChars="200"/>
        <w:rPr>
          <w:rFonts w:hint="eastAsia" w:ascii="仿宋_GB2312" w:eastAsia="仿宋_GB2312" w:cs="宋体"/>
          <w:bCs/>
          <w:color w:val="auto"/>
          <w:sz w:val="28"/>
          <w:szCs w:val="28"/>
          <w:highlight w:val="none"/>
        </w:rPr>
      </w:pPr>
      <w:r>
        <w:rPr>
          <w:rFonts w:hint="eastAsia" w:ascii="仿宋_GB2312" w:eastAsia="仿宋_GB2312" w:cs="宋体"/>
          <w:bCs/>
          <w:color w:val="auto"/>
          <w:sz w:val="28"/>
          <w:szCs w:val="28"/>
          <w:highlight w:val="none"/>
        </w:rPr>
        <w:t>2.生效后，除《政府采购法》第49条、第50条第二款规定的情形外，甲乙双方不得擅自变更、中止或解除合同。</w:t>
      </w:r>
    </w:p>
    <w:p w14:paraId="40784856">
      <w:pPr>
        <w:spacing w:line="240" w:lineRule="atLeast"/>
        <w:ind w:firstLine="562" w:firstLineChars="200"/>
        <w:rPr>
          <w:rFonts w:hint="eastAsia" w:ascii="仿宋_GB2312" w:eastAsia="仿宋_GB2312"/>
          <w:b/>
          <w:color w:val="auto"/>
          <w:sz w:val="28"/>
          <w:szCs w:val="28"/>
          <w:highlight w:val="none"/>
        </w:rPr>
      </w:pPr>
      <w:r>
        <w:rPr>
          <w:rFonts w:hint="eastAsia" w:ascii="仿宋_GB2312" w:eastAsia="仿宋_GB2312"/>
          <w:b/>
          <w:color w:val="auto"/>
          <w:sz w:val="28"/>
          <w:szCs w:val="28"/>
          <w:highlight w:val="none"/>
        </w:rPr>
        <w:t>六、违约责任</w:t>
      </w:r>
    </w:p>
    <w:p w14:paraId="7D8C9633">
      <w:pPr>
        <w:spacing w:line="240" w:lineRule="atLeast"/>
        <w:ind w:firstLine="560" w:firstLineChars="200"/>
        <w:rPr>
          <w:rFonts w:hint="eastAsia" w:ascii="仿宋_GB2312" w:eastAsia="仿宋_GB2312"/>
          <w:bCs/>
          <w:color w:val="auto"/>
          <w:sz w:val="28"/>
          <w:szCs w:val="28"/>
          <w:highlight w:val="none"/>
        </w:rPr>
      </w:pPr>
      <w:r>
        <w:rPr>
          <w:rFonts w:hint="eastAsia" w:ascii="仿宋_GB2312" w:eastAsia="仿宋_GB2312"/>
          <w:bCs/>
          <w:color w:val="auto"/>
          <w:sz w:val="28"/>
          <w:szCs w:val="28"/>
          <w:highlight w:val="none"/>
        </w:rPr>
        <w:t>1.乙方所交付的货物不符合本合同约定的，甲方有权拒收，乙方在得到甲方通知之日起</w:t>
      </w:r>
      <w:r>
        <w:rPr>
          <w:rFonts w:hint="eastAsia" w:ascii="仿宋_GB2312" w:eastAsia="仿宋_GB2312"/>
          <w:bCs/>
          <w:color w:val="auto"/>
          <w:sz w:val="28"/>
          <w:szCs w:val="28"/>
          <w:highlight w:val="none"/>
          <w:u w:val="single"/>
        </w:rPr>
        <w:t xml:space="preserve">     </w:t>
      </w:r>
      <w:r>
        <w:rPr>
          <w:rFonts w:hint="eastAsia" w:ascii="仿宋_GB2312" w:eastAsia="仿宋_GB2312"/>
          <w:bCs/>
          <w:color w:val="auto"/>
          <w:sz w:val="28"/>
          <w:szCs w:val="28"/>
          <w:highlight w:val="none"/>
        </w:rPr>
        <w:t>个工作日内采取补救措施，逾期仍未采取有效措施的，甲方有权要求乙方赔偿因此造成的损失或扣留履约保证金；同时乙方应向甲方支付合同总价</w:t>
      </w:r>
      <w:r>
        <w:rPr>
          <w:rFonts w:hint="eastAsia" w:ascii="仿宋_GB2312" w:eastAsia="仿宋_GB2312"/>
          <w:bCs/>
          <w:color w:val="auto"/>
          <w:sz w:val="28"/>
          <w:szCs w:val="28"/>
          <w:highlight w:val="none"/>
          <w:u w:val="single"/>
        </w:rPr>
        <w:t xml:space="preserve">      </w:t>
      </w:r>
      <w:r>
        <w:rPr>
          <w:rFonts w:hint="eastAsia" w:ascii="仿宋_GB2312" w:eastAsia="仿宋_GB2312"/>
          <w:bCs/>
          <w:color w:val="auto"/>
          <w:sz w:val="28"/>
          <w:szCs w:val="28"/>
          <w:highlight w:val="none"/>
        </w:rPr>
        <w:t>％的违约金。</w:t>
      </w:r>
    </w:p>
    <w:p w14:paraId="7C6C3A01">
      <w:pPr>
        <w:spacing w:line="240" w:lineRule="atLeast"/>
        <w:ind w:firstLine="560" w:firstLineChars="200"/>
        <w:rPr>
          <w:rFonts w:hint="eastAsia" w:ascii="仿宋_GB2312" w:eastAsia="仿宋_GB2312"/>
          <w:bCs/>
          <w:color w:val="auto"/>
          <w:sz w:val="28"/>
          <w:szCs w:val="28"/>
          <w:highlight w:val="none"/>
        </w:rPr>
      </w:pPr>
      <w:r>
        <w:rPr>
          <w:rFonts w:hint="eastAsia" w:ascii="仿宋_GB2312" w:eastAsia="仿宋_GB2312"/>
          <w:bCs/>
          <w:color w:val="auto"/>
          <w:sz w:val="28"/>
          <w:szCs w:val="28"/>
          <w:highlight w:val="none"/>
        </w:rPr>
        <w:t>2.甲方无正当理由拒收货物、拒付货款的，甲方应向乙方偿付拒付货款</w:t>
      </w:r>
      <w:r>
        <w:rPr>
          <w:rFonts w:hint="eastAsia" w:ascii="仿宋_GB2312" w:eastAsia="仿宋_GB2312"/>
          <w:bCs/>
          <w:color w:val="auto"/>
          <w:sz w:val="28"/>
          <w:szCs w:val="28"/>
          <w:highlight w:val="none"/>
          <w:u w:val="single"/>
        </w:rPr>
        <w:t xml:space="preserve">    </w:t>
      </w:r>
      <w:r>
        <w:rPr>
          <w:rFonts w:hint="eastAsia" w:ascii="仿宋_GB2312" w:eastAsia="仿宋_GB2312"/>
          <w:bCs/>
          <w:color w:val="auto"/>
          <w:sz w:val="28"/>
          <w:szCs w:val="28"/>
          <w:highlight w:val="none"/>
        </w:rPr>
        <w:t>％的违约金。</w:t>
      </w:r>
    </w:p>
    <w:p w14:paraId="256AD794">
      <w:pPr>
        <w:spacing w:line="240" w:lineRule="atLeast"/>
        <w:ind w:firstLine="560" w:firstLineChars="200"/>
        <w:rPr>
          <w:rFonts w:hint="eastAsia" w:ascii="仿宋_GB2312" w:eastAsia="仿宋_GB2312"/>
          <w:bCs/>
          <w:color w:val="auto"/>
          <w:sz w:val="28"/>
          <w:szCs w:val="28"/>
          <w:highlight w:val="none"/>
        </w:rPr>
      </w:pPr>
      <w:r>
        <w:rPr>
          <w:rFonts w:hint="eastAsia" w:ascii="仿宋_GB2312" w:eastAsia="仿宋_GB2312"/>
          <w:bCs/>
          <w:color w:val="auto"/>
          <w:sz w:val="28"/>
          <w:szCs w:val="28"/>
          <w:highlight w:val="none"/>
        </w:rPr>
        <w:t>3.乙方无正当理由逾期交付货物的，每逾期1天，乙方向甲方偿付逾期交货部分货款总额的</w:t>
      </w:r>
      <w:r>
        <w:rPr>
          <w:rFonts w:hint="eastAsia" w:ascii="仿宋_GB2312" w:eastAsia="仿宋_GB2312"/>
          <w:bCs/>
          <w:color w:val="auto"/>
          <w:sz w:val="28"/>
          <w:szCs w:val="28"/>
          <w:highlight w:val="none"/>
          <w:u w:val="single"/>
        </w:rPr>
        <w:t xml:space="preserve">    </w:t>
      </w:r>
      <w:r>
        <w:rPr>
          <w:rFonts w:hint="eastAsia" w:ascii="仿宋_GB2312" w:eastAsia="仿宋_GB2312"/>
          <w:bCs/>
          <w:color w:val="auto"/>
          <w:sz w:val="28"/>
          <w:szCs w:val="28"/>
          <w:highlight w:val="none"/>
        </w:rPr>
        <w:t>‰的违约金。如乙方逾期交货达</w:t>
      </w:r>
      <w:r>
        <w:rPr>
          <w:rFonts w:hint="eastAsia" w:ascii="仿宋_GB2312" w:eastAsia="仿宋_GB2312"/>
          <w:bCs/>
          <w:color w:val="auto"/>
          <w:sz w:val="28"/>
          <w:szCs w:val="28"/>
          <w:highlight w:val="none"/>
          <w:u w:val="single"/>
        </w:rPr>
        <w:t xml:space="preserve">    </w:t>
      </w:r>
      <w:r>
        <w:rPr>
          <w:rFonts w:hint="eastAsia" w:ascii="仿宋_GB2312" w:eastAsia="仿宋_GB2312"/>
          <w:bCs/>
          <w:color w:val="auto"/>
          <w:sz w:val="28"/>
          <w:szCs w:val="28"/>
          <w:highlight w:val="none"/>
        </w:rPr>
        <w:t>天，甲方有权解除合同，甲方解除合同的通知自到达乙方时生效。在此情况下，乙方给甲方造成的实际损失高于违约金的，对高出违约金的部分乙方应予以赔偿。</w:t>
      </w:r>
    </w:p>
    <w:p w14:paraId="2BC6CCF3">
      <w:pPr>
        <w:spacing w:line="240" w:lineRule="atLeast"/>
        <w:ind w:firstLine="560" w:firstLineChars="200"/>
        <w:jc w:val="both"/>
        <w:rPr>
          <w:rFonts w:hint="eastAsia" w:ascii="仿宋_GB2312" w:eastAsia="仿宋_GB2312"/>
          <w:bCs/>
          <w:color w:val="auto"/>
          <w:sz w:val="28"/>
          <w:szCs w:val="28"/>
          <w:highlight w:val="none"/>
        </w:rPr>
      </w:pPr>
      <w:r>
        <w:rPr>
          <w:rFonts w:hint="eastAsia" w:ascii="仿宋_GB2312" w:eastAsia="仿宋_GB2312"/>
          <w:bCs/>
          <w:color w:val="auto"/>
          <w:sz w:val="28"/>
          <w:szCs w:val="28"/>
          <w:highlight w:val="none"/>
        </w:rPr>
        <w:t>4.甲方未按合同规定的期限向乙方支付货款的，每逾期1天甲方向乙方支付应付金额的</w:t>
      </w:r>
      <w:r>
        <w:rPr>
          <w:rFonts w:hint="eastAsia" w:ascii="仿宋_GB2312" w:eastAsia="仿宋_GB2312"/>
          <w:bCs/>
          <w:color w:val="auto"/>
          <w:sz w:val="28"/>
          <w:szCs w:val="28"/>
          <w:highlight w:val="none"/>
          <w:u w:val="single"/>
        </w:rPr>
        <w:t xml:space="preserve">    </w:t>
      </w:r>
      <w:r>
        <w:rPr>
          <w:rFonts w:hint="eastAsia" w:ascii="仿宋_GB2312" w:eastAsia="仿宋_GB2312"/>
          <w:bCs/>
          <w:color w:val="auto"/>
          <w:sz w:val="28"/>
          <w:szCs w:val="28"/>
          <w:highlight w:val="none"/>
        </w:rPr>
        <w:t>‰违约金，但累计违约金总额不超过应付款总额的</w:t>
      </w:r>
      <w:r>
        <w:rPr>
          <w:rFonts w:hint="eastAsia" w:ascii="仿宋_GB2312" w:eastAsia="仿宋_GB2312"/>
          <w:bCs/>
          <w:color w:val="auto"/>
          <w:sz w:val="28"/>
          <w:szCs w:val="28"/>
          <w:highlight w:val="none"/>
          <w:u w:val="single"/>
        </w:rPr>
        <w:t xml:space="preserve">    </w:t>
      </w:r>
      <w:r>
        <w:rPr>
          <w:rFonts w:hint="eastAsia" w:ascii="仿宋_GB2312" w:eastAsia="仿宋_GB2312"/>
          <w:bCs/>
          <w:color w:val="auto"/>
          <w:sz w:val="28"/>
          <w:szCs w:val="28"/>
          <w:highlight w:val="none"/>
        </w:rPr>
        <w:t>％。</w:t>
      </w:r>
    </w:p>
    <w:p w14:paraId="6497C29A">
      <w:pPr>
        <w:spacing w:line="240" w:lineRule="atLeast"/>
        <w:ind w:firstLine="560" w:firstLineChars="200"/>
        <w:rPr>
          <w:rFonts w:hint="eastAsia" w:ascii="仿宋_GB2312" w:eastAsia="仿宋_GB2312"/>
          <w:bCs/>
          <w:color w:val="auto"/>
          <w:sz w:val="28"/>
          <w:szCs w:val="28"/>
          <w:highlight w:val="none"/>
        </w:rPr>
      </w:pPr>
      <w:r>
        <w:rPr>
          <w:rFonts w:hint="eastAsia" w:ascii="仿宋_GB2312" w:eastAsia="仿宋_GB2312"/>
          <w:bCs/>
          <w:color w:val="auto"/>
          <w:sz w:val="28"/>
          <w:szCs w:val="28"/>
          <w:highlight w:val="none"/>
        </w:rPr>
        <w:t>5.在乙方承诺的或国家规定的质量保证期内（取两者中最长的期限），如经乙方两次维修，货物仍不能达到合同规定的质量标准、运行效果的，甲方有权要求乙方更换为全新合格货物并按本条第1款处理，同时，乙方还须赔偿甲方因此遭受的损失。</w:t>
      </w:r>
    </w:p>
    <w:p w14:paraId="2319E7EE">
      <w:pPr>
        <w:spacing w:line="240" w:lineRule="atLeast"/>
        <w:ind w:firstLine="560" w:firstLineChars="200"/>
        <w:rPr>
          <w:rFonts w:hint="eastAsia" w:ascii="仿宋_GB2312" w:eastAsia="仿宋_GB2312"/>
          <w:bCs/>
          <w:color w:val="auto"/>
          <w:sz w:val="28"/>
          <w:szCs w:val="28"/>
          <w:highlight w:val="none"/>
        </w:rPr>
      </w:pPr>
      <w:r>
        <w:rPr>
          <w:rFonts w:hint="eastAsia" w:ascii="仿宋_GB2312" w:eastAsia="仿宋_GB2312"/>
          <w:bCs/>
          <w:color w:val="auto"/>
          <w:sz w:val="28"/>
          <w:szCs w:val="28"/>
          <w:highlight w:val="none"/>
        </w:rPr>
        <w:t>6.其它未尽事宜，以《</w:t>
      </w:r>
      <w:r>
        <w:rPr>
          <w:rFonts w:hint="eastAsia" w:ascii="仿宋_GB2312" w:eastAsia="仿宋_GB2312"/>
          <w:bCs/>
          <w:color w:val="auto"/>
          <w:sz w:val="28"/>
          <w:szCs w:val="28"/>
          <w:highlight w:val="none"/>
          <w:lang w:val="en-US" w:eastAsia="zh-CN"/>
        </w:rPr>
        <w:t>民法典</w:t>
      </w:r>
      <w:r>
        <w:rPr>
          <w:rFonts w:hint="eastAsia" w:ascii="仿宋_GB2312" w:eastAsia="仿宋_GB2312"/>
          <w:bCs/>
          <w:color w:val="auto"/>
          <w:sz w:val="28"/>
          <w:szCs w:val="28"/>
          <w:highlight w:val="none"/>
        </w:rPr>
        <w:t>》和《政府采购法》等有关法律法规规定为准，无相关规定的，双方协商解决。</w:t>
      </w:r>
    </w:p>
    <w:p w14:paraId="44F5BD1D">
      <w:pPr>
        <w:spacing w:line="240" w:lineRule="atLeast"/>
        <w:ind w:firstLine="562" w:firstLineChars="200"/>
        <w:rPr>
          <w:rFonts w:hint="eastAsia" w:ascii="仿宋_GB2312" w:eastAsia="仿宋_GB2312"/>
          <w:b/>
          <w:color w:val="auto"/>
          <w:sz w:val="28"/>
          <w:szCs w:val="28"/>
          <w:highlight w:val="none"/>
        </w:rPr>
      </w:pPr>
      <w:r>
        <w:rPr>
          <w:rFonts w:hint="eastAsia" w:ascii="仿宋_GB2312" w:eastAsia="仿宋_GB2312"/>
          <w:b/>
          <w:color w:val="auto"/>
          <w:sz w:val="28"/>
          <w:szCs w:val="28"/>
          <w:highlight w:val="none"/>
        </w:rPr>
        <w:t>七、 不可抗力</w:t>
      </w:r>
    </w:p>
    <w:p w14:paraId="5D279337">
      <w:pPr>
        <w:spacing w:line="240" w:lineRule="atLeast"/>
        <w:ind w:firstLine="560" w:firstLineChars="200"/>
        <w:rPr>
          <w:rFonts w:hint="eastAsia" w:ascii="仿宋_GB2312" w:eastAsia="仿宋_GB2312"/>
          <w:bCs/>
          <w:color w:val="auto"/>
          <w:sz w:val="28"/>
          <w:szCs w:val="28"/>
          <w:highlight w:val="none"/>
        </w:rPr>
      </w:pPr>
      <w:r>
        <w:rPr>
          <w:rFonts w:hint="eastAsia" w:ascii="仿宋_GB2312" w:eastAsia="仿宋_GB2312"/>
          <w:bCs/>
          <w:color w:val="auto"/>
          <w:sz w:val="28"/>
          <w:szCs w:val="28"/>
          <w:highlight w:val="none"/>
        </w:rPr>
        <w:t>甲、乙方中任何一方，因不可抗力不能按时或完全履行合同的，应及时通知对方，并在不可抗力发生后</w:t>
      </w:r>
      <w:r>
        <w:rPr>
          <w:rFonts w:hint="eastAsia" w:ascii="仿宋_GB2312" w:eastAsia="仿宋_GB2312"/>
          <w:bCs/>
          <w:color w:val="auto"/>
          <w:sz w:val="28"/>
          <w:szCs w:val="28"/>
          <w:highlight w:val="none"/>
          <w:u w:val="single"/>
        </w:rPr>
        <w:t xml:space="preserve">    </w:t>
      </w:r>
      <w:r>
        <w:rPr>
          <w:rFonts w:hint="eastAsia" w:ascii="仿宋_GB2312" w:eastAsia="仿宋_GB2312"/>
          <w:bCs/>
          <w:color w:val="auto"/>
          <w:sz w:val="28"/>
          <w:szCs w:val="28"/>
          <w:highlight w:val="none"/>
        </w:rPr>
        <w:t>个工作日内提供相应证明。未履行完合同部分是否继续履行、如何履行等问题，可由双方初步协商，并向主管部门和采购管理部门报告。确定为不可抗力原因造成的损失，免予承担责任。</w:t>
      </w:r>
    </w:p>
    <w:p w14:paraId="66E33330">
      <w:pPr>
        <w:spacing w:line="240" w:lineRule="atLeast"/>
        <w:ind w:firstLine="562" w:firstLineChars="200"/>
        <w:rPr>
          <w:rFonts w:hint="eastAsia" w:ascii="仿宋_GB2312" w:eastAsia="仿宋_GB2312"/>
          <w:b/>
          <w:color w:val="auto"/>
          <w:sz w:val="28"/>
          <w:szCs w:val="28"/>
          <w:highlight w:val="none"/>
        </w:rPr>
      </w:pPr>
      <w:r>
        <w:rPr>
          <w:rFonts w:hint="eastAsia" w:ascii="仿宋_GB2312" w:eastAsia="仿宋_GB2312"/>
          <w:b/>
          <w:color w:val="auto"/>
          <w:sz w:val="28"/>
          <w:szCs w:val="28"/>
          <w:highlight w:val="none"/>
        </w:rPr>
        <w:t>八、 争议的解决方式</w:t>
      </w:r>
    </w:p>
    <w:p w14:paraId="24A40C7B">
      <w:pPr>
        <w:spacing w:line="240" w:lineRule="atLeast"/>
        <w:ind w:firstLine="560" w:firstLineChars="200"/>
        <w:rPr>
          <w:rFonts w:hint="eastAsia" w:ascii="仿宋_GB2312" w:eastAsia="仿宋_GB2312"/>
          <w:bCs/>
          <w:color w:val="auto"/>
          <w:sz w:val="28"/>
          <w:szCs w:val="28"/>
          <w:highlight w:val="none"/>
        </w:rPr>
      </w:pPr>
      <w:r>
        <w:rPr>
          <w:rFonts w:hint="eastAsia" w:ascii="仿宋_GB2312" w:eastAsia="仿宋_GB2312"/>
          <w:bCs/>
          <w:color w:val="auto"/>
          <w:sz w:val="28"/>
          <w:szCs w:val="28"/>
          <w:highlight w:val="none"/>
        </w:rPr>
        <w:t>1.因货物的质量问题发生争议的，双方共同邀请国家认可的质量检测机构对货物质量进行鉴定，鉴定费用由乙方垫付，货物符合标准的，鉴定费由甲方承担；货物不符合质量标准的，鉴定费由乙方承担。</w:t>
      </w:r>
    </w:p>
    <w:p w14:paraId="5448E361">
      <w:pPr>
        <w:spacing w:line="240" w:lineRule="atLeast"/>
        <w:ind w:firstLine="560" w:firstLineChars="200"/>
        <w:rPr>
          <w:rFonts w:hint="eastAsia" w:ascii="仿宋_GB2312" w:eastAsia="仿宋_GB2312"/>
          <w:bCs/>
          <w:color w:val="auto"/>
          <w:sz w:val="28"/>
          <w:szCs w:val="28"/>
          <w:highlight w:val="none"/>
        </w:rPr>
      </w:pPr>
      <w:r>
        <w:rPr>
          <w:rFonts w:hint="eastAsia" w:ascii="仿宋_GB2312" w:eastAsia="仿宋_GB2312"/>
          <w:bCs/>
          <w:color w:val="auto"/>
          <w:sz w:val="28"/>
          <w:szCs w:val="28"/>
          <w:highlight w:val="none"/>
        </w:rPr>
        <w:t>2.在解释或者执行本合同的过程中发生争议时，双方应通过协商方式解决。</w:t>
      </w:r>
    </w:p>
    <w:p w14:paraId="58F5D5F2">
      <w:pPr>
        <w:spacing w:line="240" w:lineRule="atLeast"/>
        <w:ind w:firstLine="560" w:firstLineChars="200"/>
        <w:rPr>
          <w:rFonts w:hint="eastAsia" w:ascii="仿宋_GB2312" w:eastAsia="仿宋_GB2312"/>
          <w:bCs/>
          <w:color w:val="auto"/>
          <w:sz w:val="28"/>
          <w:szCs w:val="28"/>
          <w:highlight w:val="none"/>
        </w:rPr>
      </w:pPr>
      <w:r>
        <w:rPr>
          <w:rFonts w:hint="eastAsia" w:ascii="仿宋_GB2312" w:eastAsia="仿宋_GB2312"/>
          <w:bCs/>
          <w:color w:val="auto"/>
          <w:sz w:val="28"/>
          <w:szCs w:val="28"/>
          <w:highlight w:val="none"/>
        </w:rPr>
        <w:t>3.经协商不能解决的争议，双方可选择以下第</w:t>
      </w:r>
      <w:r>
        <w:rPr>
          <w:rFonts w:hint="eastAsia" w:ascii="仿宋_GB2312" w:eastAsia="仿宋_GB2312"/>
          <w:bCs/>
          <w:color w:val="auto"/>
          <w:sz w:val="28"/>
          <w:szCs w:val="28"/>
          <w:highlight w:val="none"/>
          <w:u w:val="single"/>
        </w:rPr>
        <w:t xml:space="preserve">   </w:t>
      </w:r>
      <w:r>
        <w:rPr>
          <w:rFonts w:hint="eastAsia" w:ascii="仿宋_GB2312" w:eastAsia="仿宋_GB2312"/>
          <w:bCs/>
          <w:color w:val="auto"/>
          <w:sz w:val="28"/>
          <w:szCs w:val="28"/>
          <w:highlight w:val="none"/>
        </w:rPr>
        <w:t>种方式解决：</w:t>
      </w:r>
    </w:p>
    <w:p w14:paraId="5EFA4BF0">
      <w:pPr>
        <w:spacing w:line="240" w:lineRule="atLeast"/>
        <w:ind w:firstLine="560" w:firstLineChars="200"/>
        <w:rPr>
          <w:rFonts w:hint="eastAsia" w:ascii="仿宋_GB2312" w:eastAsia="仿宋_GB2312"/>
          <w:bCs/>
          <w:color w:val="auto"/>
          <w:sz w:val="28"/>
          <w:szCs w:val="28"/>
          <w:highlight w:val="none"/>
        </w:rPr>
      </w:pPr>
      <w:r>
        <w:rPr>
          <w:rFonts w:hint="eastAsia" w:ascii="仿宋_GB2312" w:eastAsia="仿宋_GB2312"/>
          <w:bCs/>
          <w:color w:val="auto"/>
          <w:sz w:val="28"/>
          <w:szCs w:val="28"/>
          <w:highlight w:val="none"/>
        </w:rPr>
        <w:t>①向甲方所在地有管辖权的法院提起诉讼；</w:t>
      </w:r>
    </w:p>
    <w:p w14:paraId="633E4453">
      <w:pPr>
        <w:spacing w:line="240" w:lineRule="atLeast"/>
        <w:ind w:firstLine="560" w:firstLineChars="200"/>
        <w:rPr>
          <w:rFonts w:hint="eastAsia" w:ascii="仿宋_GB2312" w:eastAsia="仿宋_GB2312"/>
          <w:bCs/>
          <w:color w:val="auto"/>
          <w:sz w:val="28"/>
          <w:szCs w:val="28"/>
          <w:highlight w:val="none"/>
        </w:rPr>
      </w:pPr>
      <w:r>
        <w:rPr>
          <w:rFonts w:hint="eastAsia" w:ascii="仿宋_GB2312" w:eastAsia="仿宋_GB2312"/>
          <w:bCs/>
          <w:color w:val="auto"/>
          <w:sz w:val="28"/>
          <w:szCs w:val="28"/>
          <w:highlight w:val="none"/>
        </w:rPr>
        <w:t>②向</w:t>
      </w:r>
      <w:r>
        <w:rPr>
          <w:rFonts w:hint="eastAsia" w:ascii="仿宋_GB2312" w:eastAsia="仿宋_GB2312"/>
          <w:bCs/>
          <w:color w:val="auto"/>
          <w:sz w:val="28"/>
          <w:szCs w:val="28"/>
          <w:highlight w:val="none"/>
          <w:u w:val="single"/>
          <w:lang w:val="en-US" w:eastAsia="zh-CN"/>
        </w:rPr>
        <w:t xml:space="preserve">     </w:t>
      </w:r>
      <w:r>
        <w:rPr>
          <w:rFonts w:hint="eastAsia" w:ascii="仿宋_GB2312" w:eastAsia="仿宋_GB2312"/>
          <w:bCs/>
          <w:color w:val="auto"/>
          <w:sz w:val="28"/>
          <w:szCs w:val="28"/>
          <w:highlight w:val="none"/>
        </w:rPr>
        <w:t>仲裁委员会提出仲裁。</w:t>
      </w:r>
    </w:p>
    <w:p w14:paraId="76DD80F6">
      <w:pPr>
        <w:spacing w:line="240" w:lineRule="atLeast"/>
        <w:ind w:firstLine="560" w:firstLineChars="200"/>
        <w:rPr>
          <w:rFonts w:hint="eastAsia" w:ascii="仿宋_GB2312" w:eastAsia="仿宋_GB2312"/>
          <w:bCs/>
          <w:color w:val="auto"/>
          <w:sz w:val="28"/>
          <w:szCs w:val="28"/>
          <w:highlight w:val="none"/>
        </w:rPr>
      </w:pPr>
      <w:r>
        <w:rPr>
          <w:rFonts w:hint="eastAsia" w:ascii="仿宋_GB2312" w:eastAsia="仿宋_GB2312"/>
          <w:bCs/>
          <w:color w:val="auto"/>
          <w:sz w:val="28"/>
          <w:szCs w:val="28"/>
          <w:highlight w:val="none"/>
        </w:rPr>
        <w:t>4.在诉讼审理或仲裁期间，除有争议部分外，本合同其他部分可以履行的仍应按合同条款继续履行。</w:t>
      </w:r>
    </w:p>
    <w:p w14:paraId="5262BF9F">
      <w:pPr>
        <w:spacing w:line="240" w:lineRule="atLeast"/>
        <w:ind w:firstLine="562" w:firstLineChars="200"/>
        <w:rPr>
          <w:rFonts w:hint="eastAsia" w:ascii="仿宋_GB2312" w:eastAsia="仿宋_GB2312"/>
          <w:b/>
          <w:color w:val="auto"/>
          <w:sz w:val="28"/>
          <w:szCs w:val="28"/>
          <w:highlight w:val="none"/>
        </w:rPr>
      </w:pPr>
      <w:r>
        <w:rPr>
          <w:rFonts w:hint="eastAsia" w:ascii="仿宋_GB2312" w:eastAsia="仿宋_GB2312"/>
          <w:b/>
          <w:color w:val="auto"/>
          <w:sz w:val="28"/>
          <w:szCs w:val="28"/>
          <w:highlight w:val="none"/>
        </w:rPr>
        <w:t>九、其他</w:t>
      </w:r>
    </w:p>
    <w:p w14:paraId="068CE42F">
      <w:pPr>
        <w:spacing w:line="240" w:lineRule="atLeas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1．本合同一式三份，甲乙双方各执一份，采购代理机构一份；</w:t>
      </w:r>
    </w:p>
    <w:p w14:paraId="3616DA66">
      <w:pPr>
        <w:spacing w:line="240" w:lineRule="atLeas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2．本合同自法定代表人或委托代理人签字并加盖公章或合同专用章之日起生效；</w:t>
      </w:r>
    </w:p>
    <w:p w14:paraId="1729974F">
      <w:pPr>
        <w:spacing w:line="240" w:lineRule="atLeas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3．本项目的</w:t>
      </w:r>
      <w:r>
        <w:rPr>
          <w:rFonts w:hint="eastAsia" w:ascii="仿宋_GB2312" w:eastAsia="仿宋_GB2312"/>
          <w:color w:val="auto"/>
          <w:sz w:val="28"/>
          <w:szCs w:val="28"/>
          <w:highlight w:val="none"/>
          <w:lang w:eastAsia="zh-CN"/>
        </w:rPr>
        <w:t>磋商</w:t>
      </w:r>
      <w:r>
        <w:rPr>
          <w:rFonts w:hint="eastAsia" w:ascii="仿宋_GB2312" w:eastAsia="仿宋_GB2312"/>
          <w:color w:val="auto"/>
          <w:sz w:val="28"/>
          <w:szCs w:val="28"/>
          <w:highlight w:val="none"/>
        </w:rPr>
        <w:t>文件、</w:t>
      </w:r>
      <w:r>
        <w:rPr>
          <w:rFonts w:hint="eastAsia" w:ascii="仿宋_GB2312" w:eastAsia="仿宋_GB2312"/>
          <w:color w:val="auto"/>
          <w:sz w:val="28"/>
          <w:szCs w:val="28"/>
          <w:highlight w:val="none"/>
          <w:lang w:eastAsia="zh-CN"/>
        </w:rPr>
        <w:t>响应性</w:t>
      </w:r>
      <w:r>
        <w:rPr>
          <w:rFonts w:hint="eastAsia" w:ascii="仿宋_GB2312" w:eastAsia="仿宋_GB2312"/>
          <w:color w:val="auto"/>
          <w:sz w:val="28"/>
          <w:szCs w:val="28"/>
          <w:highlight w:val="none"/>
        </w:rPr>
        <w:t>文件、中标通知书是合同的附件，与合同具有同等的法律效力；</w:t>
      </w:r>
    </w:p>
    <w:p w14:paraId="41EC9549">
      <w:pPr>
        <w:spacing w:line="240" w:lineRule="atLeas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4．其它未尽事宜，由双方友好协商解决，并参照《中华人民共和国</w:t>
      </w:r>
      <w:r>
        <w:rPr>
          <w:rFonts w:hint="eastAsia" w:ascii="仿宋_GB2312" w:eastAsia="仿宋_GB2312"/>
          <w:color w:val="auto"/>
          <w:sz w:val="28"/>
          <w:szCs w:val="28"/>
          <w:highlight w:val="none"/>
          <w:lang w:val="en-US" w:eastAsia="zh-CN"/>
        </w:rPr>
        <w:t>民法典</w:t>
      </w:r>
      <w:r>
        <w:rPr>
          <w:rFonts w:hint="eastAsia" w:ascii="仿宋_GB2312" w:eastAsia="仿宋_GB2312"/>
          <w:color w:val="auto"/>
          <w:sz w:val="28"/>
          <w:szCs w:val="28"/>
          <w:highlight w:val="none"/>
        </w:rPr>
        <w:t>》有关条款执行。</w:t>
      </w:r>
    </w:p>
    <w:p w14:paraId="7D1F36E5">
      <w:pPr>
        <w:spacing w:line="240" w:lineRule="atLeas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甲方（盖章）：_________　　　　　乙方（盖章）：________</w:t>
      </w:r>
    </w:p>
    <w:p w14:paraId="087A8302">
      <w:pPr>
        <w:spacing w:line="240" w:lineRule="atLeas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法定代表人（签字）：_________　　法定代表人（签字）：</w:t>
      </w:r>
    </w:p>
    <w:p w14:paraId="457974D3">
      <w:pPr>
        <w:spacing w:line="240" w:lineRule="atLeas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委托代理人（签字）：             委托代理人（签字）：</w:t>
      </w:r>
    </w:p>
    <w:p w14:paraId="72A5A84F">
      <w:pPr>
        <w:spacing w:line="240" w:lineRule="atLeas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_______年____月____日　　 　______年____月____日</w:t>
      </w:r>
    </w:p>
    <w:p w14:paraId="54418C81">
      <w:pPr>
        <w:jc w:val="both"/>
        <w:rPr>
          <w:rFonts w:hint="eastAsia" w:ascii="仿宋" w:hAnsi="仿宋" w:eastAsia="仿宋" w:cs="仿宋"/>
          <w:b/>
          <w:color w:val="auto"/>
          <w:sz w:val="24"/>
          <w:szCs w:val="24"/>
          <w:highlight w:val="none"/>
        </w:rPr>
      </w:pPr>
      <w:r>
        <w:rPr>
          <w:rFonts w:hint="eastAsia" w:ascii="仿宋_GB2312" w:eastAsia="仿宋_GB2312"/>
          <w:color w:val="auto"/>
          <w:sz w:val="28"/>
          <w:szCs w:val="28"/>
          <w:highlight w:val="none"/>
        </w:rPr>
        <w:t xml:space="preserve">  签订地点：_________　　　　　　 签订地点：_________</w:t>
      </w:r>
    </w:p>
    <w:p w14:paraId="4D2BF90C">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特别说明：</w:t>
      </w:r>
    </w:p>
    <w:p w14:paraId="13B24683">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除</w:t>
      </w:r>
      <w:r>
        <w:rPr>
          <w:rFonts w:hint="eastAsia" w:ascii="宋体" w:hAnsi="宋体"/>
          <w:b/>
          <w:color w:val="auto"/>
          <w:szCs w:val="21"/>
          <w:highlight w:val="none"/>
          <w:lang w:val="en-US" w:eastAsia="zh-CN"/>
        </w:rPr>
        <w:t>政府采购合同中涉及国家秘密、商业秘密的内容除外</w:t>
      </w:r>
      <w:r>
        <w:rPr>
          <w:rFonts w:hint="eastAsia" w:ascii="宋体" w:hAnsi="宋体"/>
          <w:b/>
          <w:color w:val="auto"/>
          <w:szCs w:val="21"/>
          <w:highlight w:val="none"/>
        </w:rPr>
        <w:t>，根据《</w:t>
      </w:r>
      <w:r>
        <w:rPr>
          <w:rFonts w:hint="eastAsia" w:ascii="宋体" w:hAnsi="宋体"/>
          <w:b/>
          <w:color w:val="auto"/>
          <w:szCs w:val="21"/>
          <w:highlight w:val="none"/>
          <w:lang w:val="en-US" w:eastAsia="zh-CN"/>
        </w:rPr>
        <w:t>焦作市财政局优化政府采购营商环境 39 项举措</w:t>
      </w:r>
      <w:r>
        <w:rPr>
          <w:rFonts w:hint="eastAsia" w:ascii="宋体" w:hAnsi="宋体"/>
          <w:b/>
          <w:color w:val="auto"/>
          <w:szCs w:val="21"/>
          <w:highlight w:val="none"/>
        </w:rPr>
        <w:t>》第</w:t>
      </w:r>
      <w:r>
        <w:rPr>
          <w:rFonts w:hint="eastAsia" w:ascii="宋体" w:hAnsi="宋体"/>
          <w:b/>
          <w:color w:val="auto"/>
          <w:szCs w:val="21"/>
          <w:highlight w:val="none"/>
          <w:lang w:val="en-US" w:eastAsia="zh-CN"/>
        </w:rPr>
        <w:t>31条规定：严格合同公告和备案。采购单位要在合同签订后 1 个工作日内通过焦作市政府采购网登陆“河南省电子化采购系统”进行公告并备案</w:t>
      </w:r>
      <w:r>
        <w:rPr>
          <w:rFonts w:hint="eastAsia" w:ascii="宋体" w:hAnsi="宋体"/>
          <w:b/>
          <w:color w:val="auto"/>
          <w:szCs w:val="21"/>
          <w:highlight w:val="none"/>
        </w:rPr>
        <w:t>。</w:t>
      </w:r>
      <w:bookmarkEnd w:id="8"/>
    </w:p>
    <w:p w14:paraId="647BD77F">
      <w:pPr>
        <w:rPr>
          <w:color w:val="auto"/>
          <w:highlight w:val="none"/>
        </w:rPr>
      </w:pPr>
    </w:p>
    <w:sectPr>
      <w:footerReference r:id="rId11" w:type="default"/>
      <w:pgSz w:w="11907" w:h="16840"/>
      <w:pgMar w:top="1440" w:right="1588" w:bottom="1440" w:left="1588"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华文楷体">
    <w:altName w:val="楷体_GB2312"/>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Book Antiqua">
    <w:altName w:val="Segoe Print"/>
    <w:panose1 w:val="02040602050305030304"/>
    <w:charset w:val="00"/>
    <w:family w:val="roman"/>
    <w:pitch w:val="default"/>
    <w:sig w:usb0="00000000" w:usb1="00000000" w:usb2="00000000" w:usb3="00000000" w:csb0="2000009F" w:csb1="DFD70000"/>
  </w:font>
  <w:font w:name="幼圆">
    <w:altName w:val="宋体"/>
    <w:panose1 w:val="0201050906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䅂䍄䕅⯋컌">
    <w:altName w:val="Segoe Print"/>
    <w:panose1 w:val="00000000000000000000"/>
    <w:charset w:val="00"/>
    <w:family w:val="auto"/>
    <w:pitch w:val="default"/>
    <w:sig w:usb0="00000000" w:usb1="00000000" w:usb2="00000000" w:usb3="00000000" w:csb0="0004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D0BBE">
    <w:pPr>
      <w:pStyle w:val="15"/>
      <w:jc w:val="both"/>
      <w:rPr>
        <w:rFonts w:ascii="宋体" w:hAns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0FE75">
    <w:pPr>
      <w:pStyle w:val="15"/>
      <w:jc w:val="left"/>
      <w:rPr>
        <w:rFonts w:hint="default"/>
        <w:color w:val="auto"/>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47867">
    <w:pPr>
      <w:pStyle w:val="15"/>
      <w:jc w:val="left"/>
      <w:rPr>
        <w:rFonts w:hint="default"/>
        <w:color w:val="auto"/>
        <w:lang w:val="en-U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7D553">
    <w:pPr>
      <w:pStyle w:val="15"/>
      <w:jc w:val="left"/>
      <w:rPr>
        <w:rFonts w:hint="default" w:eastAsia="宋体"/>
        <w:color w:val="auto"/>
        <w:lang w:val="en-US" w:eastAsia="zh-C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8D7EF">
    <w:pPr>
      <w:pStyle w:val="15"/>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33985" cy="153035"/>
              <wp:effectExtent l="0" t="0" r="0" b="0"/>
              <wp:wrapNone/>
              <wp:docPr id="7" name="矩形 7"/>
              <wp:cNvGraphicFramePr/>
              <a:graphic xmlns:a="http://schemas.openxmlformats.org/drawingml/2006/main">
                <a:graphicData uri="http://schemas.microsoft.com/office/word/2010/wordprocessingShape">
                  <wps:wsp>
                    <wps:cNvSpPr/>
                    <wps:spPr>
                      <a:xfrm>
                        <a:off x="0" y="0"/>
                        <a:ext cx="133985" cy="153035"/>
                      </a:xfrm>
                      <a:prstGeom prst="rect">
                        <a:avLst/>
                      </a:prstGeom>
                      <a:noFill/>
                      <a:ln>
                        <a:noFill/>
                      </a:ln>
                    </wps:spPr>
                    <wps:txbx>
                      <w:txbxContent>
                        <w:p w14:paraId="54C37B4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28</w:t>
                          </w:r>
                          <w:r>
                            <w:rPr>
                              <w:rFonts w:hint="eastAsia"/>
                              <w:sz w:val="18"/>
                            </w:rPr>
                            <w:fldChar w:fldCharType="end"/>
                          </w:r>
                        </w:p>
                      </w:txbxContent>
                    </wps:txbx>
                    <wps:bodyPr wrap="none" lIns="0" tIns="0" rIns="0" bIns="0" upright="1">
                      <a:spAutoFit/>
                    </wps:bodyPr>
                  </wps:wsp>
                </a:graphicData>
              </a:graphic>
            </wp:anchor>
          </w:drawing>
        </mc:Choice>
        <mc:Fallback>
          <w:pict>
            <v:rect id="_x0000_s1026" o:spid="_x0000_s1026" o:spt="1" style="position:absolute;left:0pt;margin-top:0pt;height:12.05pt;width:10.55pt;mso-position-horizontal:center;mso-position-horizontal-relative:margin;mso-wrap-style:none;z-index:251662336;mso-width-relative:page;mso-height-relative:page;" filled="f" stroked="f" coordsize="21600,21600" o:gfxdata="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ch8bjRAAAAAwEAAA8AAAAAAAAAAQAgAAAAIgAAAGRycy9kb3ducmV2LnhtbFBL&#10;AQIUABQAAAAIAIdO4kCkBNIZxAEAAIoDAAAOAAAAAAAAAAEAIAAAACABAABkcnMvZTJvRG9jLnht&#10;bFBLBQYAAAAABgAGAFkBAABWBQAAAAA=&#10;">
              <v:fill on="f" focussize="0,0"/>
              <v:stroke on="f"/>
              <v:imagedata o:title=""/>
              <o:lock v:ext="edit" aspectratio="f"/>
              <v:textbox inset="0mm,0mm,0mm,0mm" style="mso-fit-shape-to-text:t;">
                <w:txbxContent>
                  <w:p w14:paraId="54C37B4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28</w:t>
                    </w:r>
                    <w:r>
                      <w:rPr>
                        <w:rFonts w:hint="eastAsia"/>
                        <w:sz w:val="18"/>
                      </w:rPr>
                      <w:fldChar w:fldCharType="end"/>
                    </w:r>
                  </w:p>
                </w:txbxContent>
              </v:textbox>
            </v:rect>
          </w:pict>
        </mc:Fallback>
      </mc:AlternateContent>
    </w:r>
    <w:r>
      <w:rPr>
        <w:rFonts w:hint="eastAsia"/>
      </w:rPr>
      <w:t xml:space="preserve">---------------------------------------------------------              ----------------------------------------------------------                 </w:t>
    </w:r>
  </w:p>
  <w:p w14:paraId="6C4A5E15">
    <w:pPr>
      <w:pStyle w:val="15"/>
      <w:jc w:val="left"/>
      <w:rPr>
        <w:rFonts w:hint="default" w:eastAsia="宋体"/>
        <w:color w:val="auto"/>
        <w:lang w:val="en-US" w:eastAsia="zh-CN"/>
      </w:rPr>
    </w:pPr>
    <w:r>
      <w:rPr>
        <w:rFonts w:hint="eastAsia"/>
      </w:rPr>
      <w:t xml:space="preserve">采购代理机构：焦作市公共资源项目服务有限责任公司         </w:t>
    </w:r>
    <w:r>
      <w:rPr>
        <w:rFonts w:hint="eastAsia"/>
        <w:lang w:val="en-US" w:eastAsia="zh-CN"/>
      </w:rPr>
      <w:t xml:space="preserve">    </w:t>
    </w:r>
    <w:r>
      <w:rPr>
        <w:rFonts w:hint="eastAsia"/>
      </w:rPr>
      <w:t>项目编号：</w:t>
    </w:r>
    <w:r>
      <w:rPr>
        <w:rFonts w:hint="eastAsia"/>
        <w:lang w:val="en-US" w:eastAsia="zh-CN"/>
      </w:rPr>
      <w:t xml:space="preserve">中财磋商采购-2026-34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5209E">
    <w:pPr>
      <w:pStyle w:val="15"/>
      <w:rPr>
        <w:color w:val="auto"/>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33985" cy="153035"/>
              <wp:effectExtent l="0" t="0" r="0" b="0"/>
              <wp:wrapNone/>
              <wp:docPr id="3" name="矩形 3"/>
              <wp:cNvGraphicFramePr/>
              <a:graphic xmlns:a="http://schemas.openxmlformats.org/drawingml/2006/main">
                <a:graphicData uri="http://schemas.microsoft.com/office/word/2010/wordprocessingShape">
                  <wps:wsp>
                    <wps:cNvSpPr/>
                    <wps:spPr>
                      <a:xfrm>
                        <a:off x="0" y="0"/>
                        <a:ext cx="133985" cy="153035"/>
                      </a:xfrm>
                      <a:prstGeom prst="rect">
                        <a:avLst/>
                      </a:prstGeom>
                      <a:noFill/>
                      <a:ln>
                        <a:noFill/>
                      </a:ln>
                    </wps:spPr>
                    <wps:txbx>
                      <w:txbxContent>
                        <w:p w14:paraId="74AB254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41</w:t>
                          </w:r>
                          <w:r>
                            <w:rPr>
                              <w:rFonts w:hint="eastAsia"/>
                              <w:sz w:val="18"/>
                            </w:rPr>
                            <w:fldChar w:fldCharType="end"/>
                          </w:r>
                        </w:p>
                      </w:txbxContent>
                    </wps:txbx>
                    <wps:bodyPr wrap="none" lIns="0" tIns="0" rIns="0" bIns="0" upright="1">
                      <a:spAutoFit/>
                    </wps:bodyPr>
                  </wps:wsp>
                </a:graphicData>
              </a:graphic>
            </wp:anchor>
          </w:drawing>
        </mc:Choice>
        <mc:Fallback>
          <w:pict>
            <v:rect id="_x0000_s1026" o:spid="_x0000_s1026" o:spt="1" style="position:absolute;left:0pt;margin-top:0pt;height:12.05pt;width:10.55pt;mso-position-horizontal:center;mso-position-horizontal-relative:margin;mso-wrap-style:none;z-index:251660288;mso-width-relative:page;mso-height-relative:page;" filled="f" stroked="f" coordsize="21600,21600" o:gfxdata="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ch8bjRAAAAAwEAAA8AAAAAAAAAAQAgAAAAIgAAAGRycy9kb3ducmV2LnhtbFBL&#10;AQIUABQAAAAIAIdO4kC2FVEcxAEAAIoDAAAOAAAAAAAAAAEAIAAAACABAABkcnMvZTJvRG9jLnht&#10;bFBLBQYAAAAABgAGAFkBAABWBQAAAAA=&#10;">
              <v:fill on="f" focussize="0,0"/>
              <v:stroke on="f"/>
              <v:imagedata o:title=""/>
              <o:lock v:ext="edit" aspectratio="f"/>
              <v:textbox inset="0mm,0mm,0mm,0mm" style="mso-fit-shape-to-text:t;">
                <w:txbxContent>
                  <w:p w14:paraId="74AB254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41</w:t>
                    </w:r>
                    <w:r>
                      <w:rPr>
                        <w:rFonts w:hint="eastAsia"/>
                        <w:sz w:val="18"/>
                      </w:rPr>
                      <w:fldChar w:fldCharType="end"/>
                    </w:r>
                  </w:p>
                </w:txbxContent>
              </v:textbox>
            </v:rect>
          </w:pict>
        </mc:Fallback>
      </mc:AlternateContent>
    </w:r>
    <w:r>
      <w:rPr>
        <w:rFonts w:hint="eastAsia"/>
      </w:rPr>
      <w:t>-------------------------------------------------------------              ---------------</w:t>
    </w:r>
    <w:r>
      <w:rPr>
        <w:rFonts w:hint="eastAsia"/>
        <w:color w:val="auto"/>
      </w:rPr>
      <w:t xml:space="preserve">---------------------------------------------  </w:t>
    </w:r>
  </w:p>
  <w:p w14:paraId="46684837">
    <w:pPr>
      <w:pStyle w:val="15"/>
      <w:jc w:val="both"/>
      <w:rPr>
        <w:rFonts w:hint="default" w:eastAsia="宋体"/>
        <w:lang w:val="en-US" w:eastAsia="zh-CN"/>
      </w:rPr>
    </w:pPr>
    <w:r>
      <w:rPr>
        <w:rFonts w:hint="eastAsia" w:ascii="宋体" w:hAnsi="宋体"/>
        <w:color w:val="auto"/>
        <w:kern w:val="0"/>
      </w:rPr>
      <w:t xml:space="preserve">采购代理机构：焦作市公共资源项目服务有限责任公司      </w:t>
    </w:r>
    <w:r>
      <w:rPr>
        <w:rFonts w:hint="eastAsia" w:ascii="宋体" w:hAnsi="宋体"/>
        <w:color w:val="auto"/>
        <w:kern w:val="0"/>
        <w:lang w:val="en-US" w:eastAsia="zh-CN"/>
      </w:rPr>
      <w:t xml:space="preserve">   </w:t>
    </w:r>
    <w:r>
      <w:rPr>
        <w:rFonts w:hint="eastAsia" w:ascii="宋体" w:hAnsi="宋体"/>
        <w:color w:val="auto"/>
        <w:kern w:val="0"/>
      </w:rPr>
      <w:t xml:space="preserve"> </w:t>
    </w:r>
    <w:r>
      <w:rPr>
        <w:rFonts w:hint="eastAsia" w:ascii="宋体" w:hAnsi="宋体"/>
        <w:color w:val="0000FF"/>
        <w:kern w:val="0"/>
      </w:rPr>
      <w:t xml:space="preserve">  </w:t>
    </w:r>
    <w:r>
      <w:rPr>
        <w:rFonts w:hint="eastAsia" w:ascii="宋体" w:hAnsi="宋体"/>
        <w:color w:val="0000FF"/>
        <w:kern w:val="0"/>
        <w:lang w:val="en-US" w:eastAsia="zh-CN"/>
      </w:rPr>
      <w:t xml:space="preserve">    </w:t>
    </w:r>
    <w:r>
      <w:rPr>
        <w:rFonts w:hint="eastAsia" w:ascii="宋体" w:hAnsi="宋体"/>
        <w:color w:val="0000FF"/>
        <w:kern w:val="0"/>
      </w:rPr>
      <w:t xml:space="preserve"> </w:t>
    </w:r>
    <w:r>
      <w:rPr>
        <w:rFonts w:hint="eastAsia" w:ascii="宋体" w:hAnsi="宋体"/>
        <w:color w:val="auto"/>
        <w:kern w:val="0"/>
      </w:rPr>
      <w:t>项目编号：</w:t>
    </w:r>
    <w:r>
      <w:rPr>
        <w:rFonts w:hint="eastAsia"/>
        <w:lang w:val="en-US" w:eastAsia="zh-CN"/>
      </w:rPr>
      <w:t>中财磋商采购-2026-34</w:t>
    </w:r>
    <w:r>
      <w:rPr>
        <w:rFonts w:hint="eastAsia" w:ascii="宋体" w:hAnsi="宋体"/>
        <w:color w:val="auto"/>
        <w:kern w:val="0"/>
        <w:lang w:val="en-US"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15A86">
    <w:pPr>
      <w:pStyle w:val="16"/>
      <w:pBdr>
        <w:bottom w:val="none" w:color="auto" w:sz="0" w:space="0"/>
      </w:pBdr>
      <w:spacing w:line="160" w:lineRule="atLeast"/>
      <w:jc w:val="both"/>
      <w:rPr>
        <w:rFonts w:ascii="楷体_GB2312" w:eastAsia="楷体_GB2312"/>
        <w:sz w:val="28"/>
        <w:u w:val="single"/>
      </w:rPr>
    </w:pPr>
    <w:r>
      <w:rPr>
        <w:rFonts w:hint="eastAsia" w:ascii="楷体_GB2312" w:eastAsia="楷体_GB2312"/>
        <w:sz w:val="28"/>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65052">
    <w:pPr>
      <w:pStyle w:val="16"/>
      <w:pBdr>
        <w:bottom w:val="none" w:color="auto" w:sz="0" w:space="0"/>
      </w:pBdr>
      <w:rPr>
        <w:rFonts w:hint="default" w:eastAsia="宋体"/>
        <w:lang w:val="en-US"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671EC">
    <w:pPr>
      <w:pStyle w:val="16"/>
      <w:pBdr>
        <w:bottom w:val="none" w:color="auto" w:sz="0" w:space="0"/>
      </w:pBdr>
      <w:rPr>
        <w:rFonts w:hint="default" w:eastAsia="宋体"/>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664EBA"/>
    <w:multiLevelType w:val="singleLevel"/>
    <w:tmpl w:val="AF664EBA"/>
    <w:lvl w:ilvl="0" w:tentative="0">
      <w:start w:val="2"/>
      <w:numFmt w:val="decimal"/>
      <w:suff w:val="nothing"/>
      <w:lvlText w:val="%1、"/>
      <w:lvlJc w:val="left"/>
    </w:lvl>
  </w:abstractNum>
  <w:abstractNum w:abstractNumId="1">
    <w:nsid w:val="B30EA256"/>
    <w:multiLevelType w:val="singleLevel"/>
    <w:tmpl w:val="B30EA256"/>
    <w:lvl w:ilvl="0" w:tentative="0">
      <w:start w:val="1"/>
      <w:numFmt w:val="chineseCounting"/>
      <w:suff w:val="space"/>
      <w:lvlText w:val="第%1章"/>
      <w:lvlJc w:val="left"/>
      <w:rPr>
        <w:rFonts w:hint="eastAsia"/>
      </w:rPr>
    </w:lvl>
  </w:abstractNum>
  <w:abstractNum w:abstractNumId="2">
    <w:nsid w:val="D889374F"/>
    <w:multiLevelType w:val="singleLevel"/>
    <w:tmpl w:val="D889374F"/>
    <w:lvl w:ilvl="0" w:tentative="0">
      <w:start w:val="8"/>
      <w:numFmt w:val="chineseCounting"/>
      <w:suff w:val="nothing"/>
      <w:lvlText w:val="%1、"/>
      <w:lvlJc w:val="left"/>
      <w:rPr>
        <w:rFonts w:hint="eastAsia"/>
      </w:rPr>
    </w:lvl>
  </w:abstractNum>
  <w:abstractNum w:abstractNumId="3">
    <w:nsid w:val="1E590226"/>
    <w:multiLevelType w:val="multilevel"/>
    <w:tmpl w:val="1E59022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3A98A46"/>
    <w:multiLevelType w:val="singleLevel"/>
    <w:tmpl w:val="33A98A46"/>
    <w:lvl w:ilvl="0" w:tentative="0">
      <w:start w:val="1"/>
      <w:numFmt w:val="decimal"/>
      <w:suff w:val="nothing"/>
      <w:lvlText w:val="%1、"/>
      <w:lvlJc w:val="left"/>
    </w:lvl>
  </w:abstractNum>
  <w:abstractNum w:abstractNumId="5">
    <w:nsid w:val="3945944B"/>
    <w:multiLevelType w:val="singleLevel"/>
    <w:tmpl w:val="3945944B"/>
    <w:lvl w:ilvl="0" w:tentative="0">
      <w:start w:val="1"/>
      <w:numFmt w:val="decimal"/>
      <w:lvlText w:val="%1."/>
      <w:lvlJc w:val="left"/>
      <w:pPr>
        <w:tabs>
          <w:tab w:val="left" w:pos="312"/>
        </w:tabs>
      </w:pPr>
    </w:lvl>
  </w:abstractNum>
  <w:abstractNum w:abstractNumId="6">
    <w:nsid w:val="76A77C4D"/>
    <w:multiLevelType w:val="singleLevel"/>
    <w:tmpl w:val="76A77C4D"/>
    <w:lvl w:ilvl="0" w:tentative="0">
      <w:start w:val="1"/>
      <w:numFmt w:val="chineseCounting"/>
      <w:suff w:val="nothing"/>
      <w:lvlText w:val="%1、"/>
      <w:lvlJc w:val="left"/>
      <w:rPr>
        <w:rFonts w:hint="eastAsia"/>
      </w:rPr>
    </w:lvl>
  </w:abstractNum>
  <w:abstractNum w:abstractNumId="7">
    <w:nsid w:val="79E1057C"/>
    <w:multiLevelType w:val="multilevel"/>
    <w:tmpl w:val="79E1057C"/>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840"/>
        </w:tabs>
        <w:ind w:left="840" w:hanging="420"/>
      </w:pPr>
    </w:lvl>
    <w:lvl w:ilvl="2" w:tentative="0">
      <w:start w:val="1"/>
      <w:numFmt w:val="decimal"/>
      <w:lvlText w:val="(%3)"/>
      <w:lvlJc w:val="left"/>
      <w:pPr>
        <w:tabs>
          <w:tab w:val="left" w:pos="1260"/>
        </w:tabs>
        <w:ind w:left="1260" w:hanging="420"/>
      </w:pPr>
      <w:rPr>
        <w:rFonts w:hint="eastAsia"/>
      </w:rPr>
    </w:lvl>
    <w:lvl w:ilvl="3" w:tentative="0">
      <w:start w:val="1"/>
      <w:numFmt w:val="decimal"/>
      <w:lvlText w:val="%4）"/>
      <w:lvlJc w:val="left"/>
      <w:pPr>
        <w:tabs>
          <w:tab w:val="left" w:pos="1635"/>
        </w:tabs>
        <w:ind w:left="1635" w:hanging="375"/>
      </w:pPr>
      <w:rPr>
        <w:rFonts w:ascii="Times New Roman" w:hAnsi="Times New Roman"/>
        <w:b w:val="0"/>
        <w:i w:val="0"/>
        <w:sz w:val="21"/>
        <w:szCs w:val="21"/>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2"/>
  </w:num>
  <w:num w:numId="3">
    <w:abstractNumId w:val="7"/>
  </w:num>
  <w:num w:numId="4">
    <w:abstractNumId w:val="3"/>
  </w:num>
  <w:num w:numId="5">
    <w:abstractNumId w:val="6"/>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RmMTU0MWY1NThiOGNmZDJlODAyNDYyMzgyZDI1N2YifQ=="/>
  </w:docVars>
  <w:rsids>
    <w:rsidRoot w:val="6A6B4565"/>
    <w:rsid w:val="00496FDD"/>
    <w:rsid w:val="008F3D7A"/>
    <w:rsid w:val="0264611C"/>
    <w:rsid w:val="074A602C"/>
    <w:rsid w:val="0B054A3A"/>
    <w:rsid w:val="0C723DD5"/>
    <w:rsid w:val="0CB41A4E"/>
    <w:rsid w:val="10601BB1"/>
    <w:rsid w:val="11950727"/>
    <w:rsid w:val="14E56DDD"/>
    <w:rsid w:val="15187B54"/>
    <w:rsid w:val="153A67FA"/>
    <w:rsid w:val="15D55E23"/>
    <w:rsid w:val="15E657F4"/>
    <w:rsid w:val="163960CE"/>
    <w:rsid w:val="1716686A"/>
    <w:rsid w:val="17F3634F"/>
    <w:rsid w:val="18886AE9"/>
    <w:rsid w:val="191F1397"/>
    <w:rsid w:val="1A863DC6"/>
    <w:rsid w:val="1C09588C"/>
    <w:rsid w:val="1EE9271D"/>
    <w:rsid w:val="200D38F5"/>
    <w:rsid w:val="200E6600"/>
    <w:rsid w:val="24FB7237"/>
    <w:rsid w:val="26F726D3"/>
    <w:rsid w:val="285048C9"/>
    <w:rsid w:val="2B041638"/>
    <w:rsid w:val="2FB9108E"/>
    <w:rsid w:val="303A1AE3"/>
    <w:rsid w:val="316146FF"/>
    <w:rsid w:val="338A3C47"/>
    <w:rsid w:val="34C561A9"/>
    <w:rsid w:val="350B398F"/>
    <w:rsid w:val="35156C7E"/>
    <w:rsid w:val="37E22387"/>
    <w:rsid w:val="397E3397"/>
    <w:rsid w:val="3A662C8D"/>
    <w:rsid w:val="3BEB4809"/>
    <w:rsid w:val="3C665884"/>
    <w:rsid w:val="3F8D6152"/>
    <w:rsid w:val="40816268"/>
    <w:rsid w:val="41B94E35"/>
    <w:rsid w:val="41FA3795"/>
    <w:rsid w:val="423F253E"/>
    <w:rsid w:val="426820F5"/>
    <w:rsid w:val="442717B8"/>
    <w:rsid w:val="45D13EA9"/>
    <w:rsid w:val="45FD6DFA"/>
    <w:rsid w:val="46A20CAD"/>
    <w:rsid w:val="47C94858"/>
    <w:rsid w:val="48FA020D"/>
    <w:rsid w:val="49112323"/>
    <w:rsid w:val="4EE95E5D"/>
    <w:rsid w:val="511107EA"/>
    <w:rsid w:val="54211D0C"/>
    <w:rsid w:val="56334F4E"/>
    <w:rsid w:val="56E07E29"/>
    <w:rsid w:val="57B47949"/>
    <w:rsid w:val="58C148A4"/>
    <w:rsid w:val="5C4B0F11"/>
    <w:rsid w:val="5FEB2C29"/>
    <w:rsid w:val="6376576B"/>
    <w:rsid w:val="65321C01"/>
    <w:rsid w:val="658465CC"/>
    <w:rsid w:val="66076035"/>
    <w:rsid w:val="6755095C"/>
    <w:rsid w:val="6A6B4565"/>
    <w:rsid w:val="6C133A45"/>
    <w:rsid w:val="6C2E1DF8"/>
    <w:rsid w:val="703C5A16"/>
    <w:rsid w:val="71271614"/>
    <w:rsid w:val="726B7EF0"/>
    <w:rsid w:val="74D5666A"/>
    <w:rsid w:val="76C241A3"/>
    <w:rsid w:val="785331FF"/>
    <w:rsid w:val="78777CE0"/>
    <w:rsid w:val="794672BF"/>
    <w:rsid w:val="79D77D7B"/>
    <w:rsid w:val="7A720E1F"/>
    <w:rsid w:val="7F8963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9">
    <w:name w:val="heading 2"/>
    <w:basedOn w:val="1"/>
    <w:next w:val="1"/>
    <w:qFormat/>
    <w:uiPriority w:val="0"/>
    <w:pPr>
      <w:spacing w:line="0" w:lineRule="atLeast"/>
      <w:jc w:val="center"/>
      <w:outlineLvl w:val="1"/>
    </w:pPr>
    <w:rPr>
      <w:kern w:val="0"/>
      <w:sz w:val="28"/>
    </w:rPr>
  </w:style>
  <w:style w:type="paragraph" w:styleId="10">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11">
    <w:name w:val="heading 4"/>
    <w:basedOn w:val="1"/>
    <w:next w:val="1"/>
    <w:qFormat/>
    <w:uiPriority w:val="0"/>
    <w:pPr>
      <w:keepNext/>
      <w:keepLines/>
      <w:spacing w:before="140" w:after="140" w:line="360" w:lineRule="auto"/>
      <w:jc w:val="left"/>
      <w:outlineLvl w:val="3"/>
    </w:pPr>
    <w:rPr>
      <w:rFonts w:ascii="Cambria" w:hAnsi="Cambria"/>
      <w:b/>
      <w:bCs/>
      <w:color w:val="000000"/>
      <w:szCs w:val="28"/>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customStyle="1" w:styleId="2">
    <w:name w:val="表格文字"/>
    <w:basedOn w:val="1"/>
    <w:next w:val="3"/>
    <w:qFormat/>
    <w:uiPriority w:val="0"/>
    <w:pPr>
      <w:adjustRightInd w:val="0"/>
      <w:spacing w:line="420" w:lineRule="atLeast"/>
      <w:jc w:val="left"/>
      <w:textAlignment w:val="baseline"/>
    </w:pPr>
    <w:rPr>
      <w:kern w:val="0"/>
    </w:rPr>
  </w:style>
  <w:style w:type="paragraph" w:styleId="3">
    <w:name w:val="Body Text"/>
    <w:basedOn w:val="1"/>
    <w:next w:val="4"/>
    <w:qFormat/>
    <w:uiPriority w:val="0"/>
    <w:pPr>
      <w:spacing w:after="120"/>
    </w:pPr>
  </w:style>
  <w:style w:type="paragraph" w:customStyle="1" w:styleId="4">
    <w:name w:val="Default"/>
    <w:next w:val="5"/>
    <w:unhideWhenUsed/>
    <w:qFormat/>
    <w:uiPriority w:val="99"/>
    <w:pPr>
      <w:widowControl w:val="0"/>
      <w:autoSpaceDE w:val="0"/>
      <w:autoSpaceDN w:val="0"/>
    </w:pPr>
    <w:rPr>
      <w:rFonts w:hint="eastAsia" w:ascii="仿宋" w:hAnsi="仿宋" w:eastAsia="仿宋" w:cs="Times New Roman"/>
      <w:color w:val="000000"/>
      <w:sz w:val="24"/>
      <w:lang w:val="en-US" w:eastAsia="zh-CN" w:bidi="ar-SA"/>
    </w:rPr>
  </w:style>
  <w:style w:type="paragraph" w:customStyle="1" w:styleId="5">
    <w:name w:val="Char Char10 Char Char Char Char"/>
    <w:basedOn w:val="1"/>
    <w:next w:val="6"/>
    <w:qFormat/>
    <w:uiPriority w:val="0"/>
  </w:style>
  <w:style w:type="paragraph" w:customStyle="1" w:styleId="6">
    <w:name w:val="xl87"/>
    <w:basedOn w:val="1"/>
    <w:next w:val="7"/>
    <w:qFormat/>
    <w:uiPriority w:val="0"/>
    <w:pPr>
      <w:widowControl/>
      <w:shd w:val="clear" w:color="FFFFFF" w:fill="FFFFFF"/>
      <w:spacing w:before="280" w:after="280"/>
      <w:jc w:val="right"/>
    </w:pPr>
    <w:rPr>
      <w:rFonts w:ascii="宋体"/>
      <w:sz w:val="24"/>
    </w:rPr>
  </w:style>
  <w:style w:type="paragraph" w:customStyle="1" w:styleId="7">
    <w:name w:val="xl72"/>
    <w:basedOn w:val="1"/>
    <w:next w:val="8"/>
    <w:qFormat/>
    <w:uiPriority w:val="0"/>
    <w:pPr>
      <w:widowControl/>
      <w:shd w:val="clear" w:color="FFFFFF" w:fill="FFFFFF"/>
      <w:spacing w:before="280" w:after="280"/>
      <w:jc w:val="right"/>
    </w:pPr>
    <w:rPr>
      <w:rFonts w:ascii="宋体"/>
      <w:sz w:val="24"/>
    </w:rPr>
  </w:style>
  <w:style w:type="paragraph" w:styleId="8">
    <w:name w:val="Date"/>
    <w:basedOn w:val="1"/>
    <w:next w:val="1"/>
    <w:qFormat/>
    <w:uiPriority w:val="0"/>
  </w:style>
  <w:style w:type="paragraph" w:styleId="12">
    <w:name w:val="annotation text"/>
    <w:basedOn w:val="1"/>
    <w:qFormat/>
    <w:uiPriority w:val="0"/>
    <w:pPr>
      <w:jc w:val="left"/>
    </w:pPr>
  </w:style>
  <w:style w:type="paragraph" w:styleId="13">
    <w:name w:val="Body Text Indent"/>
    <w:basedOn w:val="1"/>
    <w:next w:val="1"/>
    <w:qFormat/>
    <w:uiPriority w:val="0"/>
    <w:pPr>
      <w:ind w:firstLine="632" w:firstLineChars="200"/>
    </w:pPr>
    <w:rPr>
      <w:rFonts w:ascii="仿宋_GB2312" w:hAnsi="华文楷体" w:eastAsia="仿宋_GB2312"/>
      <w:sz w:val="32"/>
    </w:rPr>
  </w:style>
  <w:style w:type="paragraph" w:styleId="14">
    <w:name w:val="Plain Text"/>
    <w:basedOn w:val="1"/>
    <w:qFormat/>
    <w:uiPriority w:val="0"/>
    <w:rPr>
      <w:rFonts w:ascii="宋体" w:hAnsi="Courier New"/>
    </w:r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Body Text 2"/>
    <w:basedOn w:val="1"/>
    <w:next w:val="3"/>
    <w:qFormat/>
    <w:uiPriority w:val="0"/>
    <w:pPr>
      <w:spacing w:after="120" w:line="480" w:lineRule="auto"/>
    </w:pPr>
  </w:style>
  <w:style w:type="paragraph" w:styleId="18">
    <w:name w:val="Normal (Web)"/>
    <w:basedOn w:val="1"/>
    <w:qFormat/>
    <w:uiPriority w:val="0"/>
    <w:pPr>
      <w:widowControl/>
      <w:spacing w:before="100" w:beforeAutospacing="1" w:after="100" w:afterAutospacing="1"/>
    </w:pPr>
    <w:rPr>
      <w:rFonts w:ascii="宋体" w:hAnsi="宋体"/>
    </w:rPr>
  </w:style>
  <w:style w:type="paragraph" w:styleId="19">
    <w:name w:val="Body Text First Indent"/>
    <w:basedOn w:val="1"/>
    <w:next w:val="1"/>
    <w:unhideWhenUsed/>
    <w:qFormat/>
    <w:uiPriority w:val="0"/>
    <w:pPr>
      <w:spacing w:line="567" w:lineRule="exact"/>
      <w:ind w:firstLine="567"/>
    </w:pPr>
    <w:rPr>
      <w:kern w:val="0"/>
    </w:rPr>
  </w:style>
  <w:style w:type="paragraph" w:styleId="20">
    <w:name w:val="Body Text First Indent 2"/>
    <w:basedOn w:val="13"/>
    <w:next w:val="1"/>
    <w:qFormat/>
    <w:uiPriority w:val="0"/>
    <w:pPr>
      <w:ind w:firstLine="420"/>
    </w:p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3"/>
    <w:qFormat/>
    <w:uiPriority w:val="22"/>
    <w:rPr>
      <w:b/>
      <w:bCs/>
    </w:rPr>
  </w:style>
  <w:style w:type="character" w:styleId="25">
    <w:name w:val="FollowedHyperlink"/>
    <w:basedOn w:val="23"/>
    <w:qFormat/>
    <w:uiPriority w:val="0"/>
    <w:rPr>
      <w:color w:val="5C5C5C"/>
      <w:u w:val="none"/>
    </w:rPr>
  </w:style>
  <w:style w:type="character" w:styleId="26">
    <w:name w:val="Emphasis"/>
    <w:basedOn w:val="23"/>
    <w:qFormat/>
    <w:uiPriority w:val="0"/>
    <w:rPr>
      <w:b/>
      <w:bCs/>
    </w:rPr>
  </w:style>
  <w:style w:type="character" w:styleId="27">
    <w:name w:val="HTML Definition"/>
    <w:basedOn w:val="23"/>
    <w:qFormat/>
    <w:uiPriority w:val="0"/>
  </w:style>
  <w:style w:type="character" w:styleId="28">
    <w:name w:val="HTML Typewriter"/>
    <w:basedOn w:val="23"/>
    <w:qFormat/>
    <w:uiPriority w:val="0"/>
    <w:rPr>
      <w:rFonts w:hint="default" w:ascii="monospace" w:hAnsi="monospace" w:eastAsia="monospace" w:cs="monospace"/>
      <w:sz w:val="20"/>
    </w:rPr>
  </w:style>
  <w:style w:type="character" w:styleId="29">
    <w:name w:val="HTML Acronym"/>
    <w:basedOn w:val="23"/>
    <w:qFormat/>
    <w:uiPriority w:val="0"/>
  </w:style>
  <w:style w:type="character" w:styleId="30">
    <w:name w:val="HTML Variable"/>
    <w:basedOn w:val="23"/>
    <w:qFormat/>
    <w:uiPriority w:val="0"/>
  </w:style>
  <w:style w:type="character" w:styleId="31">
    <w:name w:val="Hyperlink"/>
    <w:basedOn w:val="23"/>
    <w:qFormat/>
    <w:uiPriority w:val="0"/>
    <w:rPr>
      <w:color w:val="5C5C5C"/>
      <w:u w:val="none"/>
    </w:rPr>
  </w:style>
  <w:style w:type="character" w:styleId="32">
    <w:name w:val="HTML Code"/>
    <w:basedOn w:val="23"/>
    <w:qFormat/>
    <w:uiPriority w:val="0"/>
    <w:rPr>
      <w:rFonts w:hint="default" w:ascii="monospace" w:hAnsi="monospace" w:eastAsia="monospace" w:cs="monospace"/>
      <w:sz w:val="20"/>
    </w:rPr>
  </w:style>
  <w:style w:type="character" w:styleId="33">
    <w:name w:val="annotation reference"/>
    <w:basedOn w:val="23"/>
    <w:qFormat/>
    <w:uiPriority w:val="0"/>
    <w:rPr>
      <w:sz w:val="21"/>
      <w:szCs w:val="21"/>
    </w:rPr>
  </w:style>
  <w:style w:type="character" w:styleId="34">
    <w:name w:val="HTML Cite"/>
    <w:basedOn w:val="23"/>
    <w:qFormat/>
    <w:uiPriority w:val="0"/>
  </w:style>
  <w:style w:type="character" w:styleId="35">
    <w:name w:val="HTML Keyboard"/>
    <w:basedOn w:val="23"/>
    <w:qFormat/>
    <w:uiPriority w:val="0"/>
    <w:rPr>
      <w:rFonts w:ascii="monospace" w:hAnsi="monospace" w:eastAsia="monospace" w:cs="monospace"/>
      <w:sz w:val="20"/>
    </w:rPr>
  </w:style>
  <w:style w:type="character" w:styleId="36">
    <w:name w:val="HTML Sample"/>
    <w:basedOn w:val="23"/>
    <w:qFormat/>
    <w:uiPriority w:val="0"/>
    <w:rPr>
      <w:rFonts w:hint="default" w:ascii="monospace" w:hAnsi="monospace" w:eastAsia="monospace" w:cs="monospace"/>
    </w:rPr>
  </w:style>
  <w:style w:type="paragraph" w:customStyle="1" w:styleId="37">
    <w:name w:val="Body Text First Indent1"/>
    <w:basedOn w:val="3"/>
    <w:next w:val="38"/>
    <w:qFormat/>
    <w:uiPriority w:val="0"/>
    <w:pPr>
      <w:ind w:firstLine="420" w:firstLineChars="100"/>
    </w:pPr>
  </w:style>
  <w:style w:type="paragraph" w:customStyle="1" w:styleId="38">
    <w:name w:val="正文首行缩进 21"/>
    <w:basedOn w:val="39"/>
    <w:qFormat/>
    <w:uiPriority w:val="0"/>
    <w:pPr>
      <w:tabs>
        <w:tab w:val="left" w:pos="945"/>
        <w:tab w:val="left" w:pos="1155"/>
      </w:tabs>
      <w:ind w:firstLine="420" w:firstLineChars="200"/>
    </w:pPr>
    <w:rPr>
      <w:rFonts w:ascii="宋体" w:hAnsi="Book Antiqua" w:eastAsia="宋体" w:cs="Times New Roman"/>
      <w:sz w:val="24"/>
      <w:szCs w:val="20"/>
    </w:rPr>
  </w:style>
  <w:style w:type="paragraph" w:customStyle="1" w:styleId="39">
    <w:name w:val="正文文本缩进1"/>
    <w:basedOn w:val="1"/>
    <w:qFormat/>
    <w:uiPriority w:val="0"/>
    <w:pPr>
      <w:spacing w:line="360" w:lineRule="auto"/>
      <w:ind w:firstLine="482" w:firstLineChars="100"/>
      <w:jc w:val="center"/>
    </w:pPr>
    <w:rPr>
      <w:rFonts w:ascii="黑体" w:hAnsi="Times New Roman" w:eastAsia="黑体" w:cs="Times New Roman"/>
      <w:b/>
      <w:sz w:val="48"/>
      <w:szCs w:val="28"/>
    </w:rPr>
  </w:style>
  <w:style w:type="paragraph" w:customStyle="1" w:styleId="40">
    <w:name w:val="正文1"/>
    <w:basedOn w:val="1"/>
    <w:qFormat/>
    <w:uiPriority w:val="0"/>
    <w:pPr>
      <w:adjustRightInd w:val="0"/>
      <w:spacing w:line="318" w:lineRule="atLeast"/>
      <w:ind w:left="369" w:firstLine="369"/>
      <w:textAlignment w:val="baseline"/>
    </w:pPr>
    <w:rPr>
      <w:rFonts w:ascii="宋体"/>
      <w:szCs w:val="20"/>
    </w:rPr>
  </w:style>
  <w:style w:type="paragraph" w:customStyle="1" w:styleId="41">
    <w:name w:val="p0"/>
    <w:basedOn w:val="1"/>
    <w:qFormat/>
    <w:uiPriority w:val="0"/>
    <w:pPr>
      <w:widowControl/>
    </w:pPr>
    <w:rPr>
      <w:rFonts w:ascii="Calibri" w:hAnsi="Calibri" w:cs="宋体"/>
      <w:kern w:val="0"/>
      <w:szCs w:val="21"/>
    </w:rPr>
  </w:style>
  <w:style w:type="paragraph" w:customStyle="1" w:styleId="42">
    <w:name w:val="样式1"/>
    <w:basedOn w:val="1"/>
    <w:qFormat/>
    <w:uiPriority w:val="0"/>
    <w:pPr>
      <w:tabs>
        <w:tab w:val="left" w:pos="709"/>
      </w:tabs>
      <w:adjustRightInd w:val="0"/>
      <w:ind w:left="709" w:hanging="709"/>
      <w:textAlignment w:val="baseline"/>
    </w:pPr>
    <w:rPr>
      <w:rFonts w:ascii="宋体" w:hAnsi="宋体"/>
      <w:kern w:val="0"/>
    </w:rPr>
  </w:style>
  <w:style w:type="paragraph" w:customStyle="1" w:styleId="43">
    <w:name w:val="List Paragraph"/>
    <w:basedOn w:val="1"/>
    <w:qFormat/>
    <w:uiPriority w:val="34"/>
    <w:pPr>
      <w:ind w:firstLine="420" w:firstLineChars="200"/>
    </w:pPr>
  </w:style>
  <w:style w:type="character" w:customStyle="1" w:styleId="44">
    <w:name w:val="font41"/>
    <w:basedOn w:val="23"/>
    <w:qFormat/>
    <w:uiPriority w:val="0"/>
    <w:rPr>
      <w:rFonts w:hint="eastAsia" w:ascii="宋体" w:hAnsi="宋体" w:eastAsia="宋体" w:cs="宋体"/>
      <w:color w:val="000000"/>
      <w:sz w:val="22"/>
      <w:szCs w:val="22"/>
      <w:u w:val="none"/>
    </w:rPr>
  </w:style>
  <w:style w:type="character" w:customStyle="1" w:styleId="45">
    <w:name w:val="font11"/>
    <w:basedOn w:val="23"/>
    <w:qFormat/>
    <w:uiPriority w:val="0"/>
    <w:rPr>
      <w:rFonts w:hint="eastAsia" w:ascii="宋体" w:hAnsi="宋体" w:eastAsia="宋体" w:cs="宋体"/>
      <w:color w:val="000000"/>
      <w:kern w:val="1"/>
      <w:sz w:val="24"/>
      <w:szCs w:val="24"/>
      <w:u w:val="none"/>
    </w:rPr>
  </w:style>
  <w:style w:type="character" w:customStyle="1" w:styleId="46">
    <w:name w:val="hover1"/>
    <w:basedOn w:val="23"/>
    <w:qFormat/>
    <w:uiPriority w:val="0"/>
    <w:rPr>
      <w:color w:val="2590EB"/>
    </w:rPr>
  </w:style>
  <w:style w:type="character" w:customStyle="1" w:styleId="47">
    <w:name w:val="hover2"/>
    <w:basedOn w:val="23"/>
    <w:qFormat/>
    <w:uiPriority w:val="0"/>
    <w:rPr>
      <w:color w:val="2590EB"/>
      <w:shd w:val="clear" w:fill="E9F4FD"/>
    </w:rPr>
  </w:style>
  <w:style w:type="character" w:customStyle="1" w:styleId="48">
    <w:name w:val="hover3"/>
    <w:basedOn w:val="23"/>
    <w:qFormat/>
    <w:uiPriority w:val="0"/>
  </w:style>
  <w:style w:type="character" w:customStyle="1" w:styleId="49">
    <w:name w:val="hover4"/>
    <w:basedOn w:val="23"/>
    <w:qFormat/>
    <w:uiPriority w:val="0"/>
    <w:rPr>
      <w:color w:val="2590EB"/>
    </w:rPr>
  </w:style>
  <w:style w:type="character" w:customStyle="1" w:styleId="50">
    <w:name w:val="hover"/>
    <w:basedOn w:val="23"/>
    <w:qFormat/>
    <w:uiPriority w:val="0"/>
    <w:rPr>
      <w:color w:val="2590EB"/>
    </w:rPr>
  </w:style>
  <w:style w:type="character" w:customStyle="1" w:styleId="51">
    <w:name w:val="font31"/>
    <w:basedOn w:val="23"/>
    <w:qFormat/>
    <w:uiPriority w:val="0"/>
    <w:rPr>
      <w:rFonts w:hint="eastAsia" w:ascii="宋体" w:hAnsi="宋体" w:eastAsia="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5.jpeg"/><Relationship Id="rId16" Type="http://schemas.openxmlformats.org/officeDocument/2006/relationships/image" Target="media/image4.png"/><Relationship Id="rId15" Type="http://schemas.openxmlformats.org/officeDocument/2006/relationships/image" Target="media/image3.jpeg"/><Relationship Id="rId14" Type="http://schemas.openxmlformats.org/officeDocument/2006/relationships/image" Target="media/image2.jpe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127</Pages>
  <Words>12257</Words>
  <Characters>13549</Characters>
  <Lines>0</Lines>
  <Paragraphs>0</Paragraphs>
  <TotalTime>1</TotalTime>
  <ScaleCrop>false</ScaleCrop>
  <LinksUpToDate>false</LinksUpToDate>
  <CharactersWithSpaces>13761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2023-09-08T08:45:00Z</dcterms:created>
  <dc:creator>Administrator</dc:creator>
  <cp:lastModifiedBy>Tonny</cp:lastModifiedBy>
  <dcterms:modified xsi:type="dcterms:W3CDTF">2026-08-28T09:00:03Z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009FB4FC075C44018852C58CE5C2735E_13</vt:lpwstr>
  </property>
  <property fmtid="{D5CDD505-2E9C-101B-9397-08002B2CF9AE}" pid="4" name="KSOTemplateDocerSaveRecord">
    <vt:lpwstr>eyJoZGlkIjoiOTVhMzgwY2M4ZGNkNThjMzk5NTdkZWViY2FkOGZjMDMiLCJ1c2VySWQiOiIzMjkxMDEyODUifQ==</vt:lpwstr>
  </property>
</Properties>
</file>