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CBB8C">
      <w:pPr>
        <w:pStyle w:val="2"/>
        <w:numPr>
          <w:ilvl w:val="1"/>
          <w:numId w:val="0"/>
        </w:numPr>
        <w:jc w:val="center"/>
        <w:rPr>
          <w:rFonts w:hint="eastAsia" w:ascii="宋体" w:hAnsi="宋体" w:cs="宋体"/>
          <w:b w:val="0"/>
          <w:bCs/>
          <w:color w:val="auto"/>
          <w:sz w:val="32"/>
          <w:szCs w:val="32"/>
          <w:lang w:val="en-US" w:eastAsia="zh-CN"/>
        </w:rPr>
      </w:pPr>
      <w:r>
        <w:rPr>
          <w:rFonts w:hint="eastAsia" w:ascii="宋体" w:hAnsi="宋体" w:eastAsia="宋体" w:cs="宋体"/>
          <w:b w:val="0"/>
          <w:bCs/>
          <w:color w:val="auto"/>
          <w:kern w:val="0"/>
          <w:sz w:val="32"/>
          <w:szCs w:val="32"/>
          <w:lang w:val="en-US" w:eastAsia="zh-CN" w:bidi="ar-SA"/>
        </w:rPr>
        <w:t>焦作市第二人民医院放射科DR医疗设备更新项目的公开招标公告</w:t>
      </w:r>
      <w:bookmarkStart w:id="0" w:name="_GoBack"/>
      <w:bookmarkEnd w:id="0"/>
    </w:p>
    <w:p w14:paraId="445EF7C3">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项目概况：</w:t>
      </w:r>
      <w:r>
        <w:rPr>
          <w:rFonts w:hint="eastAsia" w:ascii="宋体" w:hAnsi="宋体" w:eastAsia="宋体" w:cs="宋体"/>
          <w:color w:val="auto"/>
          <w:sz w:val="24"/>
          <w:szCs w:val="24"/>
          <w:highlight w:val="none"/>
        </w:rPr>
        <w:t xml:space="preserve">     </w:t>
      </w:r>
    </w:p>
    <w:p w14:paraId="31AF246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焦作市第二人民医院放射科DR医疗设备更新项目</w:t>
      </w:r>
      <w:r>
        <w:rPr>
          <w:rFonts w:hint="eastAsia" w:ascii="宋体" w:hAnsi="宋体" w:eastAsia="宋体" w:cs="宋体"/>
          <w:color w:val="auto"/>
          <w:sz w:val="24"/>
          <w:szCs w:val="24"/>
          <w:highlight w:val="none"/>
        </w:rPr>
        <w:t>的潜在投标人应在焦作市公共资源交易中心网站获取招标文件，并于202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9月28</w:t>
      </w:r>
      <w:r>
        <w:rPr>
          <w:rFonts w:hint="eastAsia" w:ascii="宋体" w:hAnsi="宋体" w:eastAsia="宋体" w:cs="宋体"/>
          <w:color w:val="auto"/>
          <w:sz w:val="24"/>
          <w:szCs w:val="24"/>
          <w:highlight w:val="none"/>
        </w:rPr>
        <w:t>日0</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0分（北京时间）前递交投标文件。</w:t>
      </w:r>
    </w:p>
    <w:p w14:paraId="22F9C9AF">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14:paraId="72D3C48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1.项目编号：</w:t>
      </w:r>
      <w:r>
        <w:rPr>
          <w:rFonts w:hint="eastAsia" w:ascii="宋体" w:hAnsi="宋体" w:eastAsia="宋体" w:cs="宋体"/>
          <w:color w:val="auto"/>
          <w:sz w:val="24"/>
          <w:szCs w:val="24"/>
          <w:highlight w:val="none"/>
          <w:lang w:eastAsia="zh-CN"/>
        </w:rPr>
        <w:t>焦财招标采购-2026-51</w:t>
      </w:r>
    </w:p>
    <w:p w14:paraId="605B304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2.项目名称：</w:t>
      </w:r>
      <w:r>
        <w:rPr>
          <w:rFonts w:hint="eastAsia" w:ascii="宋体" w:hAnsi="宋体" w:eastAsia="宋体" w:cs="宋体"/>
          <w:color w:val="auto"/>
          <w:sz w:val="24"/>
          <w:szCs w:val="24"/>
          <w:highlight w:val="none"/>
          <w:lang w:val="en-US" w:eastAsia="zh-CN"/>
        </w:rPr>
        <w:t>焦作市第二人民医院放射科DR医疗设备更新项目</w:t>
      </w:r>
    </w:p>
    <w:p w14:paraId="25699C0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3.采购方式：公开招标</w:t>
      </w:r>
    </w:p>
    <w:p w14:paraId="2086D62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4.预算金额：</w:t>
      </w:r>
      <w:r>
        <w:rPr>
          <w:rFonts w:hint="eastAsia" w:ascii="宋体" w:hAnsi="宋体" w:eastAsia="宋体" w:cs="宋体"/>
          <w:color w:val="auto"/>
          <w:sz w:val="24"/>
          <w:szCs w:val="24"/>
          <w:highlight w:val="none"/>
          <w:lang w:val="en-US" w:eastAsia="zh-CN"/>
        </w:rPr>
        <w:t>3,000,000.00</w:t>
      </w:r>
      <w:r>
        <w:rPr>
          <w:rFonts w:hint="eastAsia" w:ascii="宋体" w:hAnsi="宋体" w:eastAsia="宋体" w:cs="宋体"/>
          <w:color w:val="auto"/>
          <w:sz w:val="24"/>
          <w:szCs w:val="24"/>
          <w:highlight w:val="none"/>
        </w:rPr>
        <w:t>元</w:t>
      </w:r>
    </w:p>
    <w:p w14:paraId="02E8EA66">
      <w:pPr>
        <w:keepNext w:val="0"/>
        <w:keepLines w:val="0"/>
        <w:pageBreakBefore w:val="0"/>
        <w:widowControl w:val="0"/>
        <w:kinsoku/>
        <w:wordWrap/>
        <w:overflowPunct/>
        <w:topLinePunct w:val="0"/>
        <w:autoSpaceDE/>
        <w:autoSpaceDN/>
        <w:bidi w:val="0"/>
        <w:adjustRightInd w:val="0"/>
        <w:snapToGrid/>
        <w:spacing w:line="440" w:lineRule="exact"/>
        <w:ind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en-US" w:eastAsia="zh-CN"/>
        </w:rPr>
        <w:t>3,000,000.00</w:t>
      </w:r>
      <w:r>
        <w:rPr>
          <w:rFonts w:hint="eastAsia" w:ascii="宋体" w:hAnsi="宋体" w:eastAsia="宋体" w:cs="宋体"/>
          <w:color w:val="auto"/>
          <w:sz w:val="24"/>
          <w:szCs w:val="24"/>
          <w:highlight w:val="none"/>
        </w:rPr>
        <w:t>元</w:t>
      </w:r>
    </w:p>
    <w:tbl>
      <w:tblPr>
        <w:tblStyle w:val="16"/>
        <w:tblW w:w="9071" w:type="dxa"/>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480"/>
        <w:gridCol w:w="3454"/>
        <w:gridCol w:w="1577"/>
        <w:gridCol w:w="1803"/>
      </w:tblGrid>
      <w:tr w14:paraId="2706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7" w:type="dxa"/>
            <w:noWrap w:val="0"/>
            <w:vAlign w:val="center"/>
          </w:tcPr>
          <w:p w14:paraId="4CD12905">
            <w:pPr>
              <w:widowControl/>
              <w:spacing w:line="240" w:lineRule="atLeast"/>
              <w:jc w:val="center"/>
              <w:rPr>
                <w:rFonts w:hint="eastAsia" w:ascii="宋体" w:hAnsi="宋体"/>
                <w:b/>
                <w:bCs/>
                <w:color w:val="auto"/>
                <w:highlight w:val="none"/>
              </w:rPr>
            </w:pPr>
            <w:r>
              <w:rPr>
                <w:rFonts w:hint="eastAsia" w:ascii="宋体" w:hAnsi="宋体"/>
                <w:b/>
                <w:bCs/>
                <w:color w:val="auto"/>
                <w:kern w:val="0"/>
                <w:highlight w:val="none"/>
                <w:lang w:bidi="ar"/>
              </w:rPr>
              <w:t>序号</w:t>
            </w:r>
          </w:p>
        </w:tc>
        <w:tc>
          <w:tcPr>
            <w:tcW w:w="1480" w:type="dxa"/>
            <w:noWrap w:val="0"/>
            <w:vAlign w:val="center"/>
          </w:tcPr>
          <w:p w14:paraId="7F1E00DA">
            <w:pPr>
              <w:widowControl/>
              <w:spacing w:line="240" w:lineRule="atLeast"/>
              <w:jc w:val="center"/>
              <w:rPr>
                <w:rFonts w:hint="eastAsia" w:ascii="宋体" w:hAnsi="宋体"/>
                <w:b/>
                <w:bCs/>
                <w:color w:val="auto"/>
                <w:highlight w:val="none"/>
              </w:rPr>
            </w:pPr>
            <w:r>
              <w:rPr>
                <w:rFonts w:hint="eastAsia" w:ascii="宋体" w:hAnsi="宋体"/>
                <w:b/>
                <w:bCs/>
                <w:color w:val="auto"/>
                <w:kern w:val="0"/>
                <w:highlight w:val="none"/>
                <w:lang w:bidi="ar"/>
              </w:rPr>
              <w:t>包号</w:t>
            </w:r>
          </w:p>
        </w:tc>
        <w:tc>
          <w:tcPr>
            <w:tcW w:w="3454" w:type="dxa"/>
            <w:noWrap w:val="0"/>
            <w:vAlign w:val="center"/>
          </w:tcPr>
          <w:p w14:paraId="3A2C387B">
            <w:pPr>
              <w:widowControl/>
              <w:spacing w:line="240" w:lineRule="atLeast"/>
              <w:jc w:val="center"/>
              <w:rPr>
                <w:rFonts w:hint="eastAsia" w:ascii="宋体" w:hAnsi="宋体"/>
                <w:b/>
                <w:bCs/>
                <w:color w:val="auto"/>
                <w:highlight w:val="none"/>
              </w:rPr>
            </w:pPr>
            <w:r>
              <w:rPr>
                <w:rFonts w:hint="eastAsia" w:ascii="宋体" w:hAnsi="宋体"/>
                <w:b/>
                <w:bCs/>
                <w:color w:val="auto"/>
                <w:kern w:val="0"/>
                <w:highlight w:val="none"/>
                <w:lang w:bidi="ar"/>
              </w:rPr>
              <w:t>包名称</w:t>
            </w:r>
          </w:p>
        </w:tc>
        <w:tc>
          <w:tcPr>
            <w:tcW w:w="1577" w:type="dxa"/>
            <w:noWrap w:val="0"/>
            <w:vAlign w:val="center"/>
          </w:tcPr>
          <w:p w14:paraId="4C79FB5B">
            <w:pPr>
              <w:widowControl/>
              <w:spacing w:line="240" w:lineRule="atLeast"/>
              <w:jc w:val="center"/>
              <w:rPr>
                <w:rFonts w:hint="eastAsia" w:ascii="宋体" w:hAnsi="宋体"/>
                <w:b/>
                <w:bCs/>
                <w:color w:val="auto"/>
                <w:highlight w:val="none"/>
              </w:rPr>
            </w:pPr>
            <w:r>
              <w:rPr>
                <w:rFonts w:hint="eastAsia" w:ascii="宋体" w:hAnsi="宋体"/>
                <w:b/>
                <w:bCs/>
                <w:color w:val="auto"/>
                <w:kern w:val="0"/>
                <w:highlight w:val="none"/>
                <w:lang w:bidi="ar"/>
              </w:rPr>
              <w:t>包预算（元）</w:t>
            </w:r>
          </w:p>
        </w:tc>
        <w:tc>
          <w:tcPr>
            <w:tcW w:w="1803" w:type="dxa"/>
            <w:noWrap w:val="0"/>
            <w:vAlign w:val="center"/>
          </w:tcPr>
          <w:p w14:paraId="47D06AB5">
            <w:pPr>
              <w:widowControl/>
              <w:spacing w:line="240" w:lineRule="atLeast"/>
              <w:jc w:val="center"/>
              <w:rPr>
                <w:rFonts w:hint="eastAsia" w:ascii="宋体" w:hAnsi="宋体"/>
                <w:b/>
                <w:bCs/>
                <w:color w:val="auto"/>
                <w:highlight w:val="none"/>
              </w:rPr>
            </w:pPr>
            <w:r>
              <w:rPr>
                <w:rFonts w:hint="eastAsia" w:ascii="宋体" w:hAnsi="宋体"/>
                <w:b/>
                <w:bCs/>
                <w:color w:val="auto"/>
                <w:kern w:val="0"/>
                <w:highlight w:val="none"/>
                <w:lang w:bidi="ar"/>
              </w:rPr>
              <w:t>包最高限价（元）</w:t>
            </w:r>
          </w:p>
        </w:tc>
      </w:tr>
      <w:tr w14:paraId="11BF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exact"/>
        </w:trPr>
        <w:tc>
          <w:tcPr>
            <w:tcW w:w="757" w:type="dxa"/>
            <w:noWrap w:val="0"/>
            <w:vAlign w:val="center"/>
          </w:tcPr>
          <w:p w14:paraId="25CF437D">
            <w:pPr>
              <w:spacing w:line="240" w:lineRule="atLeast"/>
              <w:jc w:val="center"/>
              <w:rPr>
                <w:rFonts w:hint="eastAsia" w:ascii="宋体" w:hAnsi="宋体"/>
                <w:color w:val="auto"/>
                <w:highlight w:val="none"/>
              </w:rPr>
            </w:pPr>
            <w:r>
              <w:rPr>
                <w:rFonts w:hint="eastAsia" w:ascii="宋体" w:hAnsi="宋体"/>
                <w:color w:val="auto"/>
                <w:highlight w:val="none"/>
              </w:rPr>
              <w:t>1</w:t>
            </w:r>
          </w:p>
        </w:tc>
        <w:tc>
          <w:tcPr>
            <w:tcW w:w="1480" w:type="dxa"/>
            <w:noWrap w:val="0"/>
            <w:vAlign w:val="center"/>
          </w:tcPr>
          <w:p w14:paraId="641BA1D4">
            <w:pPr>
              <w:spacing w:line="240" w:lineRule="atLeast"/>
              <w:jc w:val="center"/>
              <w:rPr>
                <w:rFonts w:hint="eastAsia"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焦公资医疗X2026-030</w:t>
            </w:r>
            <w:r>
              <w:rPr>
                <w:rFonts w:hint="eastAsia" w:ascii="宋体" w:hAnsi="宋体" w:eastAsia="宋体" w:cs="宋体"/>
                <w:color w:val="auto"/>
                <w:highlight w:val="none"/>
                <w:lang w:val="en-US" w:eastAsia="zh-CN"/>
              </w:rPr>
              <w:t>-1</w:t>
            </w:r>
          </w:p>
        </w:tc>
        <w:tc>
          <w:tcPr>
            <w:tcW w:w="3454" w:type="dxa"/>
            <w:noWrap w:val="0"/>
            <w:vAlign w:val="center"/>
          </w:tcPr>
          <w:p w14:paraId="0D6D6024">
            <w:pPr>
              <w:spacing w:line="240" w:lineRule="atLeas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焦作市第二人民医院放射科DR医疗设备更新项目</w:t>
            </w:r>
          </w:p>
        </w:tc>
        <w:tc>
          <w:tcPr>
            <w:tcW w:w="1577" w:type="dxa"/>
            <w:noWrap w:val="0"/>
            <w:vAlign w:val="center"/>
          </w:tcPr>
          <w:p w14:paraId="76A9A7B5">
            <w:pPr>
              <w:spacing w:line="240" w:lineRule="atLeast"/>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3,000,000.00</w:t>
            </w:r>
          </w:p>
        </w:tc>
        <w:tc>
          <w:tcPr>
            <w:tcW w:w="1803" w:type="dxa"/>
            <w:noWrap w:val="0"/>
            <w:vAlign w:val="center"/>
          </w:tcPr>
          <w:p w14:paraId="01007663">
            <w:pPr>
              <w:spacing w:line="240" w:lineRule="atLeas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3,000,000.00</w:t>
            </w:r>
          </w:p>
        </w:tc>
      </w:tr>
    </w:tbl>
    <w:p w14:paraId="3FF88355">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采购需求（包括但不限于标的的名称、数量、简要技术需求或服务要求等）：</w:t>
      </w:r>
      <w:r>
        <w:rPr>
          <w:rFonts w:hint="eastAsia" w:ascii="宋体" w:hAnsi="宋体" w:eastAsia="宋体" w:cs="宋体"/>
          <w:b w:val="0"/>
          <w:bCs/>
          <w:color w:val="auto"/>
          <w:sz w:val="24"/>
          <w:szCs w:val="24"/>
          <w:highlight w:val="none"/>
          <w:lang w:val="en-US" w:eastAsia="zh-CN"/>
        </w:rPr>
        <w:t>采</w:t>
      </w:r>
      <w:r>
        <w:rPr>
          <w:rFonts w:hint="eastAsia" w:ascii="宋体" w:hAnsi="宋体" w:eastAsia="宋体" w:cs="宋体"/>
          <w:color w:val="auto"/>
          <w:sz w:val="24"/>
          <w:szCs w:val="24"/>
          <w:highlight w:val="none"/>
          <w:lang w:val="en-US" w:eastAsia="zh-CN"/>
        </w:rPr>
        <w:t>购</w:t>
      </w:r>
      <w:r>
        <w:rPr>
          <w:rFonts w:hint="eastAsia" w:ascii="宋体" w:hAnsi="宋体" w:eastAsia="宋体" w:cs="宋体"/>
          <w:color w:val="auto"/>
          <w:sz w:val="24"/>
          <w:szCs w:val="24"/>
          <w:highlight w:val="none"/>
        </w:rPr>
        <w:t>摄影X射线机</w:t>
      </w:r>
      <w:r>
        <w:rPr>
          <w:rFonts w:hint="eastAsia" w:ascii="宋体" w:hAnsi="宋体" w:eastAsia="宋体" w:cs="宋体"/>
          <w:color w:val="auto"/>
          <w:sz w:val="24"/>
          <w:szCs w:val="24"/>
          <w:highlight w:val="none"/>
          <w:lang w:val="en-US" w:eastAsia="zh-CN"/>
        </w:rPr>
        <w:t>一</w:t>
      </w:r>
      <w:r>
        <w:rPr>
          <w:rFonts w:hint="eastAsia" w:ascii="宋体" w:hAnsi="宋体" w:eastAsia="宋体" w:cs="宋体"/>
          <w:b w:val="0"/>
          <w:bCs/>
          <w:color w:val="auto"/>
          <w:sz w:val="24"/>
          <w:szCs w:val="24"/>
          <w:highlight w:val="none"/>
          <w:lang w:val="en-US" w:eastAsia="zh-CN"/>
        </w:rPr>
        <w:t>套；</w:t>
      </w:r>
      <w:r>
        <w:rPr>
          <w:rFonts w:hint="eastAsia" w:ascii="宋体" w:hAnsi="宋体" w:eastAsia="宋体" w:cs="宋体"/>
          <w:color w:val="auto"/>
          <w:sz w:val="24"/>
          <w:szCs w:val="24"/>
          <w:highlight w:val="none"/>
        </w:rPr>
        <w:t>（详见招标文件第三部分）</w:t>
      </w:r>
    </w:p>
    <w:p w14:paraId="0822B83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合同履行期限：接到招标人交货通知后30日历日内供货、安装、调试、培训到位</w:t>
      </w:r>
      <w:r>
        <w:rPr>
          <w:rFonts w:hint="eastAsia" w:ascii="宋体" w:hAnsi="宋体" w:eastAsia="宋体" w:cs="宋体"/>
          <w:color w:val="auto"/>
          <w:sz w:val="24"/>
          <w:szCs w:val="24"/>
          <w:highlight w:val="none"/>
          <w:lang w:val="en-US" w:eastAsia="zh-CN"/>
        </w:rPr>
        <w:t>。</w:t>
      </w:r>
    </w:p>
    <w:p w14:paraId="60408E3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7.本项目是否接受联合体投标：否。</w:t>
      </w:r>
    </w:p>
    <w:p w14:paraId="6C80B07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8.是否接受进口产品：否。</w:t>
      </w:r>
    </w:p>
    <w:p w14:paraId="4EBB209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9.是否专门面向中小企业：</w:t>
      </w:r>
      <w:r>
        <w:rPr>
          <w:rFonts w:hint="eastAsia" w:ascii="宋体" w:hAnsi="宋体" w:eastAsia="宋体" w:cs="宋体"/>
          <w:color w:val="auto"/>
          <w:sz w:val="24"/>
          <w:szCs w:val="24"/>
          <w:highlight w:val="none"/>
          <w:lang w:val="en-US" w:eastAsia="zh-CN"/>
        </w:rPr>
        <w:t>否</w:t>
      </w:r>
      <w:r>
        <w:rPr>
          <w:rFonts w:hint="eastAsia" w:ascii="宋体" w:hAnsi="宋体" w:eastAsia="宋体" w:cs="宋体"/>
          <w:color w:val="auto"/>
          <w:sz w:val="24"/>
          <w:szCs w:val="24"/>
          <w:highlight w:val="none"/>
        </w:rPr>
        <w:t>。</w:t>
      </w:r>
    </w:p>
    <w:p w14:paraId="09959AAF">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二、申请人的资格要求</w:t>
      </w:r>
    </w:p>
    <w:p w14:paraId="5E7B93DD">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14:paraId="7A50EB4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2.落实政府采购政策满足的资格要求：</w:t>
      </w:r>
      <w:r>
        <w:rPr>
          <w:rFonts w:hint="eastAsia" w:ascii="宋体" w:hAnsi="宋体" w:eastAsia="宋体" w:cs="宋体"/>
          <w:color w:val="auto"/>
          <w:sz w:val="24"/>
          <w:szCs w:val="24"/>
          <w:highlight w:val="none"/>
          <w:lang w:val="en-US" w:eastAsia="zh-CN"/>
        </w:rPr>
        <w:t>/</w:t>
      </w:r>
    </w:p>
    <w:p w14:paraId="3D51022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3.本项目的特定资格要求：</w:t>
      </w:r>
    </w:p>
    <w:p w14:paraId="5CAFD80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3.1投标人行贿犯罪档案记录（开标当日中国裁判文书网的信息）；</w:t>
      </w:r>
    </w:p>
    <w:p w14:paraId="75C6B31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按照《财政部关于在政府采购活动中查询及使用信用记录有关问题的通知》（财库〔2016〕125号）的要求，根据开标当日“信用中国”网站（www.creditchina.gov.cn）、中国政府采购网（www.ccgp.gov.cn）的信息，对列入失信被执行人、重大税收违法失信主体、政府采购严重违法失信行为记录名单的供应商，拒绝参与政府采购活动，同时对信用信息查询记录和证据进行打印存档；</w:t>
      </w:r>
    </w:p>
    <w:p w14:paraId="09777DF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3.3未被人力资源社会保障主管部门列入拖欠农民工工资失信联合惩戒名单或无因拖欠农民工工资被县级及以上有关行政主管部门限制投标资格且在限制期限内（提供承诺函）</w:t>
      </w:r>
      <w:r>
        <w:rPr>
          <w:rFonts w:hint="eastAsia" w:ascii="宋体" w:hAnsi="宋体" w:eastAsia="宋体" w:cs="宋体"/>
          <w:color w:val="auto"/>
          <w:sz w:val="24"/>
          <w:szCs w:val="24"/>
          <w:highlight w:val="none"/>
          <w:lang w:eastAsia="zh-CN"/>
        </w:rPr>
        <w:t>；</w:t>
      </w:r>
    </w:p>
    <w:p w14:paraId="2009CEF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具有医疗器械经营许可证或医疗器械经营备案凭证或生产许可证</w:t>
      </w:r>
      <w:r>
        <w:rPr>
          <w:rFonts w:hint="eastAsia" w:ascii="宋体" w:hAnsi="宋体" w:eastAsia="宋体" w:cs="宋体"/>
          <w:color w:val="auto"/>
          <w:sz w:val="24"/>
          <w:szCs w:val="24"/>
          <w:highlight w:val="none"/>
          <w:lang w:val="en-US" w:eastAsia="zh-CN"/>
        </w:rPr>
        <w:t>。</w:t>
      </w:r>
    </w:p>
    <w:p w14:paraId="4848FF0D">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w:t>
      </w:r>
      <w:r>
        <w:rPr>
          <w:rFonts w:hint="eastAsia" w:ascii="宋体" w:hAnsi="宋体" w:eastAsia="宋体" w:cs="宋体"/>
          <w:color w:val="auto"/>
          <w:sz w:val="24"/>
          <w:szCs w:val="24"/>
          <w:highlight w:val="none"/>
        </w:rPr>
        <w:t>具有辐射安全许可证（或产品豁免备案）</w:t>
      </w:r>
      <w:r>
        <w:rPr>
          <w:rFonts w:hint="eastAsia" w:ascii="宋体" w:hAnsi="宋体" w:eastAsia="宋体" w:cs="宋体"/>
          <w:color w:val="auto"/>
          <w:sz w:val="24"/>
          <w:szCs w:val="24"/>
          <w:highlight w:val="none"/>
          <w:lang w:eastAsia="zh-CN"/>
        </w:rPr>
        <w:t>。</w:t>
      </w:r>
    </w:p>
    <w:p w14:paraId="2AF768D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备注：以上第3.1条和第3.2条由采购代理机构提供查询结果。</w:t>
      </w:r>
    </w:p>
    <w:p w14:paraId="1E058A6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三、获取招标文件</w:t>
      </w:r>
    </w:p>
    <w:p w14:paraId="5996E3B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日00时00分至202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日23时59分（北京时间）；</w:t>
      </w:r>
    </w:p>
    <w:p w14:paraId="094D345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2.地点：焦作市公共资源交易中心网站；</w:t>
      </w:r>
    </w:p>
    <w:p w14:paraId="28DBC5A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3.方式：本项目采用电子开评标（不见面开标），凡有意参加投标者，请登陆焦作市公共资源交易中心网站“交易平台”栏目下载招标文件；</w:t>
      </w:r>
    </w:p>
    <w:p w14:paraId="6ED1624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4.售价：0元。</w:t>
      </w:r>
    </w:p>
    <w:p w14:paraId="15697C79">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四、投标截止时间及地点 </w:t>
      </w:r>
    </w:p>
    <w:p w14:paraId="7116F74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日0</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0分（北京时间） </w:t>
      </w:r>
    </w:p>
    <w:p w14:paraId="193EBA1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2.地点：加密电子投标文件须在投标截止时间前通过“焦作市公共资源交易中心（http</w:t>
      </w:r>
      <w:r>
        <w:rPr>
          <w:rFonts w:hint="eastAsia" w:ascii="宋体" w:hAnsi="宋体" w:eastAsia="宋体" w:cs="宋体"/>
          <w:color w:val="auto"/>
          <w:sz w:val="24"/>
          <w:szCs w:val="24"/>
          <w:highlight w:val="none"/>
          <w:lang w:val="en-US" w:eastAsia="zh-CN"/>
        </w:rPr>
        <w:t>s</w:t>
      </w:r>
      <w:r>
        <w:rPr>
          <w:rFonts w:hint="eastAsia" w:ascii="宋体" w:hAnsi="宋体" w:eastAsia="宋体" w:cs="宋体"/>
          <w:color w:val="auto"/>
          <w:sz w:val="24"/>
          <w:szCs w:val="24"/>
          <w:highlight w:val="none"/>
        </w:rPr>
        <w:t>://ggzy.jiaozuo.gov.cn/）”网站-交易平台加密上传。</w:t>
      </w:r>
    </w:p>
    <w:p w14:paraId="4D13BD33">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五、开标时间及地点</w:t>
      </w:r>
      <w:r>
        <w:rPr>
          <w:rFonts w:hint="eastAsia" w:ascii="宋体" w:hAnsi="宋体" w:eastAsia="宋体" w:cs="宋体"/>
          <w:color w:val="auto"/>
          <w:sz w:val="24"/>
          <w:szCs w:val="24"/>
          <w:highlight w:val="none"/>
        </w:rPr>
        <w:t xml:space="preserve"> </w:t>
      </w:r>
    </w:p>
    <w:p w14:paraId="2325320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08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0分（北京时间） </w:t>
      </w:r>
    </w:p>
    <w:p w14:paraId="429318F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2.地点：焦作市公共资源交易中心</w:t>
      </w:r>
      <w:r>
        <w:rPr>
          <w:rFonts w:hint="eastAsia" w:ascii="宋体" w:hAnsi="宋体" w:eastAsia="宋体" w:cs="宋体"/>
          <w:color w:val="auto"/>
          <w:sz w:val="24"/>
          <w:szCs w:val="24"/>
          <w:highlight w:val="none"/>
          <w:lang w:val="en-US" w:eastAsia="zh-CN"/>
        </w:rPr>
        <w:t>第三</w:t>
      </w:r>
      <w:r>
        <w:rPr>
          <w:rFonts w:hint="eastAsia" w:ascii="宋体" w:hAnsi="宋体" w:eastAsia="宋体" w:cs="宋体"/>
          <w:color w:val="auto"/>
          <w:sz w:val="24"/>
          <w:szCs w:val="24"/>
          <w:highlight w:val="none"/>
        </w:rPr>
        <w:t>开标室</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号机 </w:t>
      </w:r>
    </w:p>
    <w:p w14:paraId="5550D2AA">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六、发布公告的媒介及招标公告期限</w:t>
      </w:r>
      <w:r>
        <w:rPr>
          <w:rFonts w:hint="eastAsia" w:ascii="宋体" w:hAnsi="宋体" w:eastAsia="宋体" w:cs="宋体"/>
          <w:color w:val="auto"/>
          <w:sz w:val="24"/>
          <w:szCs w:val="24"/>
          <w:highlight w:val="none"/>
        </w:rPr>
        <w:t xml:space="preserve"> </w:t>
      </w:r>
    </w:p>
    <w:p w14:paraId="21C8509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本次招标公告在《河南省政府采购网》、《焦作市公共资源交易中心网》上发布。招标公告期限为五个工作日。  </w:t>
      </w:r>
    </w:p>
    <w:p w14:paraId="5D907720">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七、其他补充事宜</w:t>
      </w:r>
    </w:p>
    <w:p w14:paraId="21D1CA6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需要落实的政府采购政策：促进中小企业和监狱企业发展扶持政策、促进残疾人就业政府采购政策、实施本国产品标准及相关政策。</w:t>
      </w:r>
    </w:p>
    <w:p w14:paraId="5DA2762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《投标单位操作手册及视频》和新点投标文件制作软件请到焦作市公共资源交易中心网站“公共服务”——“下载专区”栏目下载。</w:t>
      </w:r>
    </w:p>
    <w:p w14:paraId="4E57816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请各投标人提前办理 CA 数字证书，并学习电子投标文件制作。加密的电子投标文件须使用CA数字证书上传。为防止网络拥堵等不可控因素影响加密的电子投标文件上传，请各投标人提前上传，因未能及时上传导致投标失败的责任由投标人自行承担。为保护用户账户的安全和即将开展的电子化开评标，投标人必须使用移动CA或实体CA证书等数字认证方式登录招投标交易平台，移动CA通过交易主体登录页扫码下载app线上申请即可，实体CA办理可通过网站办事指南查询办理流程。</w:t>
      </w:r>
    </w:p>
    <w:p w14:paraId="6D5E4CC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按要求进行网上获取并下载招标文件,凡未在规定时间内获取招标文件者视为无效标。</w:t>
      </w:r>
    </w:p>
    <w:p w14:paraId="28A2D7FD">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平台统一技术服务电话为：0512-58188538，服务QQ:4008503300,服务时间:周一至周日8:00-17:30（北京时间）。</w:t>
      </w:r>
    </w:p>
    <w:p w14:paraId="1BDDDDB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获取招标文件后，请下载并安装最新版本投标文件制作工具，制作电子投标文件，在投标截止时间前，上传加密的投标文件。供应商未在投标截止时间前完成上传的，视为逾期送达，焦作市电子招投标交易平台将拒绝接收。</w:t>
      </w:r>
    </w:p>
    <w:p w14:paraId="112D49F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本项目采用远程不见面交易的模式，开标当日，供应商无需到现场参加开标会议，应在投标截止时间前，登录“不见面开标大厅系统”，在线准时参加开标活动并进行投标文件解密等。因供应商原因未能解密或解密失败的将被拒绝。详见焦作市公共资源交易中心网站-公共服务-下载专区《投标单位操作手册及视频》。除电子投标文件外，投标时不再接受任何纸质文件、资料等。</w:t>
      </w:r>
    </w:p>
    <w:p w14:paraId="06A4E4D9">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八、凡对本次招标提出询问，请按以下方式联系。</w:t>
      </w:r>
    </w:p>
    <w:p w14:paraId="07DB076D">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14:paraId="5F7F2BE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名称：焦作市第二人民医院</w:t>
      </w:r>
    </w:p>
    <w:p w14:paraId="1CA36A9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地址：焦作市民主南路17号</w:t>
      </w:r>
    </w:p>
    <w:p w14:paraId="2E48F25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联系人：王先生</w:t>
      </w:r>
    </w:p>
    <w:p w14:paraId="1751485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联系方式：13903899819</w:t>
      </w:r>
    </w:p>
    <w:p w14:paraId="07D20C2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p>
    <w:p w14:paraId="203EC66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名称：焦作市公共资源项目服务有限责任公司 </w:t>
      </w:r>
    </w:p>
    <w:p w14:paraId="1DAF1BA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地址：焦作市解放区人民路889号 </w:t>
      </w:r>
    </w:p>
    <w:p w14:paraId="52253F7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高女士</w:t>
      </w:r>
    </w:p>
    <w:p w14:paraId="6B67F93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18639107650</w:t>
      </w:r>
    </w:p>
    <w:p w14:paraId="2FEE08C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3.项目联系方式 </w:t>
      </w:r>
    </w:p>
    <w:p w14:paraId="7A9E6F6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lang w:eastAsia="zh-CN"/>
        </w:rPr>
        <w:t>王</w:t>
      </w:r>
      <w:r>
        <w:rPr>
          <w:rFonts w:hint="eastAsia" w:ascii="宋体" w:hAnsi="宋体" w:eastAsia="宋体" w:cs="宋体"/>
          <w:color w:val="auto"/>
          <w:sz w:val="24"/>
          <w:szCs w:val="24"/>
          <w:highlight w:val="none"/>
          <w:lang w:val="en-US" w:eastAsia="zh-CN"/>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高女士</w:t>
      </w:r>
    </w:p>
    <w:p w14:paraId="2D366EC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13903899819</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18639107650</w:t>
      </w:r>
    </w:p>
    <w:p w14:paraId="00223E3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lang w:val="en-US" w:eastAsia="zh-CN"/>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suff w:val="nothing"/>
      <w:lvlText w:val="第%1部分"/>
      <w:lvlJc w:val="center"/>
      <w:pPr>
        <w:ind w:left="0" w:firstLine="288"/>
      </w:pPr>
      <w:rPr>
        <w:rFonts w:hint="eastAsia"/>
      </w:rPr>
    </w:lvl>
    <w:lvl w:ilvl="1" w:tentative="0">
      <w:start w:val="1"/>
      <w:numFmt w:val="chineseCountingThousand"/>
      <w:pStyle w:val="2"/>
      <w:suff w:val="nothing"/>
      <w:lvlText w:val="%2、"/>
      <w:lvlJc w:val="left"/>
      <w:pPr>
        <w:ind w:left="0" w:firstLine="0"/>
      </w:pPr>
      <w:rPr>
        <w:rFonts w:hint="eastAsia"/>
      </w:rPr>
    </w:lvl>
    <w:lvl w:ilvl="2" w:tentative="0">
      <w:start w:val="1"/>
      <w:numFmt w:val="chineseCountingThousand"/>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lvlText w:val="（%5）"/>
      <w:lvlJc w:val="left"/>
      <w:pPr>
        <w:tabs>
          <w:tab w:val="left" w:pos="720"/>
        </w:tabs>
        <w:ind w:left="720" w:hanging="720"/>
      </w:pPr>
      <w:rPr>
        <w:rFonts w:hint="default"/>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YjMyMTFjZmRiNzM4MzNiZWZiNTU3YzllZWZkYThjNzQifQ=="/>
  </w:docVars>
  <w:rsids>
    <w:rsidRoot w:val="34A961CA"/>
    <w:rsid w:val="010B7C0C"/>
    <w:rsid w:val="02451D6E"/>
    <w:rsid w:val="02AC7F7F"/>
    <w:rsid w:val="0320064C"/>
    <w:rsid w:val="03920A34"/>
    <w:rsid w:val="04732647"/>
    <w:rsid w:val="05444DBA"/>
    <w:rsid w:val="058645FB"/>
    <w:rsid w:val="074A52E1"/>
    <w:rsid w:val="075C73C2"/>
    <w:rsid w:val="07751C51"/>
    <w:rsid w:val="079F3753"/>
    <w:rsid w:val="08BE29E2"/>
    <w:rsid w:val="08F432A9"/>
    <w:rsid w:val="090C7CD1"/>
    <w:rsid w:val="0A004B12"/>
    <w:rsid w:val="0ABC04F3"/>
    <w:rsid w:val="0AC36DFD"/>
    <w:rsid w:val="0BB102BE"/>
    <w:rsid w:val="0BC5002E"/>
    <w:rsid w:val="0CCE2B10"/>
    <w:rsid w:val="0CCF7C26"/>
    <w:rsid w:val="0D7E548C"/>
    <w:rsid w:val="0D9B6691"/>
    <w:rsid w:val="10B677C5"/>
    <w:rsid w:val="10D827DF"/>
    <w:rsid w:val="12515ADA"/>
    <w:rsid w:val="13787653"/>
    <w:rsid w:val="13825DF7"/>
    <w:rsid w:val="13834242"/>
    <w:rsid w:val="15424ECB"/>
    <w:rsid w:val="15671A1B"/>
    <w:rsid w:val="16C954A9"/>
    <w:rsid w:val="18A4506D"/>
    <w:rsid w:val="19882CD7"/>
    <w:rsid w:val="199F5D9E"/>
    <w:rsid w:val="1A015B9F"/>
    <w:rsid w:val="1A02247A"/>
    <w:rsid w:val="1B82488E"/>
    <w:rsid w:val="1BDB7D04"/>
    <w:rsid w:val="1CDC7159"/>
    <w:rsid w:val="1CE31944"/>
    <w:rsid w:val="1D6773CF"/>
    <w:rsid w:val="1DA710AC"/>
    <w:rsid w:val="1DD440CD"/>
    <w:rsid w:val="20C60106"/>
    <w:rsid w:val="21076AD1"/>
    <w:rsid w:val="21606851"/>
    <w:rsid w:val="21C06CC2"/>
    <w:rsid w:val="21ED1832"/>
    <w:rsid w:val="22C22D0E"/>
    <w:rsid w:val="231B417D"/>
    <w:rsid w:val="234C39F4"/>
    <w:rsid w:val="23A3475F"/>
    <w:rsid w:val="24372913"/>
    <w:rsid w:val="24F36655"/>
    <w:rsid w:val="252F1CAC"/>
    <w:rsid w:val="26267A22"/>
    <w:rsid w:val="26DD0CDB"/>
    <w:rsid w:val="26E35D27"/>
    <w:rsid w:val="27946BB8"/>
    <w:rsid w:val="28C42293"/>
    <w:rsid w:val="294855A0"/>
    <w:rsid w:val="29AC2660"/>
    <w:rsid w:val="2A491DCD"/>
    <w:rsid w:val="2A4D025D"/>
    <w:rsid w:val="2ADA1716"/>
    <w:rsid w:val="2AFC2909"/>
    <w:rsid w:val="2BAB7BB8"/>
    <w:rsid w:val="2BE446B0"/>
    <w:rsid w:val="2C31056E"/>
    <w:rsid w:val="2CAA48B6"/>
    <w:rsid w:val="2D114F38"/>
    <w:rsid w:val="2D6C5D01"/>
    <w:rsid w:val="2DC9538B"/>
    <w:rsid w:val="2DD33212"/>
    <w:rsid w:val="2E2A34C6"/>
    <w:rsid w:val="2E5A0E01"/>
    <w:rsid w:val="2ED00275"/>
    <w:rsid w:val="2F4D0AAA"/>
    <w:rsid w:val="314B3DB4"/>
    <w:rsid w:val="31DA3C44"/>
    <w:rsid w:val="328E1AB5"/>
    <w:rsid w:val="337A06DB"/>
    <w:rsid w:val="33E33413"/>
    <w:rsid w:val="34707E79"/>
    <w:rsid w:val="34A961CA"/>
    <w:rsid w:val="389924A9"/>
    <w:rsid w:val="39793267"/>
    <w:rsid w:val="39962C1E"/>
    <w:rsid w:val="39FE32D8"/>
    <w:rsid w:val="3AA01738"/>
    <w:rsid w:val="3AF67467"/>
    <w:rsid w:val="3B7D3FCC"/>
    <w:rsid w:val="3B8E3FB0"/>
    <w:rsid w:val="3BD63FF9"/>
    <w:rsid w:val="3CA3745B"/>
    <w:rsid w:val="3D0D6999"/>
    <w:rsid w:val="3D770A26"/>
    <w:rsid w:val="3DCF0187"/>
    <w:rsid w:val="3E7C1B1C"/>
    <w:rsid w:val="3ECB4D12"/>
    <w:rsid w:val="3ED5122D"/>
    <w:rsid w:val="3F473B97"/>
    <w:rsid w:val="3F610AC3"/>
    <w:rsid w:val="3F633CC9"/>
    <w:rsid w:val="40450AC1"/>
    <w:rsid w:val="417E7E46"/>
    <w:rsid w:val="42603DB6"/>
    <w:rsid w:val="43634E1D"/>
    <w:rsid w:val="437B23A2"/>
    <w:rsid w:val="43F46A44"/>
    <w:rsid w:val="44AF1E4A"/>
    <w:rsid w:val="450D414F"/>
    <w:rsid w:val="45432715"/>
    <w:rsid w:val="45705E17"/>
    <w:rsid w:val="459657A1"/>
    <w:rsid w:val="460F220E"/>
    <w:rsid w:val="463D2143"/>
    <w:rsid w:val="46C20E5B"/>
    <w:rsid w:val="472F51FD"/>
    <w:rsid w:val="47414FB0"/>
    <w:rsid w:val="482E2817"/>
    <w:rsid w:val="482F3049"/>
    <w:rsid w:val="48F40220"/>
    <w:rsid w:val="499F7E55"/>
    <w:rsid w:val="49FA1E14"/>
    <w:rsid w:val="4A7638C4"/>
    <w:rsid w:val="4ACD36E9"/>
    <w:rsid w:val="4BC5528C"/>
    <w:rsid w:val="4CC052CA"/>
    <w:rsid w:val="4D15318B"/>
    <w:rsid w:val="4D97427D"/>
    <w:rsid w:val="4EEA0D24"/>
    <w:rsid w:val="4F916E26"/>
    <w:rsid w:val="51342E9F"/>
    <w:rsid w:val="51856AE2"/>
    <w:rsid w:val="524D65BC"/>
    <w:rsid w:val="531D766A"/>
    <w:rsid w:val="53580165"/>
    <w:rsid w:val="53FD2C87"/>
    <w:rsid w:val="551D0FA7"/>
    <w:rsid w:val="55956539"/>
    <w:rsid w:val="55A70867"/>
    <w:rsid w:val="55CD6FFA"/>
    <w:rsid w:val="56F2569D"/>
    <w:rsid w:val="576332C4"/>
    <w:rsid w:val="58E80D86"/>
    <w:rsid w:val="58EE0897"/>
    <w:rsid w:val="58FE21FB"/>
    <w:rsid w:val="59CB41B0"/>
    <w:rsid w:val="5CD519B3"/>
    <w:rsid w:val="5CF247B4"/>
    <w:rsid w:val="5CFA4828"/>
    <w:rsid w:val="5D22329B"/>
    <w:rsid w:val="5D93050B"/>
    <w:rsid w:val="5DF96FF9"/>
    <w:rsid w:val="5F15726A"/>
    <w:rsid w:val="5F912498"/>
    <w:rsid w:val="606079EE"/>
    <w:rsid w:val="60C15546"/>
    <w:rsid w:val="617F1FE4"/>
    <w:rsid w:val="61BE4402"/>
    <w:rsid w:val="62053EC6"/>
    <w:rsid w:val="62414BA2"/>
    <w:rsid w:val="64E16256"/>
    <w:rsid w:val="64E85E39"/>
    <w:rsid w:val="662F6DB1"/>
    <w:rsid w:val="668E68EC"/>
    <w:rsid w:val="6763557C"/>
    <w:rsid w:val="679874F2"/>
    <w:rsid w:val="68180082"/>
    <w:rsid w:val="681C1AF7"/>
    <w:rsid w:val="69E61E13"/>
    <w:rsid w:val="6A7B5BFE"/>
    <w:rsid w:val="6A8867C7"/>
    <w:rsid w:val="6B7E5152"/>
    <w:rsid w:val="6BF0003E"/>
    <w:rsid w:val="6C012C80"/>
    <w:rsid w:val="6C50320F"/>
    <w:rsid w:val="6D5335E2"/>
    <w:rsid w:val="6DA505BB"/>
    <w:rsid w:val="6F4B42CA"/>
    <w:rsid w:val="6F9D74A8"/>
    <w:rsid w:val="7252035B"/>
    <w:rsid w:val="72CB325B"/>
    <w:rsid w:val="73881B3C"/>
    <w:rsid w:val="75BF6A2F"/>
    <w:rsid w:val="78787FE0"/>
    <w:rsid w:val="787E51F4"/>
    <w:rsid w:val="78C92F21"/>
    <w:rsid w:val="79846FEE"/>
    <w:rsid w:val="798B73C4"/>
    <w:rsid w:val="7AE00762"/>
    <w:rsid w:val="7B404058"/>
    <w:rsid w:val="7BBF0CBF"/>
    <w:rsid w:val="7C01472E"/>
    <w:rsid w:val="7C160A55"/>
    <w:rsid w:val="7C1D7794"/>
    <w:rsid w:val="7D582DA7"/>
    <w:rsid w:val="7DFD646C"/>
    <w:rsid w:val="7EA01C51"/>
    <w:rsid w:val="7EA33F12"/>
    <w:rsid w:val="7EF20988"/>
    <w:rsid w:val="7F9014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2"/>
    <w:basedOn w:val="1"/>
    <w:next w:val="1"/>
    <w:autoRedefine/>
    <w:qFormat/>
    <w:uiPriority w:val="0"/>
    <w:pPr>
      <w:keepNext/>
      <w:keepLines/>
      <w:numPr>
        <w:ilvl w:val="1"/>
        <w:numId w:val="1"/>
      </w:numPr>
      <w:adjustRightInd w:val="0"/>
      <w:spacing w:before="260" w:beforeLines="0" w:after="260" w:afterLines="0" w:line="416" w:lineRule="atLeast"/>
      <w:jc w:val="left"/>
      <w:textAlignment w:val="baseline"/>
      <w:outlineLvl w:val="1"/>
    </w:pPr>
    <w:rPr>
      <w:rFonts w:ascii="Arial" w:hAnsi="Arial" w:eastAsia="黑体"/>
      <w:b/>
      <w:bCs/>
      <w:kern w:val="0"/>
      <w:sz w:val="32"/>
      <w:szCs w:val="32"/>
    </w:rPr>
  </w:style>
  <w:style w:type="paragraph" w:styleId="3">
    <w:name w:val="heading 4"/>
    <w:basedOn w:val="1"/>
    <w:next w:val="1"/>
    <w:qFormat/>
    <w:uiPriority w:val="0"/>
    <w:pPr>
      <w:keepNext/>
      <w:keepLines/>
      <w:spacing w:before="140" w:after="140" w:line="360" w:lineRule="auto"/>
      <w:jc w:val="left"/>
      <w:outlineLvl w:val="3"/>
    </w:pPr>
    <w:rPr>
      <w:rFonts w:ascii="Cambria" w:hAnsi="Cambria"/>
      <w:b/>
      <w:bCs/>
      <w:color w:val="000000"/>
      <w:szCs w:val="28"/>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ody Text"/>
    <w:basedOn w:val="1"/>
    <w:autoRedefine/>
    <w:qFormat/>
    <w:uiPriority w:val="0"/>
    <w:rPr>
      <w:rFonts w:ascii="仿宋_GB2312" w:hAnsi="华文楷体" w:eastAsia="仿宋_GB2312"/>
      <w:sz w:val="32"/>
    </w:rPr>
  </w:style>
  <w:style w:type="paragraph" w:styleId="6">
    <w:name w:val="Body Text Indent"/>
    <w:basedOn w:val="1"/>
    <w:next w:val="7"/>
    <w:qFormat/>
    <w:uiPriority w:val="0"/>
    <w:pPr>
      <w:spacing w:line="560" w:lineRule="exact"/>
      <w:ind w:firstLine="640" w:firstLineChars="200"/>
    </w:pPr>
    <w:rPr>
      <w:rFonts w:ascii="仿宋_GB2312" w:eastAsia="仿宋_GB2312"/>
      <w:sz w:val="32"/>
    </w:rPr>
  </w:style>
  <w:style w:type="paragraph" w:customStyle="1" w:styleId="7">
    <w:name w:val="Default"/>
    <w:autoRedefine/>
    <w:qFormat/>
    <w:uiPriority w:val="0"/>
    <w:pPr>
      <w:widowControl w:val="0"/>
      <w:autoSpaceDE w:val="0"/>
      <w:autoSpaceDN w:val="0"/>
      <w:adjustRightInd w:val="0"/>
    </w:pPr>
    <w:rPr>
      <w:rFonts w:ascii="宋体" w:hAnsi="Times New Roman" w:eastAsia="宋体" w:cs="Times New Roman"/>
      <w:lang w:val="en-US" w:eastAsia="zh-CN" w:bidi="ar-SA"/>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next w:val="10"/>
    <w:qFormat/>
    <w:uiPriority w:val="0"/>
    <w:pPr>
      <w:pBdr>
        <w:bottom w:val="single" w:color="auto" w:sz="6" w:space="1"/>
      </w:pBdr>
      <w:tabs>
        <w:tab w:val="center" w:pos="4153"/>
        <w:tab w:val="right" w:pos="8306"/>
      </w:tabs>
      <w:snapToGrid w:val="0"/>
      <w:jc w:val="center"/>
    </w:pPr>
    <w:rPr>
      <w:sz w:val="18"/>
      <w:szCs w:val="18"/>
    </w:rPr>
  </w:style>
  <w:style w:type="paragraph" w:styleId="10">
    <w:name w:val="Quote"/>
    <w:basedOn w:val="1"/>
    <w:next w:val="1"/>
    <w:qFormat/>
    <w:uiPriority w:val="99"/>
    <w:pPr>
      <w:ind w:left="864" w:right="864"/>
      <w:jc w:val="center"/>
    </w:pPr>
    <w:rPr>
      <w:i/>
      <w:iCs/>
      <w:color w:val="404040"/>
      <w:szCs w:val="21"/>
    </w:rPr>
  </w:style>
  <w:style w:type="paragraph" w:styleId="11">
    <w:name w:val="toc 2"/>
    <w:basedOn w:val="1"/>
    <w:next w:val="1"/>
    <w:autoRedefine/>
    <w:unhideWhenUsed/>
    <w:qFormat/>
    <w:uiPriority w:val="39"/>
    <w:pPr>
      <w:tabs>
        <w:tab w:val="right" w:leader="dot" w:pos="8302"/>
      </w:tabs>
      <w:ind w:left="100" w:leftChars="100"/>
      <w:jc w:val="left"/>
    </w:pPr>
    <w:rPr>
      <w:b/>
      <w:smallCaps/>
    </w:rPr>
  </w:style>
  <w:style w:type="paragraph" w:styleId="12">
    <w:name w:val="Body Text 2"/>
    <w:basedOn w:val="1"/>
    <w:autoRedefine/>
    <w:qFormat/>
    <w:uiPriority w:val="0"/>
    <w:rPr>
      <w:rFonts w:eastAsia="楷体_GB2312"/>
      <w:sz w:val="32"/>
    </w:rPr>
  </w:style>
  <w:style w:type="paragraph" w:styleId="13">
    <w:name w:val="Normal (Web)"/>
    <w:basedOn w:val="1"/>
    <w:autoRedefine/>
    <w:qFormat/>
    <w:uiPriority w:val="0"/>
    <w:pPr>
      <w:widowControl/>
      <w:adjustRightInd/>
      <w:spacing w:before="100" w:beforeLines="0" w:beforeAutospacing="1" w:after="100" w:afterLines="0" w:afterAutospacing="1" w:line="240" w:lineRule="auto"/>
      <w:textAlignment w:val="auto"/>
    </w:pPr>
    <w:rPr>
      <w:rFonts w:ascii="宋体" w:hAnsi="宋体"/>
      <w:szCs w:val="24"/>
    </w:rPr>
  </w:style>
  <w:style w:type="paragraph" w:styleId="14">
    <w:name w:val="Body Text First Indent"/>
    <w:basedOn w:val="5"/>
    <w:qFormat/>
    <w:uiPriority w:val="0"/>
    <w:pPr>
      <w:spacing w:after="120" w:afterLines="0"/>
      <w:ind w:firstLine="420" w:firstLineChars="100"/>
    </w:pPr>
    <w:rPr>
      <w:rFonts w:ascii="Times New Roman" w:hAnsi="Times New Roman" w:eastAsia="宋体"/>
      <w:sz w:val="21"/>
    </w:rPr>
  </w:style>
  <w:style w:type="paragraph" w:styleId="15">
    <w:name w:val="Body Text First Indent 2"/>
    <w:basedOn w:val="6"/>
    <w:unhideWhenUsed/>
    <w:qFormat/>
    <w:uiPriority w:val="99"/>
    <w:pPr>
      <w:ind w:firstLine="420" w:firstLineChars="200"/>
    </w:pPr>
    <w:rPr>
      <w:sz w:val="21"/>
    </w:rPr>
  </w:style>
  <w:style w:type="table" w:styleId="17">
    <w:name w:val="Table Grid"/>
    <w:basedOn w:val="1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正文1"/>
    <w:basedOn w:val="1"/>
    <w:autoRedefine/>
    <w:qFormat/>
    <w:uiPriority w:val="0"/>
    <w:pPr>
      <w:adjustRightInd w:val="0"/>
      <w:spacing w:line="318" w:lineRule="atLeast"/>
      <w:ind w:left="369" w:firstLine="369"/>
      <w:textAlignment w:val="baseline"/>
    </w:pPr>
    <w:rPr>
      <w:rFonts w:ascii="宋体"/>
      <w:szCs w:val="20"/>
    </w:rPr>
  </w:style>
  <w:style w:type="character" w:customStyle="1" w:styleId="20">
    <w:name w:val="NormalCharacter"/>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1867</Words>
  <Characters>2174</Characters>
  <Lines>0</Lines>
  <Paragraphs>0</Paragraphs>
  <TotalTime>0</TotalTime>
  <ScaleCrop>false</ScaleCrop>
  <LinksUpToDate>false</LinksUpToDate>
  <CharactersWithSpaces>2206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2020-08-26T07:15:00Z</dcterms:created>
  <dc:creator>Administrator</dc:creator>
  <cp:lastModifiedBy>ywb2024</cp:lastModifiedBy>
  <dcterms:modified xsi:type="dcterms:W3CDTF">2026-09-07T07:58:29Z</dcterms:modified>
  <dc:title>武陟县人民医院分院采购DR（透视摄影X射线机）项目的公开招标公告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77B93ACC671C44C9A6CFDCEC3B06809E</vt:lpwstr>
  </property>
  <property fmtid="{D5CDD505-2E9C-101B-9397-08002B2CF9AE}" pid="4" name="KSOTemplateDocerSaveRecord">
    <vt:lpwstr>eyJoZGlkIjoiYjMyMTFjZmRiNzM4MzNiZWZiNTU3YzllZWZkYThjNzQiLCJ1c2VySWQiOiI5NzczNjQ4MTgifQ==</vt:lpwstr>
  </property>
</Properties>
</file>