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D869C95">
      <w:pPr>
        <w:jc w:val="center"/>
        <w:rPr>
          <w:rFonts w:hint="eastAsia"/>
        </w:rPr>
      </w:pPr>
      <w:r>
        <w:rPr>
          <w:rFonts w:hint="eastAsia"/>
          <w:b/>
          <w:bCs/>
          <w:sz w:val="36"/>
          <w:szCs w:val="36"/>
        </w:rPr>
        <w:t>其他补充事宜</w:t>
      </w:r>
    </w:p>
    <w:p w14:paraId="51DEA6E1">
      <w:pPr>
        <w:rPr>
          <w:rFonts w:hint="eastAsia"/>
        </w:rPr>
      </w:pPr>
    </w:p>
    <w:p w14:paraId="10D41BE2">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1.根据招标文件中的评标办法和标准，评标委员会对所有通过初步评审的投标人投标文件进行了认真的评审，最终得分及排序如下：</w:t>
      </w:r>
    </w:p>
    <w:p w14:paraId="3D578FCE">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①河南诺尔家具制造有限公司，得分88.56;</w:t>
      </w:r>
    </w:p>
    <w:p w14:paraId="0C9CA50A">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②江苏富祥科教设备有限公司，得分82.79;</w:t>
      </w:r>
    </w:p>
    <w:p w14:paraId="2427C542">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③洛阳羿之星办公家具有限公司，得分79.33;</w:t>
      </w:r>
    </w:p>
    <w:p w14:paraId="76EF2311">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④唐山吉佳钢木家具制造有限公司，得分54.20；</w:t>
      </w:r>
    </w:p>
    <w:p w14:paraId="5F79F95F">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⑤河南安信家具制造有限公司，得分46.39；</w:t>
      </w:r>
    </w:p>
    <w:p w14:paraId="1BF89F53">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⑥郑州利生科教设备有限公司，得分43.19；</w:t>
      </w:r>
    </w:p>
    <w:p w14:paraId="4C666704">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⑦郑州百特家具有限公司，得分36.19；</w:t>
      </w:r>
    </w:p>
    <w:p w14:paraId="74D2967F">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⑧洛阳卓宏办公家具有限公司，得分34.58；</w:t>
      </w:r>
    </w:p>
    <w:p w14:paraId="474A3DD5">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仿宋_GB2312" w:hAnsi="仿宋_GB2312" w:eastAsia="仿宋_GB2312" w:cs="仿宋_GB2312"/>
          <w:sz w:val="24"/>
          <w:szCs w:val="24"/>
        </w:rPr>
      </w:pPr>
      <w:bookmarkStart w:id="0" w:name="_GoBack"/>
      <w:bookmarkEnd w:id="0"/>
      <w:r>
        <w:rPr>
          <w:rFonts w:hint="eastAsia" w:ascii="仿宋_GB2312" w:hAnsi="仿宋_GB2312" w:eastAsia="仿宋_GB2312" w:cs="仿宋_GB2312"/>
          <w:sz w:val="24"/>
          <w:szCs w:val="24"/>
        </w:rPr>
        <w:t>⑨江苏创蓝教育装备有限公司，得分33.95。</w:t>
      </w:r>
    </w:p>
    <w:p w14:paraId="5336A9F6">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郑州贝宁家具有限公司，响应文件中技术响应表未完全响应招标文件第三部分招标项目内容及要求中四、其他服务要求及说明注：1.以上所有技术参数需求均为本项目实质性技术要求，必须全部满足，否则视为无效投标。</w:t>
      </w:r>
    </w:p>
    <w:p w14:paraId="57390AE5">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3、各有关当事人对中标结果有异议的，可以在中标公告发布之日起七个工作日内，以书面形式向采购人或集中采购机构提出质疑，并以供应商提交的质疑函接受确认日期作为受理时间，逾期未提交的不再受理。</w:t>
      </w:r>
    </w:p>
    <w:p w14:paraId="37CBDD0B"/>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CAB18A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2026-09-08T10:25:52Z</dcterms:created>
  <dc:creator>Administrator</dc:creator>
  <cp:lastModifiedBy>凝宝儿</cp:lastModifiedBy>
  <dcterms:modified xsi:type="dcterms:W3CDTF">2026-09-08T10:27:32Z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eyJoZGlkIjoiMTU3ODc2ZjYyYWRmMDQ4NGZlZGMyYzc0NDYyYzgxNjEiLCJ1c2VySWQiOiIxNzMzNTM1MDYyIn0=</vt:lpwstr>
  </property>
  <property fmtid="{D5CDD505-2E9C-101B-9397-08002B2CF9AE}" pid="4" name="ICV">
    <vt:lpwstr>F4D20BF051A34DC7BAE8509DB7CF524D_12</vt:lpwstr>
  </property>
</Properties>
</file>