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17E6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焦作市产品质量检验检测中心药品监管领域检验检测设备更新项目（三标段）中标</w:t>
      </w:r>
      <w:r>
        <w:rPr>
          <w:rFonts w:hint="eastAsia" w:ascii="宋体" w:hAnsi="宋体" w:eastAsia="宋体" w:cs="宋体"/>
          <w:color w:val="auto"/>
          <w:sz w:val="24"/>
          <w:szCs w:val="24"/>
        </w:rPr>
        <w:t>结果</w:t>
      </w:r>
      <w:r>
        <w:rPr>
          <w:rFonts w:hint="eastAsia" w:ascii="宋体" w:hAnsi="宋体" w:eastAsia="宋体" w:cs="宋体"/>
          <w:color w:val="auto"/>
          <w:sz w:val="24"/>
          <w:szCs w:val="24"/>
          <w:lang w:val="en-US" w:eastAsia="zh-CN"/>
        </w:rPr>
        <w:t>变更</w:t>
      </w:r>
      <w:r>
        <w:rPr>
          <w:rFonts w:hint="eastAsia" w:ascii="宋体" w:hAnsi="宋体" w:eastAsia="宋体" w:cs="宋体"/>
          <w:color w:val="auto"/>
          <w:sz w:val="24"/>
          <w:szCs w:val="24"/>
        </w:rPr>
        <w:t>公告</w:t>
      </w:r>
    </w:p>
    <w:p w14:paraId="1FB3568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一、项目基本情况</w:t>
      </w:r>
    </w:p>
    <w:p w14:paraId="227530B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1、原公告的采购项</w:t>
      </w:r>
      <w:r>
        <w:rPr>
          <w:rFonts w:hint="eastAsia" w:ascii="宋体" w:hAnsi="宋体" w:eastAsia="宋体" w:cs="宋体"/>
          <w:color w:val="auto"/>
          <w:sz w:val="24"/>
          <w:szCs w:val="24"/>
          <w:lang w:val="en-US" w:eastAsia="zh-CN"/>
        </w:rPr>
        <w:t>目编号：焦财招标采购-2026-49</w:t>
      </w:r>
    </w:p>
    <w:p w14:paraId="4568409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2、原公告的采购项目名称：焦作市产品质量检验检测中心药品监管领域检验检测设备更新项目</w:t>
      </w:r>
    </w:p>
    <w:p w14:paraId="27B9B79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3、首次公告日期（结果公告日期）：202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rPr>
        <w:t>日</w:t>
      </w:r>
    </w:p>
    <w:p w14:paraId="36E97DB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二、更正信息</w:t>
      </w:r>
    </w:p>
    <w:p w14:paraId="791CEC0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1、更正事项：采购结果</w:t>
      </w:r>
    </w:p>
    <w:p w14:paraId="0196F5D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2、更正内容：</w:t>
      </w:r>
    </w:p>
    <w:tbl>
      <w:tblPr>
        <w:tblStyle w:val="5"/>
        <w:tblW w:w="91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977"/>
        <w:gridCol w:w="1929"/>
        <w:gridCol w:w="1543"/>
        <w:gridCol w:w="1605"/>
        <w:gridCol w:w="1312"/>
        <w:gridCol w:w="734"/>
      </w:tblGrid>
      <w:tr w14:paraId="22A9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043" w:type="dxa"/>
            <w:noWrap w:val="0"/>
            <w:vAlign w:val="center"/>
          </w:tcPr>
          <w:p w14:paraId="41704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包号</w:t>
            </w:r>
          </w:p>
        </w:tc>
        <w:tc>
          <w:tcPr>
            <w:tcW w:w="2906" w:type="dxa"/>
            <w:gridSpan w:val="2"/>
            <w:noWrap w:val="0"/>
            <w:vAlign w:val="center"/>
          </w:tcPr>
          <w:p w14:paraId="06716B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采购内容</w:t>
            </w:r>
          </w:p>
        </w:tc>
        <w:tc>
          <w:tcPr>
            <w:tcW w:w="1543" w:type="dxa"/>
            <w:noWrap w:val="0"/>
            <w:vAlign w:val="center"/>
          </w:tcPr>
          <w:p w14:paraId="3587D5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供应商名称</w:t>
            </w:r>
          </w:p>
        </w:tc>
        <w:tc>
          <w:tcPr>
            <w:tcW w:w="1605" w:type="dxa"/>
            <w:noWrap w:val="0"/>
            <w:vAlign w:val="center"/>
          </w:tcPr>
          <w:p w14:paraId="311625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地 址</w:t>
            </w:r>
          </w:p>
        </w:tc>
        <w:tc>
          <w:tcPr>
            <w:tcW w:w="1312" w:type="dxa"/>
            <w:noWrap w:val="0"/>
            <w:vAlign w:val="center"/>
          </w:tcPr>
          <w:p w14:paraId="113E3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中标金额</w:t>
            </w:r>
          </w:p>
        </w:tc>
        <w:tc>
          <w:tcPr>
            <w:tcW w:w="734" w:type="dxa"/>
            <w:noWrap w:val="0"/>
            <w:vAlign w:val="center"/>
          </w:tcPr>
          <w:p w14:paraId="2AA68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单位</w:t>
            </w:r>
          </w:p>
        </w:tc>
      </w:tr>
      <w:tr w14:paraId="5ED3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restart"/>
            <w:noWrap w:val="0"/>
            <w:vAlign w:val="center"/>
          </w:tcPr>
          <w:p w14:paraId="7651E7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焦公资采购H2026-094-3</w:t>
            </w:r>
          </w:p>
        </w:tc>
        <w:tc>
          <w:tcPr>
            <w:tcW w:w="2906" w:type="dxa"/>
            <w:gridSpan w:val="2"/>
            <w:noWrap w:val="0"/>
            <w:vAlign w:val="center"/>
          </w:tcPr>
          <w:p w14:paraId="62618E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采购高效液相色谱仪（二极管阵列、荧光检测器）2台/套、高效液相色谱仪（紫外、蒸发光检测器）1台/套、低温离心机1台/套、自动定氮仪1台/套、折射仪1台/套、熔点仪1台/套、</w:t>
            </w:r>
            <w:r>
              <w:rPr>
                <w:rFonts w:hint="default" w:ascii="宋体" w:hAnsi="宋体" w:eastAsia="宋体" w:cs="宋体"/>
                <w:color w:val="auto"/>
                <w:sz w:val="21"/>
                <w:szCs w:val="21"/>
                <w:lang w:val="en-US" w:eastAsia="zh-CN"/>
              </w:rPr>
              <w:t>崩解仪</w:t>
            </w:r>
            <w:r>
              <w:rPr>
                <w:rFonts w:hint="eastAsia" w:ascii="宋体" w:hAnsi="宋体" w:eastAsia="宋体" w:cs="宋体"/>
                <w:color w:val="auto"/>
                <w:sz w:val="21"/>
                <w:szCs w:val="21"/>
                <w:lang w:val="en-US" w:eastAsia="zh-CN"/>
              </w:rPr>
              <w:t>1台/套、</w:t>
            </w:r>
            <w:r>
              <w:rPr>
                <w:rFonts w:hint="default" w:ascii="宋体" w:hAnsi="宋体" w:eastAsia="宋体" w:cs="宋体"/>
                <w:color w:val="auto"/>
                <w:sz w:val="21"/>
                <w:szCs w:val="21"/>
                <w:lang w:val="en-US" w:eastAsia="zh-CN"/>
              </w:rPr>
              <w:t>均质器</w:t>
            </w:r>
            <w:r>
              <w:rPr>
                <w:rFonts w:hint="eastAsia" w:ascii="宋体" w:hAnsi="宋体" w:eastAsia="宋体" w:cs="宋体"/>
                <w:color w:val="auto"/>
                <w:sz w:val="21"/>
                <w:szCs w:val="21"/>
                <w:lang w:val="en-US" w:eastAsia="zh-CN"/>
              </w:rPr>
              <w:t>1台/套；</w:t>
            </w:r>
          </w:p>
        </w:tc>
        <w:tc>
          <w:tcPr>
            <w:tcW w:w="1543" w:type="dxa"/>
            <w:noWrap w:val="0"/>
            <w:vAlign w:val="center"/>
          </w:tcPr>
          <w:p w14:paraId="42F34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河南余力仪器设备有限公司</w:t>
            </w:r>
          </w:p>
        </w:tc>
        <w:tc>
          <w:tcPr>
            <w:tcW w:w="1605" w:type="dxa"/>
            <w:noWrap w:val="0"/>
            <w:vAlign w:val="center"/>
          </w:tcPr>
          <w:p w14:paraId="224804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河南自贸试验区郑州片区(经开)航海东路1507号2号楼7层705号</w:t>
            </w:r>
          </w:p>
        </w:tc>
        <w:tc>
          <w:tcPr>
            <w:tcW w:w="1312" w:type="dxa"/>
            <w:noWrap w:val="0"/>
            <w:vAlign w:val="center"/>
          </w:tcPr>
          <w:p w14:paraId="716760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2,388,000.00</w:t>
            </w:r>
          </w:p>
        </w:tc>
        <w:tc>
          <w:tcPr>
            <w:tcW w:w="734" w:type="dxa"/>
            <w:noWrap w:val="0"/>
            <w:vAlign w:val="center"/>
          </w:tcPr>
          <w:p w14:paraId="3D8C1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元</w:t>
            </w:r>
          </w:p>
        </w:tc>
      </w:tr>
      <w:tr w14:paraId="0C2F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043" w:type="dxa"/>
            <w:vMerge w:val="continue"/>
            <w:noWrap w:val="0"/>
            <w:vAlign w:val="center"/>
          </w:tcPr>
          <w:p w14:paraId="2AC08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p>
        </w:tc>
        <w:tc>
          <w:tcPr>
            <w:tcW w:w="977" w:type="dxa"/>
            <w:noWrap w:val="0"/>
            <w:vAlign w:val="center"/>
          </w:tcPr>
          <w:p w14:paraId="2C4CBA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序号</w:t>
            </w:r>
          </w:p>
        </w:tc>
        <w:tc>
          <w:tcPr>
            <w:tcW w:w="1929" w:type="dxa"/>
            <w:noWrap w:val="0"/>
            <w:vAlign w:val="center"/>
          </w:tcPr>
          <w:p w14:paraId="00EDFC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名称</w:t>
            </w:r>
          </w:p>
        </w:tc>
        <w:tc>
          <w:tcPr>
            <w:tcW w:w="1543" w:type="dxa"/>
            <w:noWrap w:val="0"/>
            <w:vAlign w:val="center"/>
          </w:tcPr>
          <w:p w14:paraId="31B9E1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品牌</w:t>
            </w:r>
          </w:p>
        </w:tc>
        <w:tc>
          <w:tcPr>
            <w:tcW w:w="1605" w:type="dxa"/>
            <w:noWrap w:val="0"/>
            <w:vAlign w:val="center"/>
          </w:tcPr>
          <w:p w14:paraId="4EB11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规格型号</w:t>
            </w:r>
          </w:p>
        </w:tc>
        <w:tc>
          <w:tcPr>
            <w:tcW w:w="1312" w:type="dxa"/>
            <w:noWrap w:val="0"/>
            <w:vAlign w:val="center"/>
          </w:tcPr>
          <w:p w14:paraId="1179F8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数量</w:t>
            </w:r>
          </w:p>
        </w:tc>
        <w:tc>
          <w:tcPr>
            <w:tcW w:w="734" w:type="dxa"/>
            <w:noWrap w:val="0"/>
            <w:vAlign w:val="center"/>
          </w:tcPr>
          <w:p w14:paraId="0997B1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单价</w:t>
            </w:r>
          </w:p>
        </w:tc>
      </w:tr>
      <w:tr w14:paraId="0063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continue"/>
            <w:noWrap w:val="0"/>
            <w:vAlign w:val="center"/>
          </w:tcPr>
          <w:p w14:paraId="5D9732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p>
        </w:tc>
        <w:tc>
          <w:tcPr>
            <w:tcW w:w="977" w:type="dxa"/>
            <w:noWrap w:val="0"/>
            <w:vAlign w:val="center"/>
          </w:tcPr>
          <w:p w14:paraId="7A770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1929" w:type="dxa"/>
            <w:noWrap w:val="0"/>
            <w:vAlign w:val="center"/>
          </w:tcPr>
          <w:p w14:paraId="1146F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焦作市产品质量检验检测中心药品监管领域检验检测设备更新项目（三标段）</w:t>
            </w:r>
          </w:p>
        </w:tc>
        <w:tc>
          <w:tcPr>
            <w:tcW w:w="1543" w:type="dxa"/>
            <w:noWrap w:val="0"/>
            <w:vAlign w:val="center"/>
          </w:tcPr>
          <w:p w14:paraId="0FE81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详见附件</w:t>
            </w:r>
          </w:p>
        </w:tc>
        <w:tc>
          <w:tcPr>
            <w:tcW w:w="1605" w:type="dxa"/>
            <w:noWrap w:val="0"/>
            <w:vAlign w:val="center"/>
          </w:tcPr>
          <w:p w14:paraId="06FBC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详见附件</w:t>
            </w:r>
          </w:p>
        </w:tc>
        <w:tc>
          <w:tcPr>
            <w:tcW w:w="1312" w:type="dxa"/>
            <w:noWrap w:val="0"/>
            <w:vAlign w:val="center"/>
          </w:tcPr>
          <w:p w14:paraId="232EF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详见附件</w:t>
            </w:r>
          </w:p>
        </w:tc>
        <w:tc>
          <w:tcPr>
            <w:tcW w:w="734" w:type="dxa"/>
            <w:noWrap w:val="0"/>
            <w:vAlign w:val="center"/>
          </w:tcPr>
          <w:p w14:paraId="31098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详见附件</w:t>
            </w:r>
          </w:p>
        </w:tc>
      </w:tr>
    </w:tbl>
    <w:p w14:paraId="1907C1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根据“</w:t>
      </w:r>
      <w:r>
        <w:rPr>
          <w:rFonts w:hint="eastAsia" w:ascii="宋体" w:hAnsi="宋体" w:eastAsia="宋体" w:cs="宋体"/>
          <w:color w:val="auto"/>
          <w:sz w:val="24"/>
          <w:szCs w:val="24"/>
          <w:lang w:eastAsia="zh-CN"/>
        </w:rPr>
        <w:t>焦作市产品质量检验检测中心药品监管领域检验检测设备更新项目（</w:t>
      </w:r>
      <w:r>
        <w:rPr>
          <w:rFonts w:hint="eastAsia" w:ascii="宋体" w:hAnsi="宋体" w:eastAsia="宋体" w:cs="宋体"/>
          <w:color w:val="auto"/>
          <w:sz w:val="24"/>
          <w:szCs w:val="24"/>
          <w:lang w:val="en-US" w:eastAsia="zh-CN"/>
        </w:rPr>
        <w:t>三标段</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质疑</w:t>
      </w:r>
      <w:r>
        <w:rPr>
          <w:rFonts w:hint="eastAsia" w:ascii="宋体" w:hAnsi="宋体" w:eastAsia="宋体" w:cs="宋体"/>
          <w:color w:val="auto"/>
          <w:sz w:val="24"/>
          <w:szCs w:val="24"/>
        </w:rPr>
        <w:t>事项的处理决定，质疑事项部分成立且影响中标结果</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原</w:t>
      </w:r>
      <w:r>
        <w:rPr>
          <w:rFonts w:hint="eastAsia" w:ascii="宋体" w:hAnsi="宋体" w:eastAsia="宋体" w:cs="宋体"/>
          <w:color w:val="auto"/>
          <w:sz w:val="24"/>
          <w:szCs w:val="24"/>
        </w:rPr>
        <w:t>中标结果无效。</w:t>
      </w:r>
      <w:r>
        <w:rPr>
          <w:rFonts w:hint="eastAsia" w:ascii="宋体" w:hAnsi="宋体" w:eastAsia="宋体" w:cs="宋体"/>
          <w:color w:val="auto"/>
          <w:sz w:val="24"/>
          <w:szCs w:val="24"/>
          <w:lang w:val="en-US" w:eastAsia="zh-CN"/>
        </w:rPr>
        <w:t>剩余合格供应商符合法定数量，招标人</w:t>
      </w:r>
      <w:r>
        <w:rPr>
          <w:rFonts w:hint="eastAsia" w:ascii="宋体" w:hAnsi="宋体" w:eastAsia="宋体" w:cs="宋体"/>
          <w:color w:val="auto"/>
          <w:sz w:val="24"/>
          <w:szCs w:val="24"/>
        </w:rPr>
        <w:t>依法</w:t>
      </w:r>
      <w:r>
        <w:rPr>
          <w:rFonts w:hint="eastAsia" w:ascii="宋体" w:hAnsi="宋体" w:eastAsia="宋体" w:cs="宋体"/>
          <w:color w:val="auto"/>
          <w:sz w:val="24"/>
          <w:szCs w:val="24"/>
          <w:lang w:val="en-US" w:eastAsia="zh-CN"/>
        </w:rPr>
        <w:t>在</w:t>
      </w:r>
      <w:r>
        <w:rPr>
          <w:rFonts w:hint="eastAsia" w:ascii="宋体" w:hAnsi="宋体" w:eastAsia="宋体" w:cs="宋体"/>
          <w:color w:val="auto"/>
          <w:sz w:val="24"/>
          <w:szCs w:val="24"/>
        </w:rPr>
        <w:t>合格的中标候选人中另行确定中标</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lang w:eastAsia="zh-CN"/>
        </w:rPr>
        <w:t>。</w:t>
      </w:r>
    </w:p>
    <w:p w14:paraId="1D758B4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3、更正日期：202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日</w:t>
      </w:r>
      <w:bookmarkStart w:id="0" w:name="_GoBack"/>
      <w:bookmarkEnd w:id="0"/>
    </w:p>
    <w:p w14:paraId="5D5067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三、其他补充事宜</w:t>
      </w:r>
    </w:p>
    <w:p w14:paraId="78C744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收费标准：按照以下收费标准的80%收取代理服务费：中标</w:t>
      </w:r>
      <w:r>
        <w:rPr>
          <w:rFonts w:hint="eastAsia" w:ascii="宋体" w:hAnsi="宋体" w:eastAsia="宋体" w:cs="宋体"/>
          <w:color w:val="auto"/>
          <w:sz w:val="24"/>
          <w:szCs w:val="24"/>
        </w:rPr>
        <w:t>金额100万（含）以下部分按千分之十</w:t>
      </w:r>
      <w:r>
        <w:rPr>
          <w:rFonts w:hint="eastAsia" w:ascii="宋体" w:hAnsi="宋体" w:eastAsia="宋体" w:cs="宋体"/>
          <w:color w:val="auto"/>
          <w:sz w:val="24"/>
          <w:szCs w:val="24"/>
          <w:lang w:val="en-US" w:eastAsia="zh-CN"/>
        </w:rPr>
        <w:t>七</w:t>
      </w:r>
      <w:r>
        <w:rPr>
          <w:rFonts w:hint="eastAsia" w:ascii="宋体" w:hAnsi="宋体" w:eastAsia="宋体" w:cs="宋体"/>
          <w:color w:val="auto"/>
          <w:sz w:val="24"/>
          <w:szCs w:val="24"/>
        </w:rPr>
        <w:t>收取，100万</w:t>
      </w:r>
      <w:r>
        <w:rPr>
          <w:rFonts w:hint="eastAsia" w:ascii="宋体" w:hAnsi="宋体" w:eastAsia="宋体" w:cs="宋体"/>
          <w:color w:val="auto"/>
          <w:sz w:val="24"/>
          <w:szCs w:val="24"/>
          <w:lang w:val="en-US" w:eastAsia="zh-CN"/>
        </w:rPr>
        <w:t>-500万（含）</w:t>
      </w:r>
      <w:r>
        <w:rPr>
          <w:rFonts w:hint="eastAsia" w:ascii="宋体" w:hAnsi="宋体" w:eastAsia="宋体" w:cs="宋体"/>
          <w:color w:val="auto"/>
          <w:sz w:val="24"/>
          <w:szCs w:val="24"/>
        </w:rPr>
        <w:t>部分按千分之</w:t>
      </w:r>
      <w:r>
        <w:rPr>
          <w:rFonts w:hint="eastAsia" w:ascii="宋体" w:hAnsi="宋体" w:eastAsia="宋体" w:cs="宋体"/>
          <w:color w:val="auto"/>
          <w:sz w:val="24"/>
          <w:szCs w:val="24"/>
          <w:lang w:val="en-US" w:eastAsia="zh-CN"/>
        </w:rPr>
        <w:t>十二</w:t>
      </w:r>
      <w:r>
        <w:rPr>
          <w:rFonts w:hint="eastAsia" w:ascii="宋体" w:hAnsi="宋体" w:eastAsia="宋体" w:cs="宋体"/>
          <w:color w:val="auto"/>
          <w:sz w:val="24"/>
          <w:szCs w:val="24"/>
        </w:rPr>
        <w:t>收取。中标人在领取中标通知书前须以刷卡或转账的方式向采购代理机构缴纳采购代理服务费。</w:t>
      </w:r>
    </w:p>
    <w:p w14:paraId="3DFDF42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收费金额：26,924.80元</w:t>
      </w:r>
    </w:p>
    <w:p w14:paraId="5AAA55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四、凡对本次公告内容提出询问，请按以下方式联系</w:t>
      </w:r>
    </w:p>
    <w:p w14:paraId="04F6410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1.采购人信息</w:t>
      </w:r>
    </w:p>
    <w:p w14:paraId="5841A60E">
      <w:pPr>
        <w:keepNext w:val="0"/>
        <w:keepLines w:val="0"/>
        <w:pageBreakBefore w:val="0"/>
        <w:numPr>
          <w:ilvl w:val="0"/>
          <w:numId w:val="0"/>
        </w:numPr>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名称：</w:t>
      </w:r>
      <w:r>
        <w:rPr>
          <w:rFonts w:hint="eastAsia" w:ascii="宋体" w:hAnsi="宋体" w:eastAsia="宋体" w:cs="宋体"/>
          <w:color w:val="auto"/>
          <w:sz w:val="24"/>
          <w:szCs w:val="24"/>
          <w:highlight w:val="none"/>
          <w:lang w:eastAsia="zh-CN"/>
        </w:rPr>
        <w:t>焦作市产品质量检验检测中心</w:t>
      </w:r>
    </w:p>
    <w:p w14:paraId="768BF952">
      <w:pPr>
        <w:keepNext w:val="0"/>
        <w:keepLines w:val="0"/>
        <w:pageBreakBefore w:val="0"/>
        <w:numPr>
          <w:ilvl w:val="0"/>
          <w:numId w:val="0"/>
        </w:numPr>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r>
        <w:rPr>
          <w:rFonts w:hint="eastAsia" w:ascii="宋体" w:hAnsi="宋体" w:eastAsia="宋体" w:cs="宋体"/>
          <w:color w:val="auto"/>
          <w:sz w:val="24"/>
          <w:szCs w:val="24"/>
          <w:highlight w:val="none"/>
          <w:lang w:eastAsia="zh-CN"/>
        </w:rPr>
        <w:t>河南省焦作市山阳区</w:t>
      </w:r>
      <w:r>
        <w:rPr>
          <w:rFonts w:hint="eastAsia" w:ascii="宋体" w:hAnsi="宋体" w:eastAsia="宋体" w:cs="宋体"/>
          <w:color w:val="auto"/>
          <w:sz w:val="24"/>
          <w:szCs w:val="24"/>
          <w:highlight w:val="none"/>
          <w:lang w:val="en-US" w:eastAsia="zh-CN"/>
        </w:rPr>
        <w:t>世纪路378号</w:t>
      </w:r>
    </w:p>
    <w:p w14:paraId="72147075">
      <w:pPr>
        <w:keepNext w:val="0"/>
        <w:keepLines w:val="0"/>
        <w:pageBreakBefore w:val="0"/>
        <w:numPr>
          <w:ilvl w:val="0"/>
          <w:numId w:val="0"/>
        </w:numPr>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联系人：王先生</w:t>
      </w:r>
    </w:p>
    <w:p w14:paraId="2E04E9A8">
      <w:pPr>
        <w:keepNext w:val="0"/>
        <w:keepLines w:val="0"/>
        <w:pageBreakBefore w:val="0"/>
        <w:numPr>
          <w:ilvl w:val="0"/>
          <w:numId w:val="0"/>
        </w:numPr>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联系方式：13403900030</w:t>
      </w:r>
    </w:p>
    <w:p w14:paraId="3887814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2.采购代理机构信息</w:t>
      </w:r>
    </w:p>
    <w:p w14:paraId="2AD745B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名称：焦作市公共资源项目服务有限责任公司 </w:t>
      </w:r>
    </w:p>
    <w:p w14:paraId="4CDD8811">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地址：焦作市解放区人民路889号 </w:t>
      </w:r>
    </w:p>
    <w:p w14:paraId="7BDF7A3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联系人：高女士</w:t>
      </w:r>
    </w:p>
    <w:p w14:paraId="3826D24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联系方式：18639107650</w:t>
      </w:r>
    </w:p>
    <w:p w14:paraId="698B725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3.项目联系方式 </w:t>
      </w:r>
    </w:p>
    <w:p w14:paraId="719DC0E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项目联系人：</w:t>
      </w:r>
      <w:r>
        <w:rPr>
          <w:rFonts w:hint="eastAsia" w:ascii="宋体" w:hAnsi="宋体" w:eastAsia="宋体" w:cs="宋体"/>
          <w:color w:val="auto"/>
          <w:sz w:val="24"/>
          <w:szCs w:val="24"/>
          <w:highlight w:val="none"/>
          <w:lang w:val="en-US" w:eastAsia="zh-CN"/>
        </w:rPr>
        <w:t>王先生</w:t>
      </w:r>
      <w:r>
        <w:rPr>
          <w:rFonts w:hint="eastAsia" w:ascii="宋体" w:hAnsi="宋体" w:eastAsia="宋体" w:cs="宋体"/>
          <w:color w:val="auto"/>
          <w:sz w:val="24"/>
          <w:szCs w:val="24"/>
          <w:highlight w:val="none"/>
          <w:lang w:val="en-US" w:eastAsia="zh-CN" w:bidi="ar-SA"/>
        </w:rPr>
        <w:t xml:space="preserve">          </w:t>
      </w:r>
      <w:r>
        <w:rPr>
          <w:rFonts w:hint="eastAsia" w:ascii="宋体" w:hAnsi="宋体" w:eastAsia="宋体" w:cs="宋体"/>
          <w:color w:val="auto"/>
          <w:sz w:val="24"/>
          <w:szCs w:val="24"/>
          <w:highlight w:val="none"/>
          <w:lang w:val="en-US" w:eastAsia="zh-CN"/>
        </w:rPr>
        <w:t>高女士</w:t>
      </w:r>
    </w:p>
    <w:p w14:paraId="22DA3D5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80" w:firstLineChars="200"/>
        <w:jc w:val="both"/>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联系方式：</w:t>
      </w:r>
      <w:r>
        <w:rPr>
          <w:rFonts w:hint="eastAsia" w:ascii="宋体" w:hAnsi="宋体" w:eastAsia="宋体" w:cs="宋体"/>
          <w:color w:val="auto"/>
          <w:sz w:val="24"/>
          <w:szCs w:val="24"/>
          <w:highlight w:val="none"/>
          <w:lang w:val="en-US" w:eastAsia="zh-CN"/>
        </w:rPr>
        <w:t>13403900030</w:t>
      </w:r>
      <w:r>
        <w:rPr>
          <w:rFonts w:hint="eastAsia" w:ascii="宋体" w:hAnsi="宋体" w:eastAsia="宋体" w:cs="宋体"/>
          <w:color w:val="auto"/>
          <w:sz w:val="24"/>
          <w:szCs w:val="24"/>
          <w:highlight w:val="none"/>
          <w:lang w:val="en-US" w:eastAsia="zh-CN" w:bidi="ar-SA"/>
        </w:rPr>
        <w:t xml:space="preserve">     </w:t>
      </w:r>
      <w:r>
        <w:rPr>
          <w:rFonts w:hint="eastAsia" w:ascii="宋体" w:hAnsi="宋体" w:eastAsia="宋体" w:cs="宋体"/>
          <w:color w:val="auto"/>
          <w:sz w:val="24"/>
          <w:szCs w:val="24"/>
          <w:highlight w:val="none"/>
          <w:lang w:val="en-US" w:eastAsia="zh-CN"/>
        </w:rPr>
        <w:t>18639107650</w:t>
      </w:r>
    </w:p>
    <w:p w14:paraId="44555505">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p>
    <w:p w14:paraId="375CAA80">
      <w:pPr>
        <w:keepNext w:val="0"/>
        <w:keepLines w:val="0"/>
        <w:pageBreakBefore w:val="0"/>
        <w:kinsoku/>
        <w:wordWrap/>
        <w:overflowPunct/>
        <w:topLinePunct w:val="0"/>
        <w:autoSpaceDE/>
        <w:autoSpaceDN/>
        <w:bidi w:val="0"/>
        <w:snapToGrid/>
        <w:spacing w:line="440" w:lineRule="exact"/>
        <w:ind w:firstLine="480" w:firstLineChars="200"/>
        <w:jc w:val="right"/>
        <w:rPr>
          <w:rFonts w:hint="eastAsia" w:ascii="宋体" w:hAnsi="宋体" w:eastAsia="宋体" w:cs="宋体"/>
          <w:color w:val="auto"/>
          <w:sz w:val="24"/>
          <w:szCs w:val="24"/>
          <w:highlight w:val="none"/>
          <w:lang w:val="en-US" w:eastAsia="zh-CN"/>
        </w:rPr>
      </w:pPr>
    </w:p>
    <w:p w14:paraId="07312F6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chineseCountingThousand"/>
      <w:suff w:val="nothing"/>
      <w:lvlText w:val="第%1部分"/>
      <w:lvlJc w:val="center"/>
      <w:pPr>
        <w:ind w:left="0" w:firstLine="288"/>
      </w:pPr>
      <w:rPr>
        <w:rFonts w:hint="eastAsia"/>
      </w:rPr>
    </w:lvl>
    <w:lvl w:ilvl="1" w:tentative="0">
      <w:start w:val="1"/>
      <w:numFmt w:val="chineseCountingThousand"/>
      <w:pStyle w:val="2"/>
      <w:suff w:val="nothing"/>
      <w:lvlText w:val="%2、"/>
      <w:lvlJc w:val="left"/>
      <w:pPr>
        <w:ind w:left="0" w:firstLine="0"/>
      </w:pPr>
      <w:rPr>
        <w:rFonts w:hint="eastAsia"/>
      </w:rPr>
    </w:lvl>
    <w:lvl w:ilvl="2" w:tentative="0">
      <w:start w:val="1"/>
      <w:numFmt w:val="chineseCountingThousand"/>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decimal"/>
      <w:lvlText w:val="（%5）"/>
      <w:lvlJc w:val="left"/>
      <w:pPr>
        <w:tabs>
          <w:tab w:val="left" w:pos="720"/>
        </w:tabs>
        <w:ind w:left="720" w:hanging="720"/>
      </w:pPr>
      <w:rPr>
        <w:rFonts w:hint="default"/>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mMTU0MWY1NThiOGNmZDJlODAyNDYyMzgyZDI1N2YifQ=="/>
  </w:docVars>
  <w:rsids>
    <w:rsidRoot w:val="00000000"/>
    <w:rsid w:val="02F0081E"/>
    <w:rsid w:val="037652DC"/>
    <w:rsid w:val="03DA6F41"/>
    <w:rsid w:val="06AB4159"/>
    <w:rsid w:val="0FD47B90"/>
    <w:rsid w:val="1BE75D55"/>
    <w:rsid w:val="1E320E4E"/>
    <w:rsid w:val="1E412D99"/>
    <w:rsid w:val="259951F3"/>
    <w:rsid w:val="3075311F"/>
    <w:rsid w:val="3F203B1E"/>
    <w:rsid w:val="508B328D"/>
    <w:rsid w:val="5D7663D8"/>
    <w:rsid w:val="5F5A1742"/>
    <w:rsid w:val="63043BF4"/>
    <w:rsid w:val="645B7F83"/>
    <w:rsid w:val="6FCE5E14"/>
    <w:rsid w:val="76817674"/>
    <w:rsid w:val="7B3D4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numPr>
        <w:ilvl w:val="1"/>
        <w:numId w:val="1"/>
      </w:numPr>
      <w:adjustRightInd w:val="0"/>
      <w:spacing w:before="260" w:beforeLines="0" w:after="260" w:afterLines="0" w:line="416" w:lineRule="atLeast"/>
      <w:jc w:val="left"/>
      <w:textAlignment w:val="baseline"/>
      <w:outlineLvl w:val="1"/>
    </w:pPr>
    <w:rPr>
      <w:rFonts w:ascii="Arial" w:hAnsi="Arial" w:eastAsia="黑体"/>
      <w:b/>
      <w:bCs/>
      <w:kern w:val="0"/>
      <w:sz w:val="32"/>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style>
  <w:style w:type="character" w:styleId="8">
    <w:name w:val="FollowedHyperlink"/>
    <w:basedOn w:val="6"/>
    <w:qFormat/>
    <w:uiPriority w:val="0"/>
    <w:rPr>
      <w:color w:val="000000"/>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Acronym"/>
    <w:basedOn w:val="6"/>
    <w:qFormat/>
    <w:uiPriority w:val="0"/>
  </w:style>
  <w:style w:type="character" w:styleId="12">
    <w:name w:val="HTML Variable"/>
    <w:basedOn w:val="6"/>
    <w:qFormat/>
    <w:uiPriority w:val="0"/>
  </w:style>
  <w:style w:type="character" w:styleId="13">
    <w:name w:val="Hyperlink"/>
    <w:basedOn w:val="6"/>
    <w:qFormat/>
    <w:uiPriority w:val="0"/>
    <w:rPr>
      <w:color w:val="000000"/>
      <w:u w:val="none"/>
    </w:rPr>
  </w:style>
  <w:style w:type="character" w:styleId="14">
    <w:name w:val="HTML Code"/>
    <w:basedOn w:val="6"/>
    <w:qFormat/>
    <w:uiPriority w:val="0"/>
    <w:rPr>
      <w:rFonts w:ascii="Courier New" w:hAnsi="Courier New"/>
      <w:sz w:val="20"/>
    </w:rPr>
  </w:style>
  <w:style w:type="character" w:styleId="15">
    <w:name w:val="HTML Cite"/>
    <w:basedOn w:val="6"/>
    <w:qFormat/>
    <w:uiPriority w:val="0"/>
  </w:style>
  <w:style w:type="paragraph" w:customStyle="1" w:styleId="16">
    <w:name w:val="列表 21"/>
    <w:basedOn w:val="1"/>
    <w:qFormat/>
    <w:uiPriority w:val="0"/>
    <w:pPr>
      <w:suppressAutoHyphens/>
      <w:ind w:left="100" w:hanging="200"/>
    </w:pPr>
    <w:rPr>
      <w:kern w:val="1"/>
    </w:rPr>
  </w:style>
  <w:style w:type="character" w:customStyle="1" w:styleId="17">
    <w:name w:val="active6"/>
    <w:basedOn w:val="6"/>
    <w:qFormat/>
    <w:uiPriority w:val="0"/>
    <w:rPr>
      <w:color w:val="FFFFFF"/>
      <w:shd w:val="clear" w:fill="E22323"/>
    </w:rPr>
  </w:style>
  <w:style w:type="character" w:customStyle="1" w:styleId="18">
    <w:name w:val="hover5"/>
    <w:basedOn w:val="6"/>
    <w:qFormat/>
    <w:uiPriority w:val="0"/>
    <w:rPr>
      <w:color w:val="0063BA"/>
    </w:rPr>
  </w:style>
  <w:style w:type="character" w:customStyle="1" w:styleId="19">
    <w:name w:val="margin_right202"/>
    <w:basedOn w:val="6"/>
    <w:qFormat/>
    <w:uiPriority w:val="0"/>
  </w:style>
  <w:style w:type="character" w:customStyle="1" w:styleId="20">
    <w:name w:val="cur"/>
    <w:basedOn w:val="6"/>
    <w:qFormat/>
    <w:uiPriority w:val="0"/>
    <w:rPr>
      <w:color w:val="E22323"/>
    </w:rPr>
  </w:style>
  <w:style w:type="character" w:customStyle="1" w:styleId="21">
    <w:name w:val="hover4"/>
    <w:basedOn w:val="6"/>
    <w:qFormat/>
    <w:uiPriority w:val="0"/>
    <w:rPr>
      <w:color w:val="0063BA"/>
    </w:rPr>
  </w:style>
  <w:style w:type="character" w:customStyle="1" w:styleId="22">
    <w:name w:val="active5"/>
    <w:basedOn w:val="6"/>
    <w:qFormat/>
    <w:uiPriority w:val="0"/>
    <w:rPr>
      <w:color w:val="FFFFFF"/>
      <w:shd w:val="clear" w:fill="E22323"/>
    </w:rPr>
  </w:style>
  <w:style w:type="character" w:customStyle="1" w:styleId="23">
    <w:name w:val="active"/>
    <w:basedOn w:val="6"/>
    <w:qFormat/>
    <w:uiPriority w:val="0"/>
    <w:rPr>
      <w:color w:val="FFFFFF"/>
      <w:shd w:val="clear" w:fill="E22323"/>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789</Words>
  <Characters>895</Characters>
  <Lines>0</Lines>
  <Paragraphs>0</Paragraphs>
  <TotalTime>27</TotalTime>
  <ScaleCrop>false</ScaleCrop>
  <LinksUpToDate>false</LinksUpToDate>
  <CharactersWithSpaces>914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2024-10-11T06:54:00Z</dcterms:created>
  <dc:creator>Administrator</dc:creator>
  <cp:lastModifiedBy>ywb2024</cp:lastModifiedBy>
  <cp:lastPrinted>2024-10-17T07:49:00Z</cp:lastPrinted>
  <dcterms:modified xsi:type="dcterms:W3CDTF">2026-11-04T06:38:26Z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21B74B9E91EF4339AEA0CDF08D4CF299_12</vt:lpwstr>
  </property>
  <property fmtid="{D5CDD505-2E9C-101B-9397-08002B2CF9AE}" pid="4" name="KSOTemplateDocerSaveRecord">
    <vt:lpwstr>eyJoZGlkIjoiYjMyMTFjZmRiNzM4MzNiZWZiNTU3YzllZWZkYThjNzQiLCJ1c2VySWQiOiI5NzczNjQ4MTgifQ==</vt:lpwstr>
  </property>
</Properties>
</file>