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68F5D">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drawing>
          <wp:anchor distT="0" distB="0" distL="114300" distR="114300" simplePos="0" relativeHeight="251659264" behindDoc="1" locked="0" layoutInCell="1" allowOverlap="1">
            <wp:simplePos x="0" y="0"/>
            <wp:positionH relativeFrom="column">
              <wp:posOffset>-537210</wp:posOffset>
            </wp:positionH>
            <wp:positionV relativeFrom="paragraph">
              <wp:posOffset>60960</wp:posOffset>
            </wp:positionV>
            <wp:extent cx="6399530" cy="8535670"/>
            <wp:effectExtent l="0" t="0" r="0" b="0"/>
            <wp:wrapTight wrapText="bothSides">
              <wp:wrapPolygon>
                <wp:start x="0" y="0"/>
                <wp:lineTo x="0" y="21549"/>
                <wp:lineTo x="21540" y="21549"/>
                <wp:lineTo x="21540" y="0"/>
                <wp:lineTo x="0" y="0"/>
              </wp:wrapPolygon>
            </wp:wrapTight>
            <wp:docPr id="2" name="图片 2" descr="29689a367905e3b4663da68f710ea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9689a367905e3b4663da68f710ea31"/>
                    <pic:cNvPicPr>
                      <a:picLocks noChangeAspect="1"/>
                    </pic:cNvPicPr>
                  </pic:nvPicPr>
                  <pic:blipFill>
                    <a:blip r:embed="rId18"/>
                    <a:stretch>
                      <a:fillRect/>
                    </a:stretch>
                  </pic:blipFill>
                  <pic:spPr>
                    <a:xfrm>
                      <a:off x="0" y="0"/>
                      <a:ext cx="6399530" cy="8535670"/>
                    </a:xfrm>
                    <a:prstGeom prst="rect">
                      <a:avLst/>
                    </a:prstGeom>
                  </pic:spPr>
                </pic:pic>
              </a:graphicData>
            </a:graphic>
          </wp:anchor>
        </w:drawing>
      </w:r>
    </w:p>
    <w:p w14:paraId="10E2504D">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5EAD685F">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758DBD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2C54CB41">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1"/>
          <w:sz w:val="52"/>
          <w:szCs w:val="52"/>
          <w14:textOutline w14:w="3844" w14:cap="flat" w14:cmpd="sng">
            <w14:solidFill>
              <w14:srgbClr w14:val="000000"/>
            </w14:solidFill>
            <w14:prstDash w14:val="solid"/>
            <w14:miter w14:val="0"/>
          </w14:textOutline>
        </w:rPr>
        <w:t>（</w:t>
      </w:r>
      <w:r>
        <w:rPr>
          <w:rFonts w:hint="eastAsia" w:asciiTheme="minorEastAsia" w:hAnsiTheme="minorEastAsia" w:eastAsiaTheme="minorEastAsia" w:cstheme="minorEastAsia"/>
          <w:b/>
          <w:bCs/>
          <w:spacing w:val="31"/>
          <w:sz w:val="52"/>
          <w:szCs w:val="52"/>
        </w:rPr>
        <w:t>202</w:t>
      </w:r>
      <w:r>
        <w:rPr>
          <w:rFonts w:hint="eastAsia" w:asciiTheme="minorEastAsia" w:hAnsiTheme="minorEastAsia" w:eastAsiaTheme="minorEastAsia" w:cstheme="minorEastAsia"/>
          <w:b/>
          <w:bCs/>
          <w:spacing w:val="31"/>
          <w:sz w:val="52"/>
          <w:szCs w:val="52"/>
          <w:lang w:val="en-US" w:eastAsia="zh-CN"/>
        </w:rPr>
        <w:t>4</w:t>
      </w:r>
      <w:r>
        <w:rPr>
          <w:rFonts w:hint="eastAsia" w:asciiTheme="minorEastAsia" w:hAnsiTheme="minorEastAsia" w:eastAsiaTheme="minorEastAsia" w:cstheme="minorEastAsia"/>
          <w:spacing w:val="31"/>
          <w:sz w:val="52"/>
          <w:szCs w:val="52"/>
          <w14:textOutline w14:w="3844" w14:cap="flat" w14:cmpd="sng">
            <w14:solidFill>
              <w14:srgbClr w14:val="000000"/>
            </w14:solidFill>
            <w14:prstDash w14:val="solid"/>
            <w14:miter w14:val="0"/>
          </w14:textOutline>
        </w:rPr>
        <w:t>年版）</w:t>
      </w:r>
    </w:p>
    <w:p w14:paraId="03DD83E4">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4A812322">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68F4EEA7">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3DD736C9">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4375AF00">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09093C9E">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715D212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南阳市卧龙区教育体育局南阳市实验幼儿园山水和院园区LED显示屏采购项目</w:t>
      </w:r>
    </w:p>
    <w:p w14:paraId="47CBAA6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卧龙政采公开-2025-3</w:t>
      </w:r>
    </w:p>
    <w:p w14:paraId="485B81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卧龙政采公开-2025-3 -1       </w:t>
      </w:r>
    </w:p>
    <w:p w14:paraId="06B2425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南阳市卧龙区教育体育局    </w:t>
      </w:r>
    </w:p>
    <w:p w14:paraId="10C6E54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eastAsia="zh-CN"/>
        </w:rPr>
        <w:t>一扬项目管理河南有限公司</w:t>
      </w:r>
    </w:p>
    <w:p w14:paraId="3CD4EBD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053416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CABD45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5385B7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6F56B49">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6653A7EE">
          <w:pPr>
            <w:pStyle w:val="5"/>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009EDB0E">
          <w:pPr>
            <w:pStyle w:val="5"/>
            <w:keepNext w:val="0"/>
            <w:keepLines w:val="0"/>
            <w:pageBreakBefore w:val="0"/>
            <w:kinsoku/>
            <w:wordWrap w:val="0"/>
            <w:overflowPunct/>
            <w:topLinePunct w:val="0"/>
            <w:bidi w:val="0"/>
            <w:jc w:val="both"/>
            <w:rPr>
              <w:rFonts w:hint="eastAsia"/>
              <w:shd w:val="clear" w:color="FFFFFF" w:fill="D9D9D9"/>
            </w:rPr>
          </w:pPr>
        </w:p>
        <w:p w14:paraId="649E8FAA">
          <w:pPr>
            <w:pStyle w:val="5"/>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307A892C">
          <w:pPr>
            <w:pStyle w:val="5"/>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459E7F28">
          <w:pPr>
            <w:pStyle w:val="5"/>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12343D8D">
          <w:pPr>
            <w:pStyle w:val="5"/>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22A878CF">
          <w:pPr>
            <w:pStyle w:val="5"/>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2F22F65C">
          <w:pPr>
            <w:pStyle w:val="5"/>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418C7116">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44DA3F7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57D040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410486C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D615E6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0901CD52">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B527711">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D46CC1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BACCFB0">
      <w:pPr>
        <w:pStyle w:val="5"/>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32C7643">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B7910E0">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C95E0B">
      <w:pPr>
        <w:pStyle w:val="5"/>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29BE722">
      <w:pPr>
        <w:pStyle w:val="5"/>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009C9AC">
      <w:pPr>
        <w:pStyle w:val="5"/>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42011F6">
      <w:pPr>
        <w:pStyle w:val="5"/>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7B96D29">
      <w:pPr>
        <w:pStyle w:val="5"/>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AB6CC63">
      <w:pPr>
        <w:pStyle w:val="5"/>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66A3CCB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20FC969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0745970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4CED71B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rPr>
        <w:t>1.采购编号：卧龙政采公开</w:t>
      </w:r>
      <w:r>
        <w:rPr>
          <w:rFonts w:hint="eastAsia" w:asciiTheme="minorEastAsia" w:hAnsiTheme="minorEastAsia" w:eastAsiaTheme="minorEastAsia" w:cstheme="minorEastAsia"/>
          <w:color w:val="auto"/>
          <w:spacing w:val="-25"/>
          <w:sz w:val="24"/>
          <w:szCs w:val="24"/>
        </w:rPr>
        <w:t>-</w:t>
      </w:r>
      <w:r>
        <w:rPr>
          <w:rFonts w:hint="eastAsia" w:asciiTheme="minorEastAsia" w:hAnsiTheme="minorEastAsia" w:eastAsiaTheme="minorEastAsia" w:cstheme="minorEastAsia"/>
          <w:color w:val="auto"/>
          <w:spacing w:val="-25"/>
          <w:sz w:val="24"/>
          <w:szCs w:val="24"/>
          <w:lang w:eastAsia="zh-CN"/>
        </w:rPr>
        <w:t>2025</w:t>
      </w:r>
      <w:r>
        <w:rPr>
          <w:rFonts w:hint="eastAsia" w:asciiTheme="minorEastAsia" w:hAnsiTheme="minorEastAsia" w:eastAsiaTheme="minorEastAsia" w:cstheme="minorEastAsia"/>
          <w:color w:val="auto"/>
          <w:spacing w:val="-25"/>
          <w:sz w:val="24"/>
          <w:szCs w:val="24"/>
        </w:rPr>
        <w:t>-</w:t>
      </w:r>
      <w:r>
        <w:rPr>
          <w:rFonts w:hint="eastAsia" w:asciiTheme="minorEastAsia" w:hAnsiTheme="minorEastAsia" w:eastAsiaTheme="minorEastAsia" w:cstheme="minorEastAsia"/>
          <w:color w:val="auto"/>
          <w:spacing w:val="-25"/>
          <w:sz w:val="24"/>
          <w:szCs w:val="24"/>
          <w:lang w:val="en-US" w:eastAsia="zh-CN"/>
        </w:rPr>
        <w:t>3</w:t>
      </w:r>
    </w:p>
    <w:p w14:paraId="39283E7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5"/>
          <w:sz w:val="24"/>
          <w:szCs w:val="24"/>
          <w:lang w:eastAsia="zh-CN"/>
        </w:rPr>
      </w:pPr>
      <w:r>
        <w:rPr>
          <w:rFonts w:hint="eastAsia" w:asciiTheme="minorEastAsia" w:hAnsiTheme="minorEastAsia" w:eastAsiaTheme="minorEastAsia" w:cstheme="minorEastAsia"/>
          <w:spacing w:val="-25"/>
          <w:sz w:val="24"/>
          <w:szCs w:val="24"/>
        </w:rPr>
        <w:t>2.项目名称：</w:t>
      </w:r>
      <w:r>
        <w:rPr>
          <w:rFonts w:hint="eastAsia" w:asciiTheme="minorEastAsia" w:hAnsiTheme="minorEastAsia" w:eastAsiaTheme="minorEastAsia" w:cstheme="minorEastAsia"/>
          <w:spacing w:val="-25"/>
          <w:sz w:val="24"/>
          <w:szCs w:val="24"/>
          <w:lang w:eastAsia="zh-CN"/>
        </w:rPr>
        <w:t>南阳市卧龙区教育体育局南阳市实验幼儿园山水和院园区LED显示屏采购项目</w:t>
      </w:r>
    </w:p>
    <w:p w14:paraId="122D600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874048.11</w:t>
      </w:r>
      <w:r>
        <w:rPr>
          <w:rFonts w:hint="eastAsia" w:asciiTheme="minorEastAsia" w:hAnsiTheme="minorEastAsia" w:eastAsiaTheme="minorEastAsia" w:cstheme="minorEastAsia"/>
          <w:spacing w:val="-14"/>
          <w:sz w:val="24"/>
          <w:szCs w:val="24"/>
        </w:rPr>
        <w:t>元、项目最高限价</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874048.11</w:t>
      </w:r>
      <w:r>
        <w:rPr>
          <w:rFonts w:hint="eastAsia" w:asciiTheme="minorEastAsia" w:hAnsiTheme="minorEastAsia" w:eastAsiaTheme="minorEastAsia" w:cstheme="minorEastAsia"/>
          <w:spacing w:val="-14"/>
          <w:sz w:val="24"/>
          <w:szCs w:val="24"/>
        </w:rPr>
        <w:t>元</w:t>
      </w:r>
    </w:p>
    <w:p w14:paraId="08EABA2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3"/>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6AD7C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0862D2F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731A1F4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0B791B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37054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7C431F1E">
            <w:pPr>
              <w:pStyle w:val="2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卧龙政采公开-2025-3</w:t>
            </w:r>
          </w:p>
        </w:tc>
        <w:tc>
          <w:tcPr>
            <w:tcW w:w="4215" w:type="dxa"/>
            <w:vAlign w:val="top"/>
          </w:tcPr>
          <w:p w14:paraId="444D3CB8">
            <w:pPr>
              <w:pStyle w:val="2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color w:val="000000" w:themeColor="text1"/>
                <w:sz w:val="24"/>
                <w:szCs w:val="24"/>
                <w:lang w:val="en-US" w:eastAsia="zh-CN"/>
                <w14:textFill>
                  <w14:solidFill>
                    <w14:schemeClr w14:val="tx1"/>
                  </w14:solidFill>
                </w14:textFill>
              </w:rPr>
              <w:t>南阳市卧龙区教育体育局南阳市实验幼儿园山水和院园区LED显示屏采购项目</w:t>
            </w:r>
          </w:p>
        </w:tc>
        <w:tc>
          <w:tcPr>
            <w:tcW w:w="2321" w:type="dxa"/>
            <w:vAlign w:val="top"/>
          </w:tcPr>
          <w:p w14:paraId="5C4A5C1E">
            <w:pPr>
              <w:pStyle w:val="2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宋体" w:hAnsi="宋体" w:cs="宋体"/>
                <w:color w:val="000000" w:themeColor="text1"/>
                <w:kern w:val="0"/>
                <w:sz w:val="24"/>
                <w:szCs w:val="24"/>
                <w:lang w:val="en-US" w:eastAsia="zh-CN"/>
                <w14:textFill>
                  <w14:solidFill>
                    <w14:schemeClr w14:val="tx1"/>
                  </w14:solidFill>
                </w14:textFill>
              </w:rPr>
              <w:t>874048.11</w:t>
            </w:r>
          </w:p>
        </w:tc>
      </w:tr>
    </w:tbl>
    <w:p w14:paraId="6E50E42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5.采购清单或服务要求</w:t>
      </w:r>
    </w:p>
    <w:p w14:paraId="7BC07C86">
      <w:pPr>
        <w:keepNext w:val="0"/>
        <w:keepLines w:val="0"/>
        <w:pageBreakBefore w:val="0"/>
        <w:widowControl/>
        <w:kinsoku/>
        <w:wordWrap/>
        <w:overflowPunct/>
        <w:bidi w:val="0"/>
        <w:snapToGrid/>
        <w:spacing w:line="360" w:lineRule="auto"/>
        <w:ind w:firstLine="480"/>
        <w:jc w:val="left"/>
        <w:textAlignment w:val="auto"/>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5.1.采购内容：</w:t>
      </w:r>
      <w:r>
        <w:rPr>
          <w:rFonts w:hint="eastAsia"/>
          <w:color w:val="000000" w:themeColor="text1"/>
          <w:sz w:val="24"/>
          <w:szCs w:val="24"/>
          <w:lang w:val="en-US" w:eastAsia="zh-CN"/>
          <w14:textFill>
            <w14:solidFill>
              <w14:schemeClr w14:val="tx1"/>
            </w14:solidFill>
          </w14:textFill>
        </w:rPr>
        <w:t>本</w:t>
      </w:r>
      <w:r>
        <w:rPr>
          <w:rFonts w:hint="eastAsia"/>
          <w:color w:val="000000" w:themeColor="text1"/>
          <w:sz w:val="24"/>
          <w:szCs w:val="24"/>
          <w:lang w:eastAsia="zh-CN"/>
          <w14:textFill>
            <w14:solidFill>
              <w14:schemeClr w14:val="tx1"/>
            </w14:solidFill>
          </w14:textFill>
        </w:rPr>
        <w:t>项目</w:t>
      </w:r>
      <w:r>
        <w:rPr>
          <w:rFonts w:hint="eastAsia"/>
          <w:color w:val="000000" w:themeColor="text1"/>
          <w:sz w:val="24"/>
          <w:szCs w:val="24"/>
          <w:lang w:val="en-US" w:eastAsia="zh-CN"/>
          <w14:textFill>
            <w14:solidFill>
              <w14:schemeClr w14:val="tx1"/>
            </w14:solidFill>
          </w14:textFill>
        </w:rPr>
        <w:t>共计采购LED显示屏设备一批等。包含设备的运输、安装、维护等</w:t>
      </w:r>
      <w:r>
        <w:rPr>
          <w:rFonts w:hint="eastAsia"/>
          <w:color w:val="000000" w:themeColor="text1"/>
          <w:sz w:val="24"/>
          <w:szCs w:val="24"/>
          <w14:textFill>
            <w14:solidFill>
              <w14:schemeClr w14:val="tx1"/>
            </w14:solidFill>
          </w14:textFill>
        </w:rPr>
        <w:t>（详见</w:t>
      </w:r>
      <w:r>
        <w:rPr>
          <w:rFonts w:hint="eastAsia" w:eastAsia="宋体"/>
          <w:color w:val="000000" w:themeColor="text1"/>
          <w:sz w:val="24"/>
          <w:szCs w:val="24"/>
          <w:lang w:val="en-US" w:eastAsia="zh-CN"/>
          <w14:textFill>
            <w14:solidFill>
              <w14:schemeClr w14:val="tx1"/>
            </w14:solidFill>
          </w14:textFill>
        </w:rPr>
        <w:t>第二章</w:t>
      </w:r>
      <w:r>
        <w:rPr>
          <w:rFonts w:hint="eastAsia"/>
          <w:color w:val="000000" w:themeColor="text1"/>
          <w:sz w:val="24"/>
          <w:szCs w:val="24"/>
          <w14:textFill>
            <w14:solidFill>
              <w14:schemeClr w14:val="tx1"/>
            </w14:solidFill>
          </w14:textFill>
        </w:rPr>
        <w:t>采购</w:t>
      </w:r>
      <w:r>
        <w:rPr>
          <w:rFonts w:hint="eastAsia"/>
          <w:color w:val="000000" w:themeColor="text1"/>
          <w:sz w:val="24"/>
          <w:szCs w:val="24"/>
          <w:lang w:val="en-US" w:eastAsia="zh-CN"/>
          <w14:textFill>
            <w14:solidFill>
              <w14:schemeClr w14:val="tx1"/>
            </w14:solidFill>
          </w14:textFill>
        </w:rPr>
        <w:t>需求</w:t>
      </w:r>
      <w:r>
        <w:rPr>
          <w:rFonts w:hint="eastAsia"/>
          <w:color w:val="000000" w:themeColor="text1"/>
          <w:sz w:val="24"/>
          <w:szCs w:val="24"/>
          <w14:textFill>
            <w14:solidFill>
              <w14:schemeClr w14:val="tx1"/>
            </w14:solidFill>
          </w14:textFill>
        </w:rPr>
        <w:t>）；</w:t>
      </w:r>
    </w:p>
    <w:p w14:paraId="388B5C64">
      <w:pPr>
        <w:keepNext w:val="0"/>
        <w:keepLines w:val="0"/>
        <w:pageBreakBefore w:val="0"/>
        <w:widowControl/>
        <w:kinsoku/>
        <w:wordWrap/>
        <w:overflowPunct/>
        <w:bidi w:val="0"/>
        <w:snapToGrid/>
        <w:spacing w:line="360" w:lineRule="auto"/>
        <w:ind w:firstLine="48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5.2.项目地点：</w:t>
      </w:r>
      <w:r>
        <w:rPr>
          <w:rFonts w:hint="eastAsia" w:ascii="宋体" w:hAnsi="宋体" w:cs="宋体"/>
          <w:color w:val="000000" w:themeColor="text1"/>
          <w:sz w:val="24"/>
          <w:szCs w:val="24"/>
          <w14:textFill>
            <w14:solidFill>
              <w14:schemeClr w14:val="tx1"/>
            </w14:solidFill>
          </w14:textFill>
        </w:rPr>
        <w:t>卧龙区境内</w:t>
      </w:r>
      <w:r>
        <w:rPr>
          <w:rFonts w:hint="eastAsia" w:ascii="宋体" w:hAnsi="宋体" w:cs="宋体"/>
          <w:color w:val="000000" w:themeColor="text1"/>
          <w:sz w:val="24"/>
          <w:szCs w:val="24"/>
          <w:lang w:val="en-US" w:eastAsia="zh-CN"/>
          <w14:textFill>
            <w14:solidFill>
              <w14:schemeClr w14:val="tx1"/>
            </w14:solidFill>
          </w14:textFill>
        </w:rPr>
        <w:t>采购人指定位置</w:t>
      </w:r>
      <w:r>
        <w:rPr>
          <w:rFonts w:hint="eastAsia" w:ascii="宋体" w:hAnsi="宋体" w:cs="宋体"/>
          <w:color w:val="000000" w:themeColor="text1"/>
          <w:kern w:val="0"/>
          <w:sz w:val="24"/>
          <w:szCs w:val="24"/>
          <w14:textFill>
            <w14:solidFill>
              <w14:schemeClr w14:val="tx1"/>
            </w14:solidFill>
          </w14:textFill>
        </w:rPr>
        <w:t>；</w:t>
      </w:r>
    </w:p>
    <w:p w14:paraId="68FC6346">
      <w:pPr>
        <w:keepNext w:val="0"/>
        <w:keepLines w:val="0"/>
        <w:pageBreakBefore w:val="0"/>
        <w:widowControl/>
        <w:kinsoku/>
        <w:wordWrap/>
        <w:overflowPunct/>
        <w:bidi w:val="0"/>
        <w:snapToGrid/>
        <w:spacing w:line="360" w:lineRule="auto"/>
        <w:ind w:firstLine="480"/>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5.3.质量标准：国家合格标准；</w:t>
      </w:r>
      <w:r>
        <w:rPr>
          <w:rFonts w:hint="eastAsia" w:ascii="宋体" w:hAnsi="宋体" w:eastAsia="宋体" w:cs="宋体"/>
          <w:color w:val="000000" w:themeColor="text1"/>
          <w:kern w:val="0"/>
          <w:sz w:val="24"/>
          <w:szCs w:val="24"/>
          <w:lang w:val="en-US" w:eastAsia="zh-CN"/>
          <w14:textFill>
            <w14:solidFill>
              <w14:schemeClr w14:val="tx1"/>
            </w14:solidFill>
          </w14:textFill>
        </w:rPr>
        <w:t>质保期1年。</w:t>
      </w:r>
    </w:p>
    <w:p w14:paraId="2D0F6F8B">
      <w:pPr>
        <w:keepNext w:val="0"/>
        <w:keepLines w:val="0"/>
        <w:pageBreakBefore w:val="0"/>
        <w:widowControl/>
        <w:kinsoku/>
        <w:wordWrap/>
        <w:overflowPunct/>
        <w:bidi w:val="0"/>
        <w:snapToGrid/>
        <w:spacing w:line="360" w:lineRule="auto"/>
        <w:ind w:firstLine="48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5.4.资金来源：财政资金；</w:t>
      </w:r>
    </w:p>
    <w:p w14:paraId="1AD2AB99">
      <w:pPr>
        <w:keepNext w:val="0"/>
        <w:keepLines w:val="0"/>
        <w:pageBreakBefore w:val="0"/>
        <w:widowControl/>
        <w:kinsoku/>
        <w:wordWrap/>
        <w:overflowPunct/>
        <w:bidi w:val="0"/>
        <w:snapToGrid/>
        <w:spacing w:line="360" w:lineRule="auto"/>
        <w:ind w:firstLine="48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5.5.标段划分：共划分为</w:t>
      </w:r>
      <w:r>
        <w:rPr>
          <w:rFonts w:hint="eastAsia" w:ascii="宋体" w:hAnsi="宋体" w:cs="宋体"/>
          <w:color w:val="000000" w:themeColor="text1"/>
          <w:kern w:val="0"/>
          <w:sz w:val="24"/>
          <w:szCs w:val="24"/>
          <w:lang w:val="en-US" w:eastAsia="zh-CN"/>
          <w14:textFill>
            <w14:solidFill>
              <w14:schemeClr w14:val="tx1"/>
            </w14:solidFill>
          </w14:textFill>
        </w:rPr>
        <w:t>一</w:t>
      </w:r>
      <w:r>
        <w:rPr>
          <w:rFonts w:hint="eastAsia" w:ascii="宋体" w:hAnsi="宋体" w:cs="宋体"/>
          <w:color w:val="000000" w:themeColor="text1"/>
          <w:kern w:val="0"/>
          <w:sz w:val="24"/>
          <w:szCs w:val="24"/>
          <w14:textFill>
            <w14:solidFill>
              <w14:schemeClr w14:val="tx1"/>
            </w14:solidFill>
          </w14:textFill>
        </w:rPr>
        <w:t>个标段：</w:t>
      </w:r>
    </w:p>
    <w:p w14:paraId="31CEB98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宋体" w:hAnsi="宋体" w:cs="宋体"/>
          <w:color w:val="000000" w:themeColor="text1"/>
          <w:kern w:val="0"/>
          <w:sz w:val="24"/>
          <w:szCs w:val="24"/>
          <w14:textFill>
            <w14:solidFill>
              <w14:schemeClr w14:val="tx1"/>
            </w14:solidFill>
          </w14:textFill>
        </w:rPr>
        <w:t>合同签订后</w:t>
      </w:r>
      <w:r>
        <w:rPr>
          <w:rFonts w:hint="eastAsia" w:ascii="宋体" w:hAnsi="宋体" w:cs="宋体"/>
          <w:color w:val="000000" w:themeColor="text1"/>
          <w:kern w:val="0"/>
          <w:sz w:val="24"/>
          <w:szCs w:val="24"/>
          <w:lang w:val="en-US" w:eastAsia="zh-CN"/>
          <w14:textFill>
            <w14:solidFill>
              <w14:schemeClr w14:val="tx1"/>
            </w14:solidFill>
          </w14:textFill>
        </w:rPr>
        <w:t>30</w:t>
      </w:r>
      <w:r>
        <w:rPr>
          <w:rFonts w:hint="eastAsia" w:ascii="宋体" w:hAnsi="宋体" w:cs="宋体"/>
          <w:color w:val="000000" w:themeColor="text1"/>
          <w:kern w:val="0"/>
          <w:sz w:val="24"/>
          <w:szCs w:val="24"/>
          <w14:textFill>
            <w14:solidFill>
              <w14:schemeClr w14:val="tx1"/>
            </w14:solidFill>
          </w14:textFill>
        </w:rPr>
        <w:t>日历天</w:t>
      </w:r>
    </w:p>
    <w:p w14:paraId="3024D79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0099F98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9129F3B">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7813D683">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1.符合《中华人民共和国政府采购法》第二十二条及《中华人民共和国政府采购法实施条例》第十七条规定：</w:t>
      </w:r>
    </w:p>
    <w:p w14:paraId="75A521FC">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（1）投标人应具有独立法人资格，具有有效的营业执照；</w:t>
      </w:r>
    </w:p>
    <w:p w14:paraId="67BA2EA9">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（2）具有良好的商业信誉和健全的财务会计制度；</w:t>
      </w:r>
    </w:p>
    <w:p w14:paraId="39D4390B">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（3）具有履行合同所必需的设备和专业技术能力</w:t>
      </w:r>
    </w:p>
    <w:p w14:paraId="53F73760">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（4）有依法缴纳税收</w:t>
      </w:r>
      <w:r>
        <w:rPr>
          <w:rFonts w:hint="eastAsia" w:ascii="宋体" w:hAnsi="宋体" w:cs="宋体"/>
          <w:color w:val="000000" w:themeColor="text1"/>
          <w:sz w:val="24"/>
          <w:szCs w:val="24"/>
          <w:lang w:val="en-US" w:eastAsia="zh-CN"/>
          <w14:textFill>
            <w14:solidFill>
              <w14:schemeClr w14:val="tx1"/>
            </w14:solidFill>
          </w14:textFill>
        </w:rPr>
        <w:t>及社保</w:t>
      </w:r>
      <w:r>
        <w:rPr>
          <w:rFonts w:hint="eastAsia" w:ascii="宋体" w:hAnsi="宋体" w:cs="宋体"/>
          <w:color w:val="000000" w:themeColor="text1"/>
          <w:sz w:val="24"/>
          <w:szCs w:val="24"/>
          <w14:textFill>
            <w14:solidFill>
              <w14:schemeClr w14:val="tx1"/>
            </w14:solidFill>
          </w14:textFill>
        </w:rPr>
        <w:t>的良好记录</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提供2025年1月1日以来任意1个月证明材料</w:t>
      </w:r>
      <w:r>
        <w:rPr>
          <w:rFonts w:hint="eastAsia" w:ascii="宋体" w:hAnsi="宋体" w:cs="宋体"/>
          <w:color w:val="000000" w:themeColor="text1"/>
          <w:sz w:val="24"/>
          <w:szCs w:val="24"/>
          <w:lang w:eastAsia="zh-CN"/>
          <w14:textFill>
            <w14:solidFill>
              <w14:schemeClr w14:val="tx1"/>
            </w14:solidFill>
          </w14:textFill>
        </w:rPr>
        <w:t>）</w:t>
      </w:r>
    </w:p>
    <w:p w14:paraId="5E2E8EF6">
      <w:pPr>
        <w:keepNext w:val="0"/>
        <w:keepLines w:val="0"/>
        <w:pageBreakBefore w:val="0"/>
        <w:widowControl/>
        <w:suppressLineNumbers w:val="0"/>
        <w:kinsoku/>
        <w:wordWrap/>
        <w:overflowPunct/>
        <w:bidi w:val="0"/>
        <w:snapToGrid/>
        <w:spacing w:line="360" w:lineRule="auto"/>
        <w:ind w:firstLine="480" w:firstLineChars="20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（5）参加政府采购活动前三年内（新成立的企业从成立之日起）,在政府采购活动中没有重大违法记录的书面声明；</w:t>
      </w:r>
    </w:p>
    <w:p w14:paraId="79B1E403">
      <w:pPr>
        <w:keepNext w:val="0"/>
        <w:keepLines w:val="0"/>
        <w:pageBreakBefore w:val="0"/>
        <w:widowControl/>
        <w:suppressLineNumbers w:val="0"/>
        <w:kinsoku/>
        <w:wordWrap/>
        <w:overflowPunct/>
        <w:bidi w:val="0"/>
        <w:snapToGrid/>
        <w:spacing w:line="360" w:lineRule="auto"/>
        <w:ind w:firstLine="480" w:firstLineChars="200"/>
        <w:jc w:val="left"/>
        <w:textAlignment w:val="auto"/>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）法律、行政法规规定的其他条件。</w:t>
      </w:r>
    </w:p>
    <w:p w14:paraId="2473AFC4">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.投标人需提供无行贿犯罪记录承诺函（承诺对象包括：投标企业、法定代表人）,并对其真实性负责，若承诺不实，所造成的后果由投标人承担；</w:t>
      </w:r>
    </w:p>
    <w:p w14:paraId="7CA31A25">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 xml:space="preserve"> 依据财库〔20</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cs="宋体"/>
          <w:color w:val="000000" w:themeColor="text1"/>
          <w:sz w:val="24"/>
          <w:szCs w:val="24"/>
          <w14:textFill>
            <w14:solidFill>
              <w14:schemeClr w14:val="tx1"/>
            </w14:solidFill>
          </w14:textFill>
        </w:rPr>
        <w:t>〕125号文件规定，对列入失信被执行人、重大税收违法失信主体、政府采购严重违法失信行为记录名单的投标人，拒绝其参与本项目招投标活动；依据《关于在公共资源交易活动中实施信用监管的通知》(宛公管办〔202</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〕22号)文，</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投标人)在参与公共资源交易活动时须提供规范的信用报告，信用报告应从“信用中国”（www.creditchina.gov.cn）网站下载，信用报告的生成日期为本项目递交投标文件截止时间前10日内，提供的内容要完整清晰并加盖公章。</w:t>
      </w:r>
    </w:p>
    <w:p w14:paraId="393C29AD">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本项目不接受联合体投标，不得分包转包；</w:t>
      </w:r>
    </w:p>
    <w:p w14:paraId="07098E23">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2A86D7DD">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17893FA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22B4E769">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0200C35E">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color w:val="auto"/>
          <w:spacing w:val="12"/>
          <w:position w:val="17"/>
          <w:sz w:val="24"/>
          <w:szCs w:val="24"/>
          <w:lang w:eastAsia="zh-CN"/>
        </w:rPr>
        <w:t>□</w:t>
      </w:r>
      <w:r>
        <w:rPr>
          <w:rFonts w:hint="eastAsia" w:asciiTheme="minorEastAsia" w:hAnsiTheme="minorEastAsia" w:eastAsiaTheme="minorEastAsia" w:cstheme="minorEastAsia"/>
          <w:color w:val="auto"/>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01B9525D">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051CCF9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28900B8D">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5EC8E2F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30A36A12">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3D67EEA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1E9342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FA82E9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AF9934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2025</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0</w:t>
      </w:r>
      <w:r>
        <w:rPr>
          <w:rFonts w:hint="eastAsia" w:asciiTheme="minorEastAsia" w:hAnsiTheme="minorEastAsia" w:eastAsiaTheme="minorEastAsia" w:cstheme="minorEastAsia"/>
          <w:color w:val="auto"/>
          <w:spacing w:val="-13"/>
          <w:sz w:val="24"/>
          <w:szCs w:val="24"/>
          <w:u w:val="single"/>
          <w:lang w:val="en-US" w:eastAsia="zh-CN"/>
        </w:rPr>
        <w:t>3</w:t>
      </w:r>
      <w:r>
        <w:rPr>
          <w:rFonts w:hint="eastAsia" w:asciiTheme="minorEastAsia" w:hAnsiTheme="minorEastAsia" w:eastAsiaTheme="minorEastAsia" w:cstheme="minorEastAsia"/>
          <w:color w:val="auto"/>
          <w:spacing w:val="-13"/>
          <w:sz w:val="24"/>
          <w:szCs w:val="24"/>
        </w:rPr>
        <w:t>月</w:t>
      </w:r>
      <w:r>
        <w:rPr>
          <w:rFonts w:hint="eastAsia" w:asciiTheme="minorEastAsia" w:hAnsiTheme="minorEastAsia" w:eastAsiaTheme="minorEastAsia" w:cstheme="minorEastAsia"/>
          <w:color w:val="auto"/>
          <w:spacing w:val="-13"/>
          <w:sz w:val="24"/>
          <w:szCs w:val="24"/>
          <w:u w:val="single"/>
          <w:lang w:val="en-US" w:eastAsia="zh-CN"/>
        </w:rPr>
        <w:t>21</w:t>
      </w:r>
      <w:r>
        <w:rPr>
          <w:rFonts w:hint="eastAsia" w:asciiTheme="minorEastAsia" w:hAnsiTheme="minorEastAsia" w:eastAsiaTheme="minorEastAsia" w:cstheme="minorEastAsia"/>
          <w:color w:val="auto"/>
          <w:spacing w:val="-13"/>
          <w:sz w:val="24"/>
          <w:szCs w:val="24"/>
        </w:rPr>
        <w:t>日至</w:t>
      </w:r>
      <w:r>
        <w:rPr>
          <w:rFonts w:hint="eastAsia" w:asciiTheme="minorEastAsia" w:hAnsiTheme="minorEastAsia" w:eastAsiaTheme="minorEastAsia" w:cstheme="minorEastAsia"/>
          <w:color w:val="auto"/>
          <w:spacing w:val="-13"/>
          <w:sz w:val="24"/>
          <w:szCs w:val="24"/>
          <w:u w:val="single"/>
          <w:lang w:val="en-US" w:eastAsia="zh-CN"/>
        </w:rPr>
        <w:t xml:space="preserve">2025 </w:t>
      </w:r>
      <w:r>
        <w:rPr>
          <w:rFonts w:hint="eastAsia" w:asciiTheme="minorEastAsia" w:hAnsiTheme="minorEastAsia" w:eastAsiaTheme="minorEastAsia" w:cstheme="minorEastAsia"/>
          <w:color w:val="auto"/>
          <w:spacing w:val="-13"/>
          <w:sz w:val="24"/>
          <w:szCs w:val="24"/>
        </w:rPr>
        <w:t>年</w:t>
      </w:r>
      <w:r>
        <w:rPr>
          <w:rFonts w:hint="eastAsia" w:asciiTheme="minorEastAsia" w:hAnsiTheme="minorEastAsia" w:eastAsiaTheme="minorEastAsia" w:cstheme="minorEastAsia"/>
          <w:color w:val="auto"/>
          <w:spacing w:val="-13"/>
          <w:sz w:val="24"/>
          <w:szCs w:val="24"/>
          <w:u w:val="single"/>
          <w:lang w:val="en-US" w:eastAsia="zh-CN"/>
        </w:rPr>
        <w:t xml:space="preserve">03 </w:t>
      </w:r>
      <w:r>
        <w:rPr>
          <w:rFonts w:hint="eastAsia" w:asciiTheme="minorEastAsia" w:hAnsiTheme="minorEastAsia" w:eastAsiaTheme="minorEastAsia" w:cstheme="minorEastAsia"/>
          <w:color w:val="auto"/>
          <w:spacing w:val="-13"/>
          <w:sz w:val="24"/>
          <w:szCs w:val="24"/>
        </w:rPr>
        <w:t>月</w:t>
      </w:r>
      <w:r>
        <w:rPr>
          <w:rFonts w:hint="eastAsia" w:asciiTheme="minorEastAsia" w:hAnsiTheme="minorEastAsia" w:eastAsiaTheme="minorEastAsia" w:cstheme="minorEastAsia"/>
          <w:color w:val="auto"/>
          <w:spacing w:val="-13"/>
          <w:sz w:val="24"/>
          <w:szCs w:val="24"/>
          <w:u w:val="single"/>
          <w:lang w:val="en-US" w:eastAsia="zh-CN"/>
        </w:rPr>
        <w:t>27</w:t>
      </w:r>
      <w:r>
        <w:rPr>
          <w:rFonts w:hint="eastAsia" w:asciiTheme="minorEastAsia" w:hAnsiTheme="minorEastAsia" w:eastAsiaTheme="minorEastAsia" w:cstheme="minorEastAsia"/>
          <w:color w:val="auto"/>
          <w:spacing w:val="-13"/>
          <w:sz w:val="24"/>
          <w:szCs w:val="24"/>
        </w:rPr>
        <w:t>日</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8:00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18:00</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2CD9B089">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2.地点：</w:t>
      </w:r>
      <w:r>
        <w:rPr>
          <w:rFonts w:hint="eastAsia" w:ascii="宋体" w:hAnsi="宋体" w:eastAsia="宋体" w:cs="宋体"/>
          <w:color w:val="000000" w:themeColor="text1"/>
          <w:sz w:val="24"/>
          <w:szCs w:val="24"/>
          <w14:textFill>
            <w14:solidFill>
              <w14:schemeClr w14:val="tx1"/>
            </w14:solidFill>
          </w14:textFill>
        </w:rPr>
        <w:t>《全国公共资源交易平台（河南省·南阳市·卧龙区）》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http://ggzyjy.nanyang.gov.cn/WLQWeb/</w:t>
      </w:r>
      <w:r>
        <w:rPr>
          <w:rFonts w:hint="eastAsia" w:ascii="宋体" w:hAnsi="宋体" w:eastAsia="宋体" w:cs="宋体"/>
          <w:color w:val="000000" w:themeColor="text1"/>
          <w:sz w:val="24"/>
          <w:szCs w:val="24"/>
          <w:lang w:eastAsia="zh-CN"/>
          <w14:textFill>
            <w14:solidFill>
              <w14:schemeClr w14:val="tx1"/>
            </w14:solidFill>
          </w14:textFill>
        </w:rPr>
        <w:t>）</w:t>
      </w:r>
    </w:p>
    <w:p w14:paraId="165B614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3.方式：</w:t>
      </w:r>
      <w:r>
        <w:rPr>
          <w:rFonts w:hint="eastAsia" w:asciiTheme="minorEastAsia" w:hAnsiTheme="minorEastAsia" w:eastAsiaTheme="minorEastAsia" w:cstheme="minorEastAsia"/>
          <w:color w:val="000000" w:themeColor="text1"/>
          <w:spacing w:val="3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使用普通电子交易系统的，</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登录</w:t>
      </w:r>
      <w:r>
        <w:rPr>
          <w:rFonts w:hint="eastAsia" w:ascii="宋体" w:hAnsi="宋体" w:eastAsia="宋体" w:cs="宋体"/>
          <w:color w:val="000000" w:themeColor="text1"/>
          <w:sz w:val="24"/>
          <w:szCs w:val="24"/>
          <w14:textFill>
            <w14:solidFill>
              <w14:schemeClr w14:val="tx1"/>
            </w14:solidFill>
          </w14:textFill>
        </w:rPr>
        <w:t>《全国公共资源交易平台（河南省·南阳市·卧龙区）》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http://ggzyjy.nanyang.gov.cn/WLQWeb/</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w:t>
      </w:r>
      <w:r>
        <w:rPr>
          <w:rFonts w:hint="eastAsia" w:asciiTheme="minorEastAsia" w:hAnsiTheme="minorEastAsia" w:eastAsiaTheme="minorEastAsia" w:cstheme="minorEastAsia"/>
          <w:spacing w:val="-4"/>
          <w:sz w:val="24"/>
          <w:szCs w:val="24"/>
          <w:lang w:eastAsia="zh-CN"/>
        </w:rPr>
        <w:t>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CA数字证书技术支持电话：15672779650。</w:t>
      </w:r>
    </w:p>
    <w:p w14:paraId="1A93193E">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4EBF974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8D74E9D">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9ADA6FB">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使用普通电子交易系统的</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《全国公共资源交易平台（河南省·南阳市·卧龙区）》</w:t>
      </w:r>
      <w:r>
        <w:rPr>
          <w:rFonts w:hint="eastAsia" w:asciiTheme="minorEastAsia" w:hAnsiTheme="minorEastAsia" w:eastAsiaTheme="minorEastAsia" w:cstheme="minorEastAsia"/>
          <w:spacing w:val="-4"/>
          <w:sz w:val="24"/>
          <w:szCs w:val="24"/>
          <w:lang w:eastAsia="zh-CN"/>
        </w:rPr>
        <w:t>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4B3E1605">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造成开标无法继续的，视为该投标人自动放弃投标，将被退回投标文件”。电子交易系统技术支持电话：400-998-0000。</w:t>
      </w:r>
    </w:p>
    <w:p w14:paraId="4DB43FE9">
      <w:pPr>
        <w:keepNext w:val="0"/>
        <w:keepLines w:val="0"/>
        <w:pageBreakBefore w:val="0"/>
        <w:widowControl w:val="0"/>
        <w:kinsoku/>
        <w:wordWrap w:val="0"/>
        <w:overflowPunct/>
        <w:topLinePunct w:val="0"/>
        <w:bidi w:val="0"/>
        <w:spacing w:after="0" w:line="360" w:lineRule="auto"/>
        <w:ind w:firstLine="464" w:firstLineChars="200"/>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本项目采用全流程电子化，投标人应在开标时间前登录电子营业执照应用平台系统不见面开标大厅；在投标文件解密过程中，</w:t>
      </w:r>
      <w:r>
        <w:rPr>
          <w:rFonts w:hint="eastAsia" w:asciiTheme="minorEastAsia" w:hAnsiTheme="minorEastAsia" w:eastAsiaTheme="minorEastAsia" w:cstheme="minorEastAsia"/>
          <w:spacing w:val="-4"/>
          <w:sz w:val="24"/>
          <w:szCs w:val="24"/>
          <w:lang w:eastAsia="zh-CN"/>
        </w:rPr>
        <w:t>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w:t>
      </w:r>
      <w:r>
        <w:rPr>
          <w:rFonts w:hint="eastAsia" w:asciiTheme="minorEastAsia" w:hAnsiTheme="minorEastAsia" w:eastAsiaTheme="minorEastAsia" w:cstheme="minorEastAsia"/>
          <w:snapToGrid w:val="0"/>
          <w:color w:val="000000"/>
          <w:spacing w:val="-4"/>
          <w:kern w:val="0"/>
          <w:sz w:val="24"/>
          <w:szCs w:val="24"/>
          <w:lang w:val="en-US" w:eastAsia="zh-CN" w:bidi="ar-SA"/>
        </w:rPr>
        <w:t>解密过程中遇到紧急事项，可在不见面开标大厅中提出异议或者文字交流，严重问题可拨打技术支持电话</w:t>
      </w:r>
      <w:r>
        <w:rPr>
          <w:rFonts w:hint="eastAsia" w:asciiTheme="minorEastAsia" w:hAnsiTheme="minorEastAsia" w:eastAsiaTheme="minorEastAsia" w:cstheme="minorEastAsia"/>
          <w:spacing w:val="-4"/>
          <w:sz w:val="24"/>
          <w:szCs w:val="24"/>
          <w:lang w:eastAsia="zh-CN"/>
        </w:rPr>
        <w:t>400-998-0000</w:t>
      </w:r>
      <w:r>
        <w:rPr>
          <w:rFonts w:hint="eastAsia" w:asciiTheme="minorEastAsia" w:hAnsiTheme="minorEastAsia" w:eastAsiaTheme="minorEastAsia" w:cstheme="minorEastAsia"/>
          <w:snapToGrid w:val="0"/>
          <w:color w:val="000000"/>
          <w:spacing w:val="-4"/>
          <w:kern w:val="0"/>
          <w:sz w:val="24"/>
          <w:szCs w:val="24"/>
          <w:lang w:val="en-US" w:eastAsia="zh-CN" w:bidi="ar-SA"/>
        </w:rPr>
        <w:t>。</w:t>
      </w:r>
    </w:p>
    <w:p w14:paraId="6C359BFB">
      <w:pPr>
        <w:pStyle w:val="22"/>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07322B8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3B0AAD95">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u w:val="single"/>
          <w:lang w:val="en-US" w:eastAsia="zh-CN"/>
        </w:rPr>
        <w:t>2</w:t>
      </w:r>
      <w:r>
        <w:rPr>
          <w:rFonts w:hint="eastAsia" w:asciiTheme="minorEastAsia" w:hAnsiTheme="minorEastAsia" w:eastAsiaTheme="minorEastAsia" w:cstheme="minorEastAsia"/>
          <w:color w:val="auto"/>
          <w:spacing w:val="-14"/>
          <w:sz w:val="24"/>
          <w:szCs w:val="24"/>
          <w:u w:val="single"/>
          <w:lang w:val="en-US" w:eastAsia="zh-CN"/>
        </w:rPr>
        <w:t>025年04月11日</w:t>
      </w:r>
      <w:r>
        <w:rPr>
          <w:rFonts w:hint="eastAsia" w:asciiTheme="minorEastAsia" w:hAnsiTheme="minorEastAsia" w:eastAsiaTheme="minorEastAsia" w:cstheme="minorEastAsia"/>
          <w:snapToGrid w:val="0"/>
          <w:color w:val="auto"/>
          <w:spacing w:val="-4"/>
          <w:kern w:val="0"/>
          <w:sz w:val="24"/>
          <w:szCs w:val="24"/>
          <w:u w:val="single"/>
          <w:lang w:val="en-US" w:eastAsia="zh-CN" w:bidi="ar-SA"/>
        </w:rPr>
        <w:t>08</w:t>
      </w:r>
      <w:r>
        <w:rPr>
          <w:rFonts w:hint="eastAsia" w:asciiTheme="minorEastAsia" w:hAnsiTheme="minorEastAsia" w:eastAsiaTheme="minorEastAsia" w:cstheme="minorEastAsia"/>
          <w:snapToGrid w:val="0"/>
          <w:color w:val="auto"/>
          <w:spacing w:val="-4"/>
          <w:kern w:val="0"/>
          <w:sz w:val="24"/>
          <w:szCs w:val="24"/>
          <w:lang w:val="en-US" w:eastAsia="zh-CN" w:bidi="ar-SA"/>
        </w:rPr>
        <w:t>点</w:t>
      </w:r>
      <w:r>
        <w:rPr>
          <w:rFonts w:hint="eastAsia" w:asciiTheme="minorEastAsia" w:hAnsiTheme="minorEastAsia" w:eastAsiaTheme="minorEastAsia" w:cstheme="minorEastAsia"/>
          <w:snapToGrid w:val="0"/>
          <w:color w:val="auto"/>
          <w:spacing w:val="-4"/>
          <w:kern w:val="0"/>
          <w:sz w:val="24"/>
          <w:szCs w:val="24"/>
          <w:u w:val="single"/>
          <w:lang w:val="en-US" w:eastAsia="zh-CN" w:bidi="ar-SA"/>
        </w:rPr>
        <w:t>30</w:t>
      </w:r>
      <w:r>
        <w:rPr>
          <w:rFonts w:hint="eastAsia" w:asciiTheme="minorEastAsia" w:hAnsiTheme="minorEastAsia" w:eastAsiaTheme="minorEastAsia" w:cstheme="minorEastAsia"/>
          <w:snapToGrid w:val="0"/>
          <w:color w:val="auto"/>
          <w:spacing w:val="-4"/>
          <w:kern w:val="0"/>
          <w:sz w:val="24"/>
          <w:szCs w:val="24"/>
          <w:lang w:val="en-US" w:eastAsia="zh-CN" w:bidi="ar-SA"/>
        </w:rPr>
        <w:t>分（北</w:t>
      </w:r>
      <w:r>
        <w:rPr>
          <w:rFonts w:hint="eastAsia" w:asciiTheme="minorEastAsia" w:hAnsiTheme="minorEastAsia" w:eastAsiaTheme="minorEastAsia" w:cstheme="minorEastAsia"/>
          <w:color w:val="auto"/>
          <w:spacing w:val="-15"/>
          <w:sz w:val="24"/>
          <w:szCs w:val="24"/>
        </w:rPr>
        <w:t>京时间）。</w:t>
      </w:r>
    </w:p>
    <w:p w14:paraId="6C2CBB93">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7"/>
          <w:sz w:val="24"/>
          <w:szCs w:val="24"/>
          <w:lang w:val="en-US" w:eastAsia="zh-CN"/>
        </w:rPr>
      </w:pPr>
      <w:r>
        <w:rPr>
          <w:rFonts w:hint="eastAsia" w:asciiTheme="minorEastAsia" w:hAnsiTheme="minorEastAsia" w:eastAsiaTheme="minorEastAsia" w:cstheme="minorEastAsia"/>
          <w:color w:val="auto"/>
          <w:spacing w:val="-17"/>
          <w:sz w:val="24"/>
          <w:szCs w:val="24"/>
          <w:lang w:val="en-US" w:eastAsia="zh-CN"/>
        </w:rPr>
        <w:t>开标方式：不见面开标</w:t>
      </w:r>
    </w:p>
    <w:p w14:paraId="02145794">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7"/>
          <w:sz w:val="24"/>
          <w:szCs w:val="24"/>
        </w:rPr>
        <w:t>地点：</w:t>
      </w:r>
      <w:r>
        <w:rPr>
          <w:rFonts w:hint="eastAsia" w:hAnsi="宋体"/>
          <w:color w:val="auto"/>
          <w:sz w:val="24"/>
          <w:szCs w:val="24"/>
        </w:rPr>
        <w:t>本项目采用“远程不见面”开标方式，不见面开标大厅地址，投标人无需到卧龙区公共资源交易中心现场参加开标会议，无需到达现场提交原件资料。需要注意开标前登录不见面系统。</w:t>
      </w:r>
      <w:r>
        <w:rPr>
          <w:rFonts w:hint="eastAsia" w:asciiTheme="minorEastAsia" w:hAnsiTheme="minorEastAsia" w:eastAsiaTheme="minorEastAsia" w:cstheme="minorEastAsia"/>
          <w:color w:val="auto"/>
          <w:spacing w:val="-17"/>
          <w:sz w:val="24"/>
          <w:szCs w:val="24"/>
        </w:rPr>
        <w:t>。</w:t>
      </w:r>
    </w:p>
    <w:p w14:paraId="526B62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auto"/>
          <w:sz w:val="21"/>
        </w:rPr>
      </w:pPr>
    </w:p>
    <w:p w14:paraId="700E71E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color w:val="auto"/>
          <w:spacing w:val="-2"/>
          <w:sz w:val="24"/>
          <w:szCs w:val="24"/>
          <w14:textOutline w14:w="1537" w14:cap="flat" w14:cmpd="sng">
            <w14:solidFill>
              <w14:srgbClr w14:val="000000"/>
            </w14:solidFill>
            <w14:prstDash w14:val="solid"/>
            <w14:miter w14:val="0"/>
          </w14:textOutline>
        </w:rPr>
        <w:t>、公告期限</w:t>
      </w:r>
    </w:p>
    <w:p w14:paraId="76AC437B">
      <w:pPr>
        <w:pStyle w:val="25"/>
        <w:keepNext w:val="0"/>
        <w:keepLines w:val="0"/>
        <w:pageBreakBefore w:val="0"/>
        <w:kinsoku/>
        <w:wordWrap/>
        <w:overflowPunct/>
        <w:bidi w:val="0"/>
        <w:snapToGrid/>
        <w:spacing w:line="360" w:lineRule="auto"/>
        <w:ind w:firstLine="480" w:firstLineChars="200"/>
        <w:textAlignment w:val="auto"/>
        <w:rPr>
          <w:rFonts w:hint="eastAsia" w:asciiTheme="minorEastAsia" w:hAnsiTheme="minorEastAsia" w:eastAsiaTheme="minorEastAsia" w:cstheme="minorEastAsia"/>
          <w:color w:val="auto"/>
          <w:spacing w:val="-13"/>
          <w:sz w:val="24"/>
          <w:szCs w:val="24"/>
          <w:lang w:val="en-US" w:eastAsia="zh-CN"/>
        </w:rPr>
      </w:pPr>
      <w:r>
        <w:rPr>
          <w:rFonts w:hint="eastAsia" w:hAnsi="宋体"/>
          <w:color w:val="auto"/>
          <w:sz w:val="24"/>
          <w:szCs w:val="24"/>
        </w:rPr>
        <w:t>本次公告在《河南省政府采购网》、《</w:t>
      </w:r>
      <w:r>
        <w:rPr>
          <w:rFonts w:hint="eastAsia" w:hAnsi="宋体"/>
          <w:color w:val="auto"/>
          <w:sz w:val="24"/>
          <w:szCs w:val="24"/>
          <w:lang w:val="en-US" w:eastAsia="zh-CN"/>
        </w:rPr>
        <w:t>南阳市政府采购网</w:t>
      </w:r>
      <w:r>
        <w:rPr>
          <w:rFonts w:hint="eastAsia" w:hAnsi="宋体"/>
          <w:color w:val="auto"/>
          <w:sz w:val="24"/>
          <w:szCs w:val="24"/>
        </w:rPr>
        <w:t>》、《全国公共资源交易平台（河南省·南阳市·卧龙区）》上同时发布，公告期限为5个工作日</w:t>
      </w:r>
      <w:r>
        <w:rPr>
          <w:rFonts w:hint="eastAsia"/>
          <w:color w:val="auto"/>
          <w:sz w:val="24"/>
          <w:szCs w:val="24"/>
        </w:rPr>
        <w:t>。</w:t>
      </w:r>
      <w:r>
        <w:rPr>
          <w:rFonts w:hint="eastAsia" w:asciiTheme="minorEastAsia" w:hAnsiTheme="minorEastAsia" w:eastAsiaTheme="minorEastAsia" w:cstheme="minorEastAsia"/>
          <w:color w:val="auto"/>
          <w:spacing w:val="-13"/>
          <w:sz w:val="24"/>
          <w:szCs w:val="24"/>
          <w:u w:val="single"/>
          <w:lang w:val="en-US" w:eastAsia="zh-CN"/>
        </w:rPr>
        <w:t>2025年03月21日至2025 年03 月27日</w:t>
      </w:r>
    </w:p>
    <w:p w14:paraId="4897793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66FA413B">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3B4DBB83">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1.报名须知：</w:t>
      </w:r>
    </w:p>
    <w:p w14:paraId="4C84B3F9">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（1）企业诚信库注册</w:t>
      </w:r>
    </w:p>
    <w:p w14:paraId="21CC33FF">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本项目只接受南阳市公共资源电子交易平台中已加入企业诚信库的企业投标，未入库的投标人请及时办理入库手续。入库办理请参见卧龙区公共资源交易中心网站下载专区《诚信库申报操作手册》，企业办理诚信库不收取任何费用，不需携带原件到南阳市公共资源交易中心进行审核。因未及时办理入库手续导致无法投标的，责任自负。</w:t>
      </w:r>
    </w:p>
    <w:p w14:paraId="7AA040DF">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诚信库注册过程无需人工审核，所有资料提交后即可备案通过，并对外网公示。</w:t>
      </w:r>
    </w:p>
    <w:p w14:paraId="2D8125DE">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（2） 办理标证通数字证书/CA锁数字证书</w:t>
      </w:r>
    </w:p>
    <w:p w14:paraId="0BD0947D">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投标企业须先办理标证通数字证书或CA数字证书实体锁之后，凭其完成企业诚信库注册后，方可在网上办理招投标相关业务。标证通数字证书/CA锁数字证书办理请参见卧龙区公共资源交易中心网站交易主体登录页面相关引导内容。</w:t>
      </w:r>
    </w:p>
    <w:p w14:paraId="16BD3C1E">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2.本项目为电子评标项目，投标人须提供电子投标文件，电子投标文件需要使用投标文件制作工具制作，制作工具及操作手册可登录“南阳市公共资源交易中心”，在“下载专区”中下载；</w:t>
      </w:r>
    </w:p>
    <w:p w14:paraId="013B5ACB">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3.电子投标文件应在招标文件规定投标截止时间前到达交易系统，逾期到达交易系统的或者未送达指定地点的投标文件，视为投标人放弃本次投标。</w:t>
      </w:r>
    </w:p>
    <w:p w14:paraId="6210470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4.请各潜在投标人在获取文件后及时关注网站更新信息，若因其他原因未能及时看到网上更新信息而造成的损失，采购人及采购代理机构将不负任何责任。</w:t>
      </w:r>
    </w:p>
    <w:p w14:paraId="374CA4ED">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5.因投标人无需现场参与开标，所有准备工作需要自行到位。开标过程中如遇到紧急事项，可在不见面开标大厅中进行提出异议或文字交流，严重问题可拨打技术支持电话400-998-0000。</w:t>
      </w:r>
    </w:p>
    <w:p w14:paraId="3DA3EA6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6.不见面开标过程中，如投标人准备不到位，造成无法及时解密、网络问题等情况造成开标无法继续的，视为该投标人自动放弃投标（ 3 0 分钟内），将被退回投标文件。</w:t>
      </w:r>
    </w:p>
    <w:p w14:paraId="639B118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29179C3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4F0450D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0730E244">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名称：南阳市卧龙区教育体育局</w:t>
      </w:r>
    </w:p>
    <w:p w14:paraId="7E0E7F95">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联 系 人：刘闯</w:t>
      </w:r>
    </w:p>
    <w:p w14:paraId="712FCC1D">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联系方式：15713832583</w:t>
      </w:r>
    </w:p>
    <w:p w14:paraId="5158657D">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default"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地  址：河南省南阳市工业路</w:t>
      </w:r>
    </w:p>
    <w:p w14:paraId="5E4F37D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1B2BF77E">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采购代理机构：一扬项目管理河南有限公司</w:t>
      </w:r>
    </w:p>
    <w:p w14:paraId="2BFB4105">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地  址：河南省南阳市卧龙区七一街道怡博花园5号楼203-207号</w:t>
      </w:r>
    </w:p>
    <w:p w14:paraId="0D1D2F65">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default"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联系人：刘小玲</w:t>
      </w:r>
    </w:p>
    <w:p w14:paraId="741F41DA">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default"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电  话：18621391309</w:t>
      </w:r>
    </w:p>
    <w:p w14:paraId="1CDA6C35">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4AAEEB73">
      <w:pPr>
        <w:pStyle w:val="5"/>
        <w:keepNext w:val="0"/>
        <w:keepLines w:val="0"/>
        <w:pageBreakBefore w:val="0"/>
        <w:widowControl/>
        <w:numPr>
          <w:ilvl w:val="0"/>
          <w:numId w:val="1"/>
        </w:numPr>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网址：</w:t>
      </w:r>
      <w:r>
        <w:rPr>
          <w:rFonts w:hint="eastAsia" w:cs="宋体"/>
          <w:color w:val="000000" w:themeColor="text1"/>
          <w:sz w:val="24"/>
          <w:szCs w:val="24"/>
          <w:lang w:val="en-US" w:eastAsia="zh-CN"/>
          <w14:textFill>
            <w14:solidFill>
              <w14:schemeClr w14:val="tx1"/>
            </w14:solidFill>
          </w14:textFill>
        </w:rPr>
        <w:t>http://ggzyjy.nanyang.gov.cn/WLQWeb/</w:t>
      </w:r>
    </w:p>
    <w:p w14:paraId="0957AED0">
      <w:pPr>
        <w:pStyle w:val="5"/>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50C22A1F">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jc w:val="right"/>
        <w:textAlignment w:val="auto"/>
        <w:rPr>
          <w:rFonts w:hint="eastAsia" w:cs="Calibri"/>
          <w:color w:val="auto"/>
          <w:sz w:val="24"/>
          <w:szCs w:val="24"/>
          <w:shd w:val="clear" w:color="auto" w:fill="FFFFFF"/>
          <w:lang w:val="en-US" w:eastAsia="zh-CN"/>
        </w:rPr>
      </w:pPr>
      <w:r>
        <w:rPr>
          <w:rFonts w:hint="eastAsia" w:asciiTheme="minorEastAsia" w:hAnsiTheme="minorEastAsia" w:eastAsiaTheme="minorEastAsia" w:cstheme="minorEastAsia"/>
          <w:spacing w:val="-15"/>
          <w:sz w:val="24"/>
          <w:szCs w:val="24"/>
          <w:lang w:val="en-US" w:eastAsia="zh-CN"/>
        </w:rPr>
        <w:t>采购代理机构名称：</w:t>
      </w:r>
      <w:r>
        <w:rPr>
          <w:rFonts w:hint="eastAsia" w:cs="Calibri"/>
          <w:color w:val="auto"/>
          <w:sz w:val="24"/>
          <w:szCs w:val="24"/>
          <w:shd w:val="clear" w:color="auto" w:fill="FFFFFF"/>
          <w:lang w:val="en-US" w:eastAsia="zh-CN"/>
        </w:rPr>
        <w:t>一扬项目管理河南有限公司</w:t>
      </w:r>
    </w:p>
    <w:p w14:paraId="60C9F0C4">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3990" w:firstLineChars="1900"/>
        <w:jc w:val="both"/>
        <w:textAlignment w:val="baseline"/>
        <w:outlineLvl w:val="1"/>
        <w:rPr>
          <w:rFonts w:hint="eastAsia" w:asciiTheme="minorEastAsia" w:hAnsiTheme="minorEastAsia" w:eastAsiaTheme="minorEastAsia" w:cstheme="minorEastAsia"/>
          <w:spacing w:val="-15"/>
          <w:sz w:val="24"/>
          <w:szCs w:val="24"/>
          <w:lang w:val="en-US" w:eastAsia="zh-CN"/>
        </w:rPr>
      </w:pPr>
    </w:p>
    <w:p w14:paraId="2AC49E99">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3852" w:firstLineChars="1800"/>
        <w:jc w:val="both"/>
        <w:textAlignment w:val="baseline"/>
        <w:outlineLvl w:val="1"/>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spacing w:val="-13"/>
          <w:sz w:val="24"/>
          <w:szCs w:val="24"/>
          <w:lang w:val="en-US" w:eastAsia="zh-CN"/>
        </w:rPr>
        <w:t>日</w:t>
      </w:r>
      <w:r>
        <w:rPr>
          <w:rFonts w:hint="eastAsia" w:asciiTheme="minorEastAsia" w:hAnsiTheme="minorEastAsia" w:eastAsiaTheme="minorEastAsia" w:cstheme="minorEastAsia"/>
          <w:color w:val="auto"/>
          <w:spacing w:val="-13"/>
          <w:sz w:val="24"/>
          <w:szCs w:val="24"/>
          <w:lang w:val="en-US" w:eastAsia="zh-CN"/>
        </w:rPr>
        <w:t>期：</w:t>
      </w:r>
      <w:r>
        <w:rPr>
          <w:rFonts w:hint="eastAsia" w:asciiTheme="minorEastAsia" w:hAnsiTheme="minorEastAsia" w:eastAsiaTheme="minorEastAsia" w:cstheme="minorEastAsia"/>
          <w:color w:val="auto"/>
          <w:spacing w:val="-13"/>
          <w:sz w:val="24"/>
          <w:szCs w:val="24"/>
          <w:u w:val="single"/>
          <w:lang w:val="en-US" w:eastAsia="zh-CN"/>
        </w:rPr>
        <w:t>2025</w:t>
      </w:r>
      <w:r>
        <w:rPr>
          <w:rFonts w:hint="eastAsia" w:asciiTheme="minorEastAsia" w:hAnsiTheme="minorEastAsia" w:eastAsiaTheme="minorEastAsia" w:cstheme="minorEastAsia"/>
          <w:color w:val="auto"/>
          <w:spacing w:val="-13"/>
          <w:sz w:val="24"/>
          <w:szCs w:val="24"/>
        </w:rPr>
        <w:t>年</w:t>
      </w:r>
      <w:r>
        <w:rPr>
          <w:rFonts w:hint="eastAsia" w:asciiTheme="minorEastAsia" w:hAnsiTheme="minorEastAsia" w:eastAsiaTheme="minorEastAsia" w:cstheme="minorEastAsia"/>
          <w:color w:val="auto"/>
          <w:spacing w:val="-13"/>
          <w:sz w:val="24"/>
          <w:szCs w:val="24"/>
          <w:u w:val="single"/>
          <w:lang w:val="en-US" w:eastAsia="zh-CN"/>
        </w:rPr>
        <w:t>03</w:t>
      </w:r>
      <w:r>
        <w:rPr>
          <w:rFonts w:hint="eastAsia" w:asciiTheme="minorEastAsia" w:hAnsiTheme="minorEastAsia" w:eastAsiaTheme="minorEastAsia" w:cstheme="minorEastAsia"/>
          <w:color w:val="auto"/>
          <w:spacing w:val="-13"/>
          <w:sz w:val="24"/>
          <w:szCs w:val="24"/>
        </w:rPr>
        <w:t>月</w:t>
      </w:r>
      <w:r>
        <w:rPr>
          <w:rFonts w:hint="eastAsia" w:asciiTheme="minorEastAsia" w:hAnsiTheme="minorEastAsia" w:eastAsiaTheme="minorEastAsia" w:cstheme="minorEastAsia"/>
          <w:color w:val="auto"/>
          <w:spacing w:val="-13"/>
          <w:sz w:val="24"/>
          <w:szCs w:val="24"/>
          <w:u w:val="single"/>
          <w:lang w:val="en-US" w:eastAsia="zh-CN"/>
        </w:rPr>
        <w:t>20</w:t>
      </w:r>
      <w:r>
        <w:rPr>
          <w:rFonts w:hint="eastAsia" w:asciiTheme="minorEastAsia" w:hAnsiTheme="minorEastAsia" w:eastAsiaTheme="minorEastAsia" w:cstheme="minorEastAsia"/>
          <w:color w:val="auto"/>
          <w:spacing w:val="-13"/>
          <w:sz w:val="24"/>
          <w:szCs w:val="24"/>
        </w:rPr>
        <w:t>日</w:t>
      </w:r>
    </w:p>
    <w:p w14:paraId="6279D37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F6D3AB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CFDCF0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E88F7F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60FCA1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C6FBFB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8BF44E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7FD17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3A309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AC8E7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37E684D">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DCA46C7">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AF9AC1E">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3E44CC6">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C7FF8FA">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07153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6BB5B0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8662E9">
      <w:pPr>
        <w:pStyle w:val="5"/>
        <w:keepNext w:val="0"/>
        <w:keepLines w:val="0"/>
        <w:pageBreakBefore w:val="0"/>
        <w:widowControl/>
        <w:numPr>
          <w:ilvl w:val="0"/>
          <w:numId w:val="2"/>
        </w:numPr>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ED1884D">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tbl>
      <w:tblPr>
        <w:tblStyle w:val="18"/>
        <w:tblW w:w="9204" w:type="dxa"/>
        <w:tblInd w:w="-46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60"/>
        <w:gridCol w:w="545"/>
        <w:gridCol w:w="6945"/>
        <w:gridCol w:w="422"/>
        <w:gridCol w:w="832"/>
      </w:tblGrid>
      <w:tr w14:paraId="309714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69E89A3">
            <w:pPr>
              <w:keepNext w:val="0"/>
              <w:keepLines w:val="0"/>
              <w:widowControl/>
              <w:suppressLineNumbers w:val="0"/>
              <w:spacing w:before="0" w:beforeAutospacing="0" w:after="0" w:afterAutospacing="0" w:line="240" w:lineRule="auto"/>
              <w:ind w:left="0" w:right="0" w:firstLine="0"/>
              <w:jc w:val="center"/>
              <w:textAlignment w:val="center"/>
              <w:rPr>
                <w:rFonts w:ascii="Arial" w:hAnsi="Arial" w:cs="Arial"/>
                <w:b w:val="0"/>
                <w:bCs w:val="0"/>
                <w:color w:val="000000"/>
                <w:sz w:val="18"/>
                <w:szCs w:val="18"/>
              </w:rPr>
            </w:pPr>
            <w:r>
              <w:rPr>
                <w:rFonts w:hint="eastAsia" w:ascii="宋体" w:hAnsi="宋体" w:eastAsia="宋体" w:cs="宋体"/>
                <w:b/>
                <w:bCs/>
                <w:caps w:val="0"/>
                <w:snapToGrid w:val="0"/>
                <w:color w:val="000000"/>
                <w:spacing w:val="0"/>
                <w:kern w:val="0"/>
                <w:sz w:val="21"/>
                <w:szCs w:val="21"/>
                <w:lang w:val="en-US" w:eastAsia="zh-CN" w:bidi="ar"/>
              </w:rPr>
              <w:t>序号</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A8E491A">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bCs/>
                <w:caps w:val="0"/>
                <w:snapToGrid w:val="0"/>
                <w:color w:val="000000"/>
                <w:spacing w:val="0"/>
                <w:kern w:val="0"/>
                <w:sz w:val="21"/>
                <w:szCs w:val="21"/>
                <w:lang w:val="en-US" w:eastAsia="zh-CN" w:bidi="ar"/>
              </w:rPr>
              <w:t>名称</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380B035">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bCs/>
                <w:caps w:val="0"/>
                <w:snapToGrid w:val="0"/>
                <w:color w:val="000000"/>
                <w:spacing w:val="0"/>
                <w:kern w:val="0"/>
                <w:sz w:val="21"/>
                <w:szCs w:val="21"/>
                <w:lang w:val="en-US" w:eastAsia="zh-CN" w:bidi="ar"/>
              </w:rPr>
              <w:t>参数要求</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5CDF738">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bCs/>
                <w:caps w:val="0"/>
                <w:snapToGrid w:val="0"/>
                <w:color w:val="000000"/>
                <w:spacing w:val="0"/>
                <w:kern w:val="0"/>
                <w:sz w:val="21"/>
                <w:szCs w:val="21"/>
                <w:lang w:val="en-US" w:eastAsia="zh-CN" w:bidi="ar"/>
              </w:rPr>
              <w:t>单位</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9D61C18">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bCs/>
                <w:caps w:val="0"/>
                <w:snapToGrid w:val="0"/>
                <w:color w:val="000000"/>
                <w:spacing w:val="0"/>
                <w:kern w:val="0"/>
                <w:sz w:val="21"/>
                <w:szCs w:val="21"/>
                <w:lang w:val="en-US" w:eastAsia="zh-CN" w:bidi="ar"/>
              </w:rPr>
              <w:t>数量</w:t>
            </w:r>
          </w:p>
        </w:tc>
      </w:tr>
      <w:tr w14:paraId="04D1D5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5000" w:type="pct"/>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0321EDF">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bCs/>
                <w:caps w:val="0"/>
                <w:snapToGrid w:val="0"/>
                <w:color w:val="000000"/>
                <w:spacing w:val="0"/>
                <w:kern w:val="0"/>
                <w:sz w:val="21"/>
                <w:szCs w:val="21"/>
                <w:lang w:val="en-US" w:eastAsia="zh-CN" w:bidi="ar"/>
              </w:rPr>
              <w:t>一、室外P2.0全彩LED显示屏</w:t>
            </w:r>
          </w:p>
        </w:tc>
      </w:tr>
      <w:tr w14:paraId="1080F7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12D3D0D">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557CEE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户外全彩LED屏</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425328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显示尺寸：5.12*3.84米</w:t>
            </w:r>
          </w:p>
          <w:p w14:paraId="58C608E2">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1、★像素点间距：≤2.0mm</w:t>
            </w:r>
          </w:p>
          <w:p w14:paraId="17D8798B">
            <w:pPr>
              <w:keepNext w:val="0"/>
              <w:keepLines w:val="0"/>
              <w:widowControl/>
              <w:suppressLineNumbers w:val="0"/>
              <w:spacing w:before="0" w:beforeAutospacing="0" w:after="0" w:afterAutospacing="0" w:line="240" w:lineRule="auto"/>
              <w:ind w:left="0" w:right="0" w:firstLine="0"/>
              <w:jc w:val="left"/>
              <w:textAlignment w:val="baseline"/>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vertAlign w:val="baseline"/>
                <w:lang w:val="en-US" w:eastAsia="zh-CN" w:bidi="ar"/>
              </w:rPr>
              <w:t>2、像素密度：≥250000 Dots/</w:t>
            </w:r>
            <w:r>
              <w:rPr>
                <w:rFonts w:hint="eastAsia" w:ascii="宋体" w:hAnsi="宋体" w:eastAsia="宋体" w:cs="宋体"/>
                <w:b w:val="0"/>
                <w:bCs w:val="0"/>
                <w:caps w:val="0"/>
                <w:snapToGrid w:val="0"/>
                <w:color w:val="000000"/>
                <w:spacing w:val="0"/>
                <w:kern w:val="0"/>
                <w:sz w:val="20"/>
                <w:szCs w:val="20"/>
                <w:vertAlign w:val="baseline"/>
                <w:lang w:val="en-US" w:eastAsia="zh-CN" w:bidi="ar"/>
              </w:rPr>
              <w:t>m</w:t>
            </w:r>
            <w:r>
              <w:rPr>
                <w:rFonts w:hint="eastAsia" w:ascii="宋体" w:hAnsi="宋体" w:eastAsia="宋体" w:cs="宋体"/>
                <w:b w:val="0"/>
                <w:bCs w:val="0"/>
                <w:caps w:val="0"/>
                <w:snapToGrid w:val="0"/>
                <w:color w:val="000000"/>
                <w:spacing w:val="0"/>
                <w:kern w:val="0"/>
                <w:sz w:val="15"/>
                <w:szCs w:val="15"/>
                <w:vertAlign w:val="baseline"/>
                <w:lang w:val="en-US" w:eastAsia="zh-CN" w:bidi="ar"/>
              </w:rPr>
              <w:t>2</w:t>
            </w:r>
          </w:p>
          <w:p w14:paraId="1971745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3、单元板分辨率：≥12800 Dots</w:t>
            </w:r>
          </w:p>
          <w:p w14:paraId="4502E4B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4、显示效果：4K超清显示、色温均匀性好、亮度均匀性好，对比度高、色域广</w:t>
            </w:r>
          </w:p>
          <w:p w14:paraId="570B6F1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5、驱动方式：恒流驱动</w:t>
            </w:r>
          </w:p>
          <w:p w14:paraId="5ECECD1F">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6、供电方式：支持电源均流DC4.2V～DC5V，供电支持电源双输出电压DC2.8V/DC3.8V</w:t>
            </w:r>
          </w:p>
          <w:p w14:paraId="0738ED24">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7、▲整屏平整度：≤0.05mm</w:t>
            </w:r>
          </w:p>
          <w:p w14:paraId="5820EAC7">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8、模组平整度：≤0.03mm</w:t>
            </w:r>
          </w:p>
          <w:p w14:paraId="14BD119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9、拼接缝：≤0.03mm</w:t>
            </w:r>
          </w:p>
          <w:p w14:paraId="7EC143D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10、白平衡亮度：≥6000Cd/m²</w:t>
            </w:r>
          </w:p>
          <w:p w14:paraId="5C8A45B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11、亮度均匀性：≥98%</w:t>
            </w:r>
          </w:p>
          <w:p w14:paraId="669FF2F0">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12、色度均匀性：±0.001Cx、Cy内</w:t>
            </w:r>
          </w:p>
          <w:p w14:paraId="1A1953B9">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13、色温：800-18000K</w:t>
            </w:r>
          </w:p>
          <w:p w14:paraId="668F8B4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14、水平视角：≥165°</w:t>
            </w:r>
          </w:p>
          <w:p w14:paraId="30CB166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15、垂直视角：≥165°</w:t>
            </w:r>
          </w:p>
          <w:p w14:paraId="789BE11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16、对比度：≥9000：1</w:t>
            </w:r>
          </w:p>
          <w:p w14:paraId="679F898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17、刷新率：≥3840Hz</w:t>
            </w:r>
          </w:p>
          <w:p w14:paraId="5BFEE9F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18、像素失控率：&lt;1/100000</w:t>
            </w:r>
          </w:p>
          <w:p w14:paraId="7E56A4A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19、发光点中心偏距：＜0.8%</w:t>
            </w:r>
          </w:p>
          <w:p w14:paraId="75A8871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20、峰值功耗：≤600W/m²</w:t>
            </w:r>
          </w:p>
          <w:p w14:paraId="2D20D650">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21、平均功耗：≤200W/m²</w:t>
            </w:r>
          </w:p>
          <w:p w14:paraId="1CC5E3C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22、最大电流：≤5A</w:t>
            </w:r>
          </w:p>
          <w:p w14:paraId="28F73232">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23、电流增益：电流增益调节范围：1%～199%，电流增益调节级别≥8位</w:t>
            </w:r>
          </w:p>
          <w:p w14:paraId="5A46DF2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24、具有列下消隐功能、倍频刷新率提升2/4/8倍、低灰偏色改善</w:t>
            </w:r>
          </w:p>
          <w:p w14:paraId="525F5157">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25、色温为6500K时，100%、75%、50%、25%四档电平白场调节色温误差≤200K</w:t>
            </w:r>
          </w:p>
          <w:p w14:paraId="01B0209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26、PCB板材采用玻璃化温度≥150℃的覆铜板；PCB板采用FR-4材质，电路采用多层设计，符合CQC13-471301-2018国家标准</w:t>
            </w:r>
          </w:p>
          <w:p w14:paraId="78E96C80">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27、每个灯芯的波长误差值在±1nm以内，每个灯芯的亮度误差在5%以内</w:t>
            </w:r>
          </w:p>
          <w:p w14:paraId="45A4FE4F">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28、具有H2S宽动态处理技术，解决主控机二次重复播放时的衰减等现象</w:t>
            </w:r>
          </w:p>
          <w:p w14:paraId="1DD1A0E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29、屏幕表面光反射率：照度=10Lux/5600K条件下， 显示屏屏幕表面光反射率 （单位面积反射亮度）＜3.0cd/m²</w:t>
            </w:r>
          </w:p>
          <w:p w14:paraId="3017FFF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30、绝缘电阻：在器具输入插座端或者电源引入端子与外壳裸露金属部件之间的绝缘电阻在正常大气条件下应≥100MΩ，湿热条件下应≥2MΩ</w:t>
            </w:r>
          </w:p>
          <w:p w14:paraId="03F7ED2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31、抗拉强度：≥230Mpa</w:t>
            </w:r>
          </w:p>
          <w:p w14:paraId="13D10B9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32、屈服强度：≥170Mpa</w:t>
            </w:r>
          </w:p>
          <w:p w14:paraId="56B53C2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33、灰度等级：采用16bit技术</w:t>
            </w:r>
          </w:p>
          <w:p w14:paraId="717BBAEF">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34、采用EPWM 灰阶控制技术提升低灰视觉效果，100%亮度时，16bit灰度；70%亮度，16bit灰度；50%亮度，16bit灰度；20%亮度，14bit灰度，显示画面无单列或单行像素失控现象；支持0-100%亮度时，8-16bits灰度自定义设置</w:t>
            </w:r>
          </w:p>
          <w:p w14:paraId="5CF56B0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35、支持鬼影消除、首行暗亮消除、低灰偏色补偿、低灰均匀性、低灰横条纹消除、慢速开启、十字架消除、去坏点、毛毛虫消除、余辉消除、亮度缓慢变亮功能</w:t>
            </w:r>
          </w:p>
          <w:p w14:paraId="74E95EC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36、抗电强度：在器具输入插座端与屏正面之间施加试验电压3kv/50Hz，保持1min，不应出现飞弧和击穿现象</w:t>
            </w:r>
          </w:p>
          <w:p w14:paraId="03F160F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37、LED显示屏图像质量主观评价优、支持4K超清技术、HDR高动态光照渲染技术；符合LED显示屏绿色健康分级认证技术</w:t>
            </w:r>
          </w:p>
          <w:p w14:paraId="324CE15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38、具有多点测温系统、通讯检测、电源检测、可实现远程监督控制，对可能发生的潜在故障记录日志，并向操作员发出警报信息</w:t>
            </w:r>
          </w:p>
          <w:p w14:paraId="17F42B1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39、具有单点亮度校正，校正后亮度损失≤8%；具有颜色校正功能，具有灰度校正，支持模组校正，具有校正数据存储及自动回读功能</w:t>
            </w:r>
          </w:p>
          <w:p w14:paraId="333151E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40、可实现LED单点检测，通讯检测、温度检测、电源检测、温度监控等功能。</w:t>
            </w:r>
          </w:p>
          <w:p w14:paraId="7A0F6E5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41、数据备份：数据记忆储存于LED显示模块箱体中，更换箱体设备时，无需重新设定参数</w:t>
            </w:r>
          </w:p>
          <w:p w14:paraId="7579D5C9">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42、▲产品采用高端芯片，可智能调节正常工作与睡眠状态下的节能效果（动态节能，智能息屏），开启智能节电功能比没有开启节能45%以上</w:t>
            </w:r>
          </w:p>
          <w:p w14:paraId="5CDD36F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43、防护性能：具有防静电、防电磁干扰、防腐蚀、防霉菌、防虫、防潮、抗震动、抗雷击等功能；具有电源过压、过流、断电保护、分布上电措施、防护等级达到IP65</w:t>
            </w:r>
          </w:p>
          <w:p w14:paraId="3CF1247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44、LED显示屏通过在正常环境下168h不间断运行无故障的老化测试</w:t>
            </w:r>
          </w:p>
          <w:p w14:paraId="6765946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45、使用寿命：≥100000h</w:t>
            </w:r>
          </w:p>
          <w:p w14:paraId="4A4DD4F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46、平均无故障时间：MTBF平均无故障时间≥20000h；MTTR平均修复时间≤4分钟</w:t>
            </w:r>
          </w:p>
          <w:p w14:paraId="62912A5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47、屏幕温升：最高亮度（白平衡）持续工作4小时，模组表面温升小于20K</w:t>
            </w:r>
          </w:p>
          <w:p w14:paraId="319ACEF2">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48、为确保屏体在不同的环境下仍可正常启动工作，要求投标人所投LED显示屏须通过零下40℃和高温80℃的环境运行12h产品能正常工作。</w:t>
            </w:r>
          </w:p>
          <w:p w14:paraId="0E9A5A52">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49、支持自动GAMMA校正技术，16bit自动调节，通过构造非线性校正曲线和色坐标变换系数矩阵实现了显示效果的不断改善，各项重要指标如色彩还原性、色温调节范围、亮度均匀性、色度均匀性、刷新率、换帧频率等，均符合广电级标准</w:t>
            </w:r>
          </w:p>
          <w:p w14:paraId="7FB5241E">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50、光生物安全检测：无危害类：8h（30000s）曝辐中不造成光化学紫外危害（ES），并在16min（1000s）内不造成近紫外危害（EUVA），并在2.8h（10000s）内不造成对视网膜蓝光危害（LB）并在10s内不造成对视网膜热危害（LR），且在1000s内不造成对眼睛的红外辐射危害（EIR）</w:t>
            </w:r>
          </w:p>
          <w:p w14:paraId="0A650D9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51、盐雾：盐雾10级</w:t>
            </w:r>
          </w:p>
          <w:p w14:paraId="26663B7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52、阻燃：PCB板、防火保护外壳及内部其他元器件均达到V-0等级</w:t>
            </w:r>
          </w:p>
          <w:p w14:paraId="09E978EF">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53、产品通过 GB/T9254-2008《信息技术设备的无线电骚扰限值和测量方法》试验，辐射干扰检测结果符合标准规范要求，符合ClassB限值要求。在30-230MHz频率范围内，峰值限值 dB≤41μV/m；在230-1000MHz频率范围内，峰值限值 dB≤46μV/m</w:t>
            </w:r>
          </w:p>
          <w:p w14:paraId="526F913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54、支持一键点屏技术，开机后自动识别系统连接，无需重置系统配置</w:t>
            </w:r>
          </w:p>
          <w:p w14:paraId="6B8A1A2E">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55、箱体防护等级：IK10</w:t>
            </w:r>
          </w:p>
          <w:p w14:paraId="4CE2582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56、抗震实验：显示屏通过YD 5083-2005标准抗震测试，测试结果满足抗震10级</w:t>
            </w:r>
          </w:p>
          <w:p w14:paraId="4E44F36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57、防呆设计：模组电源接口采用 4P 接插头，免工具维护,同时有防呆设计</w:t>
            </w:r>
          </w:p>
          <w:p w14:paraId="238B194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58、摩尔纹抑制功能：显示屏支持抑制摩尔纹功能，减轻摩尔纹视觉主观效果80%</w:t>
            </w:r>
          </w:p>
          <w:p w14:paraId="016538F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59、高海拔工作试验：5000米海拔环境下，产品可正常工作</w:t>
            </w:r>
          </w:p>
          <w:p w14:paraId="4F14C43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60、表面硬度：具备划痕性能技术,表面硬度≥15H</w:t>
            </w:r>
          </w:p>
          <w:p w14:paraId="40284334">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61、浪涌 （冲击）抗扰度：LED 显示屏通过符合 GB/T17626.5-2008 标准的浪涌 （冲击）抗扰度试验</w:t>
            </w:r>
          </w:p>
          <w:p w14:paraId="2E4D6C5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62、具备防蓝光护眼功能，蓝光辐射能量≤20%。蓝光辐射能量值对人眼视网膜无伤害，LED显示屏蓝光辐亮度≤80W.m-2.sr-1,符合肉眼观看标准。</w:t>
            </w:r>
          </w:p>
          <w:p w14:paraId="3904236F">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63、防尘等级：IPX6滑石粉密度：2KG/m3网孔径75um使用次数：小于20次，实验时间8H。试验后检查样品无进尘现象。屏幕防尘等级符合IP6X（防尘）</w:t>
            </w:r>
          </w:p>
          <w:p w14:paraId="60E6D3EF">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64、产品符合TIRT-GK-JS-55-2020《显示设备显示性能视觉健康认证技术规范第5部分：室内图像显示系统显示屏》技术标准</w:t>
            </w:r>
          </w:p>
          <w:p w14:paraId="62F9FE1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65、▲要求投标人所投LED显示屏支持DVI、VGA、SDI输入、支持HDMI视频输入、支持视频PAL/NTSC制式自适应、支持复合视频信号、支持USB输入、支持IP输入、支持CVBS/DP/HDBASE输入、支持光纤/网络等接口输入。</w:t>
            </w:r>
          </w:p>
          <w:p w14:paraId="3ADCE219">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66、所投LED显示屏产品在1×105～1×109Ω技术要求下满足点对点电阻（A面）≤2.74×108；点对点电阻（B面）≤2.83×108；并且在（±1000-±100V）≤2S的技术要求下满足静电电压衰减期值：（+V：≤0.26S，-V：≤0.31S）</w:t>
            </w:r>
          </w:p>
          <w:p w14:paraId="5607194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67、所投LED显示屏的灯管耐焊耐热：灯珠引脚无氧化,焊接正常,灯珠胶体正常,点亮正常；灯管抗静电(ESD)测试：HBM模式:ESD&gt;2000V,灯珠点亮无异常；灯管红墨水试验：纯红墨水常温浸泡24h,无渗透,灯管气密性良好。</w:t>
            </w:r>
          </w:p>
          <w:p w14:paraId="52796B04">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68、为不影响屏体周边人员的健康，要求投标人所投LED显示屏在正常工作中，显示屏1m范围内，前后左右4个位置噪音不大于1.4dB；所投LED显示屏观看舒适度需符合：人眼视觉舒适度(VICO)1级，基本无疲劳感。</w:t>
            </w:r>
          </w:p>
          <w:p w14:paraId="76FE00E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以上1-68技术参数需提供由权威检测机构出具带有“CNAS”、“CMA”、“ilac-MRA”标志的检测报告（提供相关证书复印件）。</w:t>
            </w:r>
          </w:p>
          <w:p w14:paraId="2D6C9327">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69、所投产品具备高光效集成线路控制系统、集成泛光灯线路控制系统（提供相关证书复印件）</w:t>
            </w:r>
          </w:p>
          <w:p w14:paraId="54C8B61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70、所投产品支持坏点逐级校正检测（提供相关证书复印件）</w:t>
            </w:r>
          </w:p>
          <w:p w14:paraId="40B948C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71、提供LED显示屏老化测试软件。（提供相关证书复印件）</w:t>
            </w:r>
          </w:p>
          <w:p w14:paraId="198D0D6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72、所投产品支持屏幕智能组态电源检测（提供相关证书复印件）</w:t>
            </w:r>
          </w:p>
          <w:p w14:paraId="7D6FCAC7">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▲所投产品具有CCC、CE、ROHS、FCC认证证书（提供相关证书复印件）</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C660DD4">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0"/>
                <w:szCs w:val="20"/>
                <w:lang w:val="en-US" w:eastAsia="zh-CN" w:bidi="ar"/>
              </w:rPr>
              <w:t>m</w:t>
            </w:r>
            <w:r>
              <w:rPr>
                <w:rFonts w:hint="eastAsia" w:ascii="宋体" w:hAnsi="宋体" w:eastAsia="宋体" w:cs="宋体"/>
                <w:b w:val="0"/>
                <w:bCs w:val="0"/>
                <w:caps w:val="0"/>
                <w:snapToGrid w:val="0"/>
                <w:color w:val="000000"/>
                <w:spacing w:val="0"/>
                <w:kern w:val="0"/>
                <w:sz w:val="15"/>
                <w:szCs w:val="15"/>
                <w:vertAlign w:val="baseline"/>
                <w:lang w:val="en-US" w:eastAsia="zh-CN" w:bidi="ar"/>
              </w:rPr>
              <w:t>2</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A3D2DBD">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19.66</w:t>
            </w:r>
          </w:p>
        </w:tc>
      </w:tr>
      <w:tr w14:paraId="6D66E0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D0F1025">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EBB4D8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视频处理器</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8F83F2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•支持丰富的数字信号接口，包括1路SDI，1路HDMI，2路DVI；</w:t>
            </w:r>
          </w:p>
          <w:p w14:paraId="3214F04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•最大输入分辨率1920*1200@60Hz，支持分辨率任意设置；</w:t>
            </w:r>
          </w:p>
          <w:p w14:paraId="5F45CED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•最大带载390万像素，最宽可达8192点，或最高可达4096点；</w:t>
            </w:r>
          </w:p>
          <w:p w14:paraId="56145C6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•支持视频源任意切换，任意缩放；</w:t>
            </w:r>
          </w:p>
          <w:p w14:paraId="6A58B7E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•支持三画面显示，位置、大小可自由调节；</w:t>
            </w:r>
          </w:p>
          <w:p w14:paraId="5391D76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•支持HDCP高带宽数字内容保护技术；</w:t>
            </w:r>
          </w:p>
          <w:p w14:paraId="7EFEAFB9">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•双USB2.0高速通讯接口，用于电脑调试和主控间任意级联；</w:t>
            </w:r>
          </w:p>
          <w:p w14:paraId="4059F31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•支持亮度和色温调节；</w:t>
            </w:r>
          </w:p>
          <w:p w14:paraId="2092256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•支持低亮高灰；</w:t>
            </w:r>
          </w:p>
          <w:p w14:paraId="2FD9C0A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须提供设备生产商针对本项目的授权和售后服务承诺函（加盖厂家公章）。</w:t>
            </w:r>
          </w:p>
          <w:p w14:paraId="47BDD45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支持亮度调节在低亮度时显示画面层次,小间距LED显示屏的亮度10%以下，灰度损失的程度在人眼难以觉察的范围，此功能可以在低亮度的情况下表现更广灰阶范围， 需提供具有CMA、CNAS、ilac-MRA认证标识的第三方厂家检测报告，并加盖供应商鲜章；</w:t>
            </w:r>
          </w:p>
          <w:p w14:paraId="295332FE">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在-20°C-65°C下，控制器所有功能打开且参数设置到最大依然能正常工作，一直连续开断电处理，控制器依然可以正常启动工作， 机箱结构配合散热风扇达到很好的扇热效果，需提供具有CMA、CNAS、ilac-MRA认证标识的第三方厂家检测报告，并加盖供应商鲜章；</w:t>
            </w:r>
          </w:p>
          <w:p w14:paraId="7586E97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支持自动倍频、2 倍频、3 倍频，采用独特的倍频算法，针对视频源信号小于 30hz 可启用 2 倍频，小于 20hz 可启用 3 倍频，可以将输入信号转成 60Hz 信号输出，提高画面显示效果，信号最高帧率可达 100Hz，需提供具有CMA、CNAS、ilac-MRA认证标识的第三方厂家检测报告，并加盖供应商鲜章；</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5D3B684">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台</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A275DAC">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w:t>
            </w:r>
          </w:p>
        </w:tc>
      </w:tr>
      <w:tr w14:paraId="02A67D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E74B486">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24636F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配电柜</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E7EEF0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1、防伪功能 具备logo、产品型号</w:t>
            </w:r>
          </w:p>
          <w:p w14:paraId="0DB16A5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2、安全性 内部线材均采用4平方厘米国标纯铜导线；</w:t>
            </w:r>
          </w:p>
          <w:p w14:paraId="3A9A0250">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3、双重开关控制 具备自动/手动控制设备供电的开启和关闭；</w:t>
            </w:r>
          </w:p>
          <w:p w14:paraId="4278B1E4">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4、多组输出回路 每组可独立控制，如照明输出、风机/空调输出分路、显示屏输出分路分开控制</w:t>
            </w:r>
          </w:p>
          <w:p w14:paraId="1B9CFC1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5、上电保护功能 具有延时启动、浪涌保护、防雷、过流、短路等保护功能；</w:t>
            </w:r>
          </w:p>
          <w:p w14:paraId="39CBCD04">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6、功能性检测 具有电源状态指示、运行状态指示、风机、空调指示、检修多功能插座及检修照明开关；</w:t>
            </w:r>
          </w:p>
          <w:p w14:paraId="47D2E0B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7、额定工作电压 380V/220V</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5A339B2">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0"/>
                <w:szCs w:val="20"/>
                <w:lang w:val="en-US" w:eastAsia="zh-CN" w:bidi="ar"/>
              </w:rPr>
              <w:t>台</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B627FA7">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0"/>
                <w:szCs w:val="20"/>
                <w:lang w:val="en-US" w:eastAsia="zh-CN" w:bidi="ar"/>
              </w:rPr>
              <w:t>1</w:t>
            </w:r>
          </w:p>
        </w:tc>
      </w:tr>
      <w:tr w14:paraId="2CE50B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CBF3C46">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0F591A0">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轴流风机</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462500F">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定制轴型风机</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75583E1">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台</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7865B37">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w:t>
            </w:r>
          </w:p>
        </w:tc>
      </w:tr>
      <w:tr w14:paraId="381263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2C628D2">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48A810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屏体结构</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963D83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1、钢结构：钢架构件（含接合板）采用Q235B钢制作，结构用钢应符合《GB50017-2003钢结构设计规范》规定的Q235要求，保证其抗拉强度、伸长率、屈服点，碳、硫、磷的极限含量；</w:t>
            </w:r>
          </w:p>
          <w:p w14:paraId="4384D40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2、焊条：手工焊：Q235连接用E43系列焊条；</w:t>
            </w:r>
          </w:p>
          <w:p w14:paraId="50D0072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3、自动焊：Q235连接用H08系列焊条；</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DF4FD1C">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0"/>
                <w:szCs w:val="20"/>
                <w:lang w:val="en-US" w:eastAsia="zh-CN" w:bidi="ar"/>
              </w:rPr>
              <w:t>m</w:t>
            </w:r>
            <w:r>
              <w:rPr>
                <w:rFonts w:hint="eastAsia" w:ascii="宋体" w:hAnsi="宋体" w:eastAsia="宋体" w:cs="宋体"/>
                <w:b w:val="0"/>
                <w:bCs w:val="0"/>
                <w:caps w:val="0"/>
                <w:snapToGrid w:val="0"/>
                <w:color w:val="000000"/>
                <w:spacing w:val="0"/>
                <w:kern w:val="0"/>
                <w:sz w:val="15"/>
                <w:szCs w:val="15"/>
                <w:vertAlign w:val="baseline"/>
                <w:lang w:val="en-US" w:eastAsia="zh-CN" w:bidi="ar"/>
              </w:rPr>
              <w:t>2</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552F74C">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0"/>
                <w:szCs w:val="20"/>
                <w:lang w:val="en-US" w:eastAsia="zh-CN" w:bidi="ar"/>
              </w:rPr>
              <w:t>23.4</w:t>
            </w:r>
          </w:p>
        </w:tc>
      </w:tr>
      <w:tr w14:paraId="6BD79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AD6DB47">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518AAC4">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电力电缆</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D054AA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YJV-4*16+1*4</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679C310">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米</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25F2CA4">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150</w:t>
            </w:r>
          </w:p>
        </w:tc>
      </w:tr>
      <w:tr w14:paraId="396C0B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vAlign w:val="center"/>
          </w:tcPr>
          <w:p w14:paraId="65EB422C">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7</w:t>
            </w:r>
          </w:p>
        </w:tc>
        <w:tc>
          <w:tcPr>
            <w:tcW w:w="296" w:type="pct"/>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vAlign w:val="center"/>
          </w:tcPr>
          <w:p w14:paraId="14A41DA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网线</w:t>
            </w:r>
          </w:p>
        </w:tc>
        <w:tc>
          <w:tcPr>
            <w:tcW w:w="3772" w:type="pct"/>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vAlign w:val="center"/>
          </w:tcPr>
          <w:p w14:paraId="6942E8C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网线</w:t>
            </w:r>
          </w:p>
        </w:tc>
        <w:tc>
          <w:tcPr>
            <w:tcW w:w="229" w:type="pct"/>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vAlign w:val="center"/>
          </w:tcPr>
          <w:p w14:paraId="34AB60A2">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米</w:t>
            </w:r>
          </w:p>
        </w:tc>
        <w:tc>
          <w:tcPr>
            <w:tcW w:w="451" w:type="pct"/>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vAlign w:val="center"/>
          </w:tcPr>
          <w:p w14:paraId="58F23F76">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538.6</w:t>
            </w:r>
          </w:p>
        </w:tc>
      </w:tr>
      <w:tr w14:paraId="1E4A3A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3D298C7">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8</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BD5A730">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音柱</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285A77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150w防雨音柱</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BDF4124">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台</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7F44173">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w:t>
            </w:r>
          </w:p>
        </w:tc>
      </w:tr>
      <w:tr w14:paraId="7F58ED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3535C1D">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9</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AD7FF0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多媒体功放机</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AC09AFF">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300W</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32BD3E1">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台</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757FE1E">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w:t>
            </w:r>
          </w:p>
        </w:tc>
      </w:tr>
      <w:tr w14:paraId="084453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C5698B6">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10</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17AA5A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操作电脑</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09F974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品牌机，十三代i5CPU，32G内存，1T固态硬盘，8G显存，27寸显示器</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710D434">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台</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908859A">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w:t>
            </w:r>
          </w:p>
        </w:tc>
      </w:tr>
      <w:tr w14:paraId="2AFA1B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5000" w:type="pct"/>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711D33E">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bCs/>
                <w:caps w:val="0"/>
                <w:snapToGrid w:val="0"/>
                <w:color w:val="000000"/>
                <w:spacing w:val="0"/>
                <w:kern w:val="0"/>
                <w:sz w:val="21"/>
                <w:szCs w:val="21"/>
                <w:lang w:val="en-US" w:eastAsia="zh-CN" w:bidi="ar"/>
              </w:rPr>
              <w:t>二、户外P5全彩LED条屏</w:t>
            </w:r>
          </w:p>
        </w:tc>
      </w:tr>
      <w:tr w14:paraId="5D400A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F781AE0">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6F32C80">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LED条屏</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9B7FBA4">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1、★像素点间距：≤5mm</w:t>
            </w:r>
          </w:p>
          <w:p w14:paraId="65013E4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2、像素密度：≥40000 Dots/</w:t>
            </w:r>
            <w:r>
              <w:rPr>
                <w:rFonts w:hint="eastAsia" w:ascii="宋体" w:hAnsi="宋体" w:eastAsia="宋体" w:cs="宋体"/>
                <w:b w:val="0"/>
                <w:bCs w:val="0"/>
                <w:caps w:val="0"/>
                <w:snapToGrid w:val="0"/>
                <w:color w:val="000000"/>
                <w:spacing w:val="0"/>
                <w:kern w:val="0"/>
                <w:sz w:val="20"/>
                <w:szCs w:val="20"/>
                <w:lang w:val="en-US" w:eastAsia="zh-CN" w:bidi="ar"/>
              </w:rPr>
              <w:t>m</w:t>
            </w:r>
            <w:r>
              <w:rPr>
                <w:rFonts w:hint="eastAsia" w:ascii="宋体" w:hAnsi="宋体" w:eastAsia="宋体" w:cs="宋体"/>
                <w:b w:val="0"/>
                <w:bCs w:val="0"/>
                <w:caps w:val="0"/>
                <w:snapToGrid w:val="0"/>
                <w:color w:val="000000"/>
                <w:spacing w:val="0"/>
                <w:kern w:val="0"/>
                <w:sz w:val="15"/>
                <w:szCs w:val="15"/>
                <w:vertAlign w:val="baseline"/>
                <w:lang w:val="en-US" w:eastAsia="zh-CN" w:bidi="ar"/>
              </w:rPr>
              <w:t>2</w:t>
            </w:r>
          </w:p>
          <w:p w14:paraId="6F8D449E">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3、单元板分辨率：≥2048 Dots</w:t>
            </w:r>
          </w:p>
          <w:p w14:paraId="113D3319">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4、显示效果：4K超清显示、色温均匀性好、亮度均匀性好，对比度高、色域广</w:t>
            </w:r>
          </w:p>
          <w:p w14:paraId="5BEDDEF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5、驱动方式：恒流驱动</w:t>
            </w:r>
          </w:p>
          <w:p w14:paraId="023805D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6、供电方式：支持电源均流DC4.2V～DC5V，供电支持电源双输出电压DC2.8V/DC3.8V</w:t>
            </w:r>
          </w:p>
          <w:p w14:paraId="33A8CF7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7、▲整屏平整度：≤0.05mm</w:t>
            </w:r>
          </w:p>
          <w:p w14:paraId="1F1F1D87">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8、模组平整度：≤0.03mm</w:t>
            </w:r>
          </w:p>
          <w:p w14:paraId="261B7794">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9、拼接缝：≤0.03mm</w:t>
            </w:r>
          </w:p>
          <w:p w14:paraId="73F9CE7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10、白平衡亮度：≥5000Cd/m²</w:t>
            </w:r>
          </w:p>
          <w:p w14:paraId="1346FB7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11、亮度均匀性：≥98%</w:t>
            </w:r>
          </w:p>
          <w:p w14:paraId="65CACC0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12、色度均匀性：±0.001Cx、Cy内</w:t>
            </w:r>
          </w:p>
          <w:p w14:paraId="0BE7E7D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13、色温：800-18000K</w:t>
            </w:r>
          </w:p>
          <w:p w14:paraId="19C2C63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14、水平视角：≥160°</w:t>
            </w:r>
          </w:p>
          <w:p w14:paraId="66C4773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15、垂直视角：≥160°</w:t>
            </w:r>
          </w:p>
          <w:p w14:paraId="5137B252">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16、对比度：≥8000：1</w:t>
            </w:r>
          </w:p>
          <w:p w14:paraId="2432C3AF">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17、刷新率：≥1920Hz</w:t>
            </w:r>
          </w:p>
          <w:p w14:paraId="1D962B5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18、像素失控率：&lt;1/100000</w:t>
            </w:r>
          </w:p>
          <w:p w14:paraId="455913B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19、发光点中心偏距：＜0.8%</w:t>
            </w:r>
          </w:p>
          <w:p w14:paraId="29A0D99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20、峰值功耗：≤600W/m²</w:t>
            </w:r>
          </w:p>
          <w:p w14:paraId="53BF32C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21、平均功耗：≤200W/m²</w:t>
            </w:r>
          </w:p>
          <w:p w14:paraId="50DCF054">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22、最大电流：≤5A</w:t>
            </w:r>
          </w:p>
          <w:p w14:paraId="195BE39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23、电流增益：电流增益调节范围：1%～199%，电流增益调节级别≥8位</w:t>
            </w:r>
          </w:p>
          <w:p w14:paraId="2BE87AB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24、具有列下消隐功能、倍频刷新率提升2/4/8倍、低灰偏色改善</w:t>
            </w:r>
          </w:p>
          <w:p w14:paraId="4E45466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25、色温为6500K时，100%、75%、50%、25%四档电平白场调节色温误差≤200K</w:t>
            </w:r>
          </w:p>
          <w:p w14:paraId="0CD395E4">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26、PCB板材采用玻璃化温度≥150℃的覆铜板；PCB板采用FR-4材质，电路采用多层设计，符合CQC13-471301-2018国家标准</w:t>
            </w:r>
          </w:p>
          <w:p w14:paraId="237C301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27、每个灯芯的波长误差值在±1nm以内，每个灯芯的亮度误差在5%以内</w:t>
            </w:r>
          </w:p>
          <w:p w14:paraId="39C3592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28、具有H2S宽动态处理技术，解决主控机二次重复播放时的衰减等现象</w:t>
            </w:r>
          </w:p>
          <w:p w14:paraId="76DD0CB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29、屏幕表面光反射率：照度=10Lux/5600K条件下， 显示屏屏幕表面光反射率 （单位面积反射亮度）＜3.0cd/m²</w:t>
            </w:r>
          </w:p>
          <w:p w14:paraId="7BD0207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30、绝缘电阻：在器具输入插座端或者电源引入端子与外壳裸露金属部件之间的绝缘电阻在正常大气条件下应≥100MΩ，湿热条件下应≥2MΩ</w:t>
            </w:r>
          </w:p>
          <w:p w14:paraId="0898B22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31、抗拉强度：≥230Mpa</w:t>
            </w:r>
          </w:p>
          <w:p w14:paraId="03D872D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32、屈服强度：≥170Mpa</w:t>
            </w:r>
          </w:p>
          <w:p w14:paraId="267978D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33、灰度等级：采用14bit技术</w:t>
            </w:r>
          </w:p>
          <w:p w14:paraId="551335D7">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34、采用EPWM 灰阶控制技术提升低灰视觉效果，100%亮度时，14bit灰度；70%亮度，14bit灰度；50%亮度，14bit灰度；20%亮度，12bit灰度，显示画面无单列或单行像素失控现象；支持0-100%亮度时，8-14bits灰度自定义设置。</w:t>
            </w:r>
          </w:p>
          <w:p w14:paraId="48980F0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35、支持鬼影消除、首行暗亮消除、低灰偏色补偿、低灰均匀性、低灰横条纹消除、慢速开启、十字架消除、去坏点、毛毛虫消除、余辉消除、亮度缓慢变亮功能</w:t>
            </w:r>
          </w:p>
          <w:p w14:paraId="36A7EBD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36、抗电强度：在器具输入插座端与屏正面之间施加试验电压3kv/50Hz，保持1min，不应出现飞弧和击穿现象</w:t>
            </w:r>
          </w:p>
          <w:p w14:paraId="15ADD5B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37、LED显示屏图像质量主观评价优、支持4K超清技术、HDR高动态光照渲染技术；符合LED显示屏绿色健康分级认证技术</w:t>
            </w:r>
          </w:p>
          <w:p w14:paraId="2412F580">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38、具有多点测温系统、通讯检测、电源检测、可实现远程监督控制，对可能发生的潜在故障记录日志，并向操作员发出警报信息</w:t>
            </w:r>
          </w:p>
          <w:p w14:paraId="3B21F92F">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39、具有单点亮度校正，校正后亮度损失≤8%；具有颜色校正功能，具有灰度校正，支持模组校正，具有校正数据存储及自动回读功能</w:t>
            </w:r>
          </w:p>
          <w:p w14:paraId="3EBD165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40、可实现LED单点检测，通讯检测、温度检测、电源检测、温度监控等功能。</w:t>
            </w:r>
          </w:p>
          <w:p w14:paraId="07B944A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41、数据备份：数据记忆储存于LED显示模块箱体中，更换箱体设备时，无需重新设定参数</w:t>
            </w:r>
          </w:p>
          <w:p w14:paraId="2350B977">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42、产品采用高端芯片，可智能调节正常工作与睡眠状态下的节能效果（动态节能，智能息屏），开启智能节电功能比没有开启节能45%以上</w:t>
            </w:r>
          </w:p>
          <w:p w14:paraId="6355B47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43、防护性能：具有防静电、防电磁干扰、防腐蚀、防霉菌、防虫、防潮、抗震动、抗雷击等功能；具有电源过压、过流、断电保护、分布上电措施、防护等级达到IP65</w:t>
            </w:r>
          </w:p>
          <w:p w14:paraId="76483FF9">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44、LED显示屏通过在正常环境下168h不间断运行无故障的老化测试</w:t>
            </w:r>
          </w:p>
          <w:p w14:paraId="105D119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45、使用寿命：≥100000h</w:t>
            </w:r>
          </w:p>
          <w:p w14:paraId="37FAA90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46、平均无故障时间：MTBF平均无故障时间≥20000h；MTTR平均修复时间≤4分钟</w:t>
            </w:r>
          </w:p>
          <w:p w14:paraId="2DA989D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47、屏幕温升：最高亮度（白平衡）持续工作4小时，模组表面温升小于20K</w:t>
            </w:r>
          </w:p>
          <w:p w14:paraId="0733BE44">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48、为确保屏体在不同的环境下仍可正常启动工作，要求投标人所投LED显示屏须通过零下40℃和高温80℃的环境运行12h产品能正常工作。</w:t>
            </w:r>
          </w:p>
          <w:p w14:paraId="51FBDB34">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49、支持自动GAMMA校正技术，14bit自动调节，通过构造非线性校正曲线和色坐标变换系数矩阵实现了显示效果的不断改善，各项重要指标如色彩还原性、色温调节范围、亮度均匀性、色度均匀性、刷新率、换帧频率等，均符合广电级标准</w:t>
            </w:r>
          </w:p>
          <w:p w14:paraId="24BE048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50、光生物安全检测：无危害类：8h（30000s）曝辐中不造成光化学紫外危害（ES），并在16min（1000s）内不造成近紫外危害（EUVA），并在2.8h（10000s）内不造成对视网膜蓝光危害（LB）并在10s内不造成对视网膜热危害（LR），且在1000s内不造成对眼睛的红外辐射危害（EIR）</w:t>
            </w:r>
          </w:p>
          <w:p w14:paraId="46D4490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51、盐雾：盐雾10级</w:t>
            </w:r>
          </w:p>
          <w:p w14:paraId="6C4A91B0">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52、阻燃：PCB板、防火保护外壳及内部其他元器件均达到V-0等级</w:t>
            </w:r>
          </w:p>
          <w:p w14:paraId="32DAA08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53、产品通过 GB/T9254-2008《信息技术设备的无线电骚扰限值和测量方法》试验，辐射干扰检测结果符合标准规范要求，符合ClassB限值要求。在30-230MHz频率范围内，峰值限值 dB≤41μV/m；在230-1000MHz频率范围内，峰值限值 dB≤46μV/m</w:t>
            </w:r>
          </w:p>
          <w:p w14:paraId="63210F7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54、支持一键点屏技术，开机后自动识别系统连接，无需重置系统配置</w:t>
            </w:r>
          </w:p>
          <w:p w14:paraId="371B330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55、箱体防护等级：IK10</w:t>
            </w:r>
          </w:p>
          <w:p w14:paraId="5ABDFB5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56、抗震实验：显示屏通过YD 5083-2005标准抗震测试，测试结果满足抗震10级</w:t>
            </w:r>
          </w:p>
          <w:p w14:paraId="063CF69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57、防呆设计：模组电源接口采用4P 接插头，免工具维护,同时有防呆设计</w:t>
            </w:r>
          </w:p>
          <w:p w14:paraId="05FB1A1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58、摩尔纹抑制功能：显示屏支持抑制摩尔纹功能，减轻摩尔纹视觉主观效果80%</w:t>
            </w:r>
          </w:p>
          <w:p w14:paraId="4C5B0ACE">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59、高海拔工作试验：5000米海拔环境下，产品可正常工作</w:t>
            </w:r>
          </w:p>
          <w:p w14:paraId="4882724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60、表面硬度：具备划痕性能技术,表面硬度≥15H</w:t>
            </w:r>
          </w:p>
          <w:p w14:paraId="416640C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61、浪涌 （冲击）抗扰度：LED 显示屏通过符合 GB/T17626.5-2008 标准的浪涌 （冲击）抗扰度试验</w:t>
            </w:r>
          </w:p>
          <w:p w14:paraId="60B20DE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62、具备防蓝光护眼功能，蓝光辐射能量≤20%。蓝光辐射能量值对人眼视网膜无伤害，LED显示屏蓝光辐亮度≤80W.m-2.sr-1,符合肉眼观看标准。</w:t>
            </w:r>
          </w:p>
          <w:p w14:paraId="274210E2">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63、IPX6滑石粉密度：2KG/m3网孔径75um使用次数：小于20次，实验时间8H。试验后检查样品无进尘现象。屏幕防尘等级符合IP6X（防尘）</w:t>
            </w:r>
          </w:p>
          <w:p w14:paraId="6E2DC14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64、产品符合TIRT-GK-JS-55-2020《显示设备显示性能视觉健康认证技术规范第5部分：室内图像显示系统显示屏》技术标准</w:t>
            </w:r>
          </w:p>
          <w:p w14:paraId="3ECC3EE9">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65、▲要求投标人所投LED显示屏支持DVI、VGA、SDI输入、支持HDMI视频输入、支持视频PAL/NTSC制式自适应、支持复合视频信号、支持USB输入、支持IP输入、支持CVBS/DP/HDBASE输入、支持光纤/网络等接口输入。</w:t>
            </w:r>
          </w:p>
          <w:p w14:paraId="02B9B959">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66、所投LED显示屏产品在1×105～1×109Ω技术要求下满足点对点电阻（A面）≤2.64×108；点对点电阻（B面）≤2.93×108；并且在（±1000-±100V）≤2S的技术要求下满足静电电压衰减期值：（+V：≤0.26S，-V：≤0.31S）</w:t>
            </w:r>
          </w:p>
          <w:p w14:paraId="0EA6127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67、所投LED显示屏的灯管耐焊耐热：灯珠引脚无氧化,焊接正常,灯珠胶体正常,点亮正常；灯管抗静电(ESD)测试：HBM模式:ESD&gt;2000V,灯珠点亮无异常；灯管红墨水试验：纯红墨水常温浸泡24h,无渗透,灯管气密性良好。</w:t>
            </w:r>
          </w:p>
          <w:p w14:paraId="0CDE466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68、为不影响屏体周边人员的健康，要求投标人所投LED显示屏在正常工作中，显示屏1m范围内，前后左右4个位置噪音不大于1.4dB；所投LED显示屏观看舒适度需符合：人眼视觉舒适度(VICO)1级，基本无疲劳感。</w:t>
            </w:r>
          </w:p>
          <w:p w14:paraId="60DFE0C9">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以上1-68技术参数需提供由权威检测机构出具带有“CNAS”、“CMA”、“ilac-MRA”标志的检测报告（提供相关证书复印件）。</w:t>
            </w:r>
          </w:p>
          <w:p w14:paraId="69BFBAC0">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69、所投产品具备高光效集成线路控制系统、集成泛光灯线路控制系统（提供相关证书复印件）</w:t>
            </w:r>
          </w:p>
          <w:p w14:paraId="49EE3C97">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70、所投产品支持坏点逐级校正检测（提供相关证书复印件）</w:t>
            </w:r>
          </w:p>
          <w:p w14:paraId="142CA29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71、提供LED显示屏老化测试软件。（提供相关证书复印件）</w:t>
            </w:r>
          </w:p>
          <w:p w14:paraId="6219BB1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72、所投产品支持屏幕智能组态电源检测（提供相关证书复印件）</w:t>
            </w:r>
          </w:p>
          <w:p w14:paraId="25C98504">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3.含包装等辅材</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C859F38">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0"/>
                <w:szCs w:val="20"/>
                <w:lang w:val="en-US" w:eastAsia="zh-CN" w:bidi="ar"/>
              </w:rPr>
              <w:t>m</w:t>
            </w:r>
            <w:r>
              <w:rPr>
                <w:rFonts w:hint="eastAsia" w:ascii="宋体" w:hAnsi="宋体" w:eastAsia="宋体" w:cs="宋体"/>
                <w:b w:val="0"/>
                <w:bCs w:val="0"/>
                <w:caps w:val="0"/>
                <w:snapToGrid w:val="0"/>
                <w:color w:val="000000"/>
                <w:spacing w:val="0"/>
                <w:kern w:val="0"/>
                <w:sz w:val="15"/>
                <w:szCs w:val="15"/>
                <w:vertAlign w:val="baseline"/>
                <w:lang w:val="en-US" w:eastAsia="zh-CN" w:bidi="ar"/>
              </w:rPr>
              <w:t>2</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7932C66">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2.46</w:t>
            </w:r>
          </w:p>
        </w:tc>
      </w:tr>
      <w:tr w14:paraId="20BD55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9EE9843">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B77C2E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播放盒</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F4123B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WiFi控制</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E571E1C">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0"/>
                <w:szCs w:val="20"/>
                <w:lang w:val="en-US" w:eastAsia="zh-CN" w:bidi="ar"/>
              </w:rPr>
              <w:t>m</w:t>
            </w:r>
            <w:r>
              <w:rPr>
                <w:rFonts w:hint="eastAsia" w:ascii="宋体" w:hAnsi="宋体" w:eastAsia="宋体" w:cs="宋体"/>
                <w:b w:val="0"/>
                <w:bCs w:val="0"/>
                <w:caps w:val="0"/>
                <w:snapToGrid w:val="0"/>
                <w:color w:val="000000"/>
                <w:spacing w:val="0"/>
                <w:kern w:val="0"/>
                <w:sz w:val="15"/>
                <w:szCs w:val="15"/>
                <w:vertAlign w:val="baseline"/>
                <w:lang w:val="en-US" w:eastAsia="zh-CN" w:bidi="ar"/>
              </w:rPr>
              <w:t>2</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93381DC">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w:t>
            </w:r>
          </w:p>
        </w:tc>
      </w:tr>
      <w:tr w14:paraId="1637D8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4A13831">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C7F19C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箱体结构</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7B63EA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50*100铝型材定制</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CC2BAD0">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0"/>
                <w:szCs w:val="20"/>
                <w:lang w:val="en-US" w:eastAsia="zh-CN" w:bidi="ar"/>
              </w:rPr>
              <w:t>m</w:t>
            </w:r>
            <w:r>
              <w:rPr>
                <w:rFonts w:hint="eastAsia" w:ascii="宋体" w:hAnsi="宋体" w:eastAsia="宋体" w:cs="宋体"/>
                <w:b w:val="0"/>
                <w:bCs w:val="0"/>
                <w:caps w:val="0"/>
                <w:snapToGrid w:val="0"/>
                <w:color w:val="000000"/>
                <w:spacing w:val="0"/>
                <w:kern w:val="0"/>
                <w:sz w:val="15"/>
                <w:szCs w:val="15"/>
                <w:vertAlign w:val="baseline"/>
                <w:lang w:val="en-US" w:eastAsia="zh-CN" w:bidi="ar"/>
              </w:rPr>
              <w:t>2</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411EFCF">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3.5</w:t>
            </w:r>
          </w:p>
        </w:tc>
      </w:tr>
      <w:tr w14:paraId="7B8219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rPr>
        <w:tc>
          <w:tcPr>
            <w:tcW w:w="4548" w:type="pct"/>
            <w:gridSpan w:val="4"/>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DFD5F1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bCs/>
                <w:caps w:val="0"/>
                <w:snapToGrid w:val="0"/>
                <w:color w:val="000000"/>
                <w:spacing w:val="0"/>
                <w:kern w:val="0"/>
                <w:sz w:val="21"/>
                <w:szCs w:val="21"/>
                <w:lang w:val="en-US" w:eastAsia="zh-CN" w:bidi="ar"/>
              </w:rPr>
              <w:t>三、多功能室P1.2小间距全彩LED显示屏</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B0694AE">
            <w:pPr>
              <w:keepNext w:val="0"/>
              <w:keepLines w:val="0"/>
              <w:widowControl/>
              <w:suppressLineNumbers w:val="0"/>
              <w:spacing w:before="0" w:beforeAutospacing="0" w:after="0" w:afterAutospacing="0" w:line="240" w:lineRule="auto"/>
              <w:ind w:left="0" w:right="0" w:firstLine="0"/>
              <w:jc w:val="left"/>
              <w:textAlignment w:val="baseline"/>
              <w:rPr>
                <w:rFonts w:hint="default" w:ascii="Arial" w:hAnsi="Arial" w:cs="Arial"/>
                <w:b w:val="0"/>
                <w:bCs w:val="0"/>
                <w:color w:val="000000"/>
                <w:sz w:val="18"/>
                <w:szCs w:val="18"/>
              </w:rPr>
            </w:pPr>
            <w:r>
              <w:rPr>
                <w:rFonts w:hint="eastAsia" w:ascii="宋体" w:hAnsi="宋体" w:eastAsia="宋体" w:cs="宋体"/>
                <w:b/>
                <w:bCs/>
                <w:caps w:val="0"/>
                <w:snapToGrid w:val="0"/>
                <w:color w:val="000000"/>
                <w:spacing w:val="0"/>
                <w:kern w:val="0"/>
                <w:sz w:val="21"/>
                <w:szCs w:val="21"/>
                <w:vertAlign w:val="baseline"/>
                <w:lang w:val="en-US" w:eastAsia="zh-CN" w:bidi="ar"/>
              </w:rPr>
              <w:t> </w:t>
            </w:r>
          </w:p>
        </w:tc>
      </w:tr>
      <w:tr w14:paraId="0BEE6C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9070372">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8A57B1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户内全彩LED屏</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BE2CABF">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显示尺寸3.84*2.08米</w:t>
            </w:r>
          </w:p>
          <w:p w14:paraId="7C94E02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1、★像素点间距：≤1.2mm</w:t>
            </w:r>
          </w:p>
          <w:p w14:paraId="4DE0160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2、像素密度：≥640000Dots/</w:t>
            </w:r>
            <w:r>
              <w:rPr>
                <w:rFonts w:hint="eastAsia" w:ascii="宋体" w:hAnsi="宋体" w:eastAsia="宋体" w:cs="宋体"/>
                <w:b w:val="0"/>
                <w:bCs w:val="0"/>
                <w:caps w:val="0"/>
                <w:snapToGrid w:val="0"/>
                <w:color w:val="000000"/>
                <w:spacing w:val="0"/>
                <w:kern w:val="0"/>
                <w:sz w:val="20"/>
                <w:szCs w:val="20"/>
                <w:lang w:val="en-US" w:eastAsia="zh-CN" w:bidi="ar"/>
              </w:rPr>
              <w:t>m</w:t>
            </w:r>
            <w:r>
              <w:rPr>
                <w:rFonts w:hint="eastAsia" w:ascii="宋体" w:hAnsi="宋体" w:eastAsia="宋体" w:cs="宋体"/>
                <w:b w:val="0"/>
                <w:bCs w:val="0"/>
                <w:caps w:val="0"/>
                <w:snapToGrid w:val="0"/>
                <w:color w:val="000000"/>
                <w:spacing w:val="0"/>
                <w:kern w:val="0"/>
                <w:sz w:val="15"/>
                <w:szCs w:val="15"/>
                <w:vertAlign w:val="baseline"/>
                <w:lang w:val="en-US" w:eastAsia="zh-CN" w:bidi="ar"/>
              </w:rPr>
              <w:t>2</w:t>
            </w:r>
          </w:p>
          <w:p w14:paraId="48F14942">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3、单元板分辨率：≥32768Dots</w:t>
            </w:r>
          </w:p>
          <w:p w14:paraId="65EEC42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4、显示效果：4K超清显示、色温均匀性好、亮度均匀性好，对比度高、色域广</w:t>
            </w:r>
          </w:p>
          <w:p w14:paraId="2438071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5、驱动方式：恒流驱动</w:t>
            </w:r>
          </w:p>
          <w:p w14:paraId="6AC4C89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6、供电方式：支持电源均流DC4.2V～DC5V，供电支持电源双输出电压DC2.8V/DC3.8V</w:t>
            </w:r>
          </w:p>
          <w:p w14:paraId="52A32D3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7、▲整屏平整度：≤0.04mm</w:t>
            </w:r>
          </w:p>
          <w:p w14:paraId="2618AF8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8、模组平整度：≤0.03mm</w:t>
            </w:r>
          </w:p>
          <w:p w14:paraId="4040063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9、拼接缝：≤0.03mm</w:t>
            </w:r>
          </w:p>
          <w:p w14:paraId="5718016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10、白平衡亮度：≥600Cd/m²</w:t>
            </w:r>
          </w:p>
          <w:p w14:paraId="04C72D9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11、亮度均匀性：≥99%</w:t>
            </w:r>
          </w:p>
          <w:p w14:paraId="70119FB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12、色度均匀性：±0.001Cx、Cy内</w:t>
            </w:r>
          </w:p>
          <w:p w14:paraId="28218B00">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13、色温：800-18000K</w:t>
            </w:r>
          </w:p>
          <w:p w14:paraId="0260F3C2">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14、水平视角：≥170°</w:t>
            </w:r>
          </w:p>
          <w:p w14:paraId="5E00577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15、垂直视角：≥170°</w:t>
            </w:r>
          </w:p>
          <w:p w14:paraId="1D86ACE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16、对比度：≥8000：1</w:t>
            </w:r>
          </w:p>
          <w:p w14:paraId="1B1F0BD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17、刷新率：≥3840Hz</w:t>
            </w:r>
          </w:p>
          <w:p w14:paraId="0DF7E7E9">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18、像素失控率：&lt;1/100000</w:t>
            </w:r>
          </w:p>
          <w:p w14:paraId="1A1C0669">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19、发光点中心偏距：＜0.8%</w:t>
            </w:r>
          </w:p>
          <w:p w14:paraId="0044EC6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20、峰值功耗：≤300W/m²</w:t>
            </w:r>
          </w:p>
          <w:p w14:paraId="31F26DB7">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21、平均功耗：≤120W/m²</w:t>
            </w:r>
          </w:p>
          <w:p w14:paraId="2C9B4FF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22、最大电流：≤5A</w:t>
            </w:r>
          </w:p>
          <w:p w14:paraId="38166B6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23、电流增益：电流增益调节范围：1%～199%，电流增益调节级别≥8位</w:t>
            </w:r>
          </w:p>
          <w:p w14:paraId="47E30BE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24、具有列下消隐功能、倍频刷新率提升2/4/8倍、低灰偏色改善</w:t>
            </w:r>
          </w:p>
          <w:p w14:paraId="72F80A09">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25、色温为6500K时，100%、75%、50%、25%四档电平白场调节色温误差≤200K</w:t>
            </w:r>
          </w:p>
          <w:p w14:paraId="44A96CA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26、PCB板材采用玻璃化温度≥150℃的覆铜板；PCB板采用FR-4材质，电路采用多层设计，符合CQC13-471301-2018国家标准</w:t>
            </w:r>
          </w:p>
          <w:p w14:paraId="21A43C9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27、每个灯芯的波长误差值在±1nm以内，每个灯芯的亮度误差在5%以内</w:t>
            </w:r>
          </w:p>
          <w:p w14:paraId="699D15A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28、具有H2S宽动态处理技术，解决主控机二次重复播放时的衰减等现象</w:t>
            </w:r>
          </w:p>
          <w:p w14:paraId="703C0A4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29、屏幕表面光反射率：照度=10Lux/5600K条件下， 显示屏屏幕表面光反射率 （单位面积反射亮度）＜3.0cd/m²</w:t>
            </w:r>
          </w:p>
          <w:p w14:paraId="25B9EF1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30、绝缘电阻：在器具输入插座端或者电源引入端子与外壳裸露金属部件之间的绝缘电阻在正常大气条件下应≥100MΩ，湿热条件下应≥2MΩ</w:t>
            </w:r>
          </w:p>
          <w:p w14:paraId="4FADCFF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31、抗拉强度：≥230Mpa</w:t>
            </w:r>
          </w:p>
          <w:p w14:paraId="44C48C50">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32、屈服强度：≥170Mpa</w:t>
            </w:r>
          </w:p>
          <w:p w14:paraId="0A70E96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33、灰度等级：采用14bit技术</w:t>
            </w:r>
          </w:p>
          <w:p w14:paraId="21CC588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34、采用EPWM 灰阶控制技术提升低灰视觉效果，100%亮度时，14bit灰度；70%亮度，14bit灰度；50%亮度，14bit灰度；20%亮度，12bit灰度，显示画面无单列或单行像素失控现象；支持0-100%亮度时，8-14bits灰度自定义设置</w:t>
            </w:r>
          </w:p>
          <w:p w14:paraId="525266D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35、支持鬼影消除、首行暗亮消除、低灰偏色补偿、低灰均匀性、低灰横条纹消除、慢速开启、十字架消除、去坏点、毛毛虫消除、余辉消除、亮度缓慢变亮功能</w:t>
            </w:r>
          </w:p>
          <w:p w14:paraId="605CC03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36、抗电强度：在器具输入插座端与屏正面之间施加试验电压3kv/50Hz，保持1min，不应出现飞弧和击穿现象</w:t>
            </w:r>
          </w:p>
          <w:p w14:paraId="266CC49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37、LED显示屏图像质量主观评价优、支持4K超清技术、HDR高动态光照渲染技术；符合LED显示屏绿色健康分级认证技术</w:t>
            </w:r>
          </w:p>
          <w:p w14:paraId="74B68D10">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38、具有多点测温系统、通讯检测、电源检测、可实现远程监督控制，对可能发生的潜在故障记录日志，并向操作员发出警报信息</w:t>
            </w:r>
          </w:p>
          <w:p w14:paraId="74D219C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39、具有单点亮度校正，校正后亮度损失≤8%；具有颜色校正功能，具有灰度校正，支持模组校正，具有校正数据存储及自动回读功能</w:t>
            </w:r>
          </w:p>
          <w:p w14:paraId="2A1AE5D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40、可实现LED单点检测，通讯检测、温度检测、电源检测、温度监控等功能。</w:t>
            </w:r>
          </w:p>
          <w:p w14:paraId="26AE8E5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41、数据备份：数据记忆储存于LED显示模块箱体中，更换箱体设备时，无需重新设定参数</w:t>
            </w:r>
          </w:p>
          <w:p w14:paraId="0AE3D0A2">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42、产品采用高端芯片，可智能调节正常工作与睡眠状态下的节能效果（动态节能，智能息屏），开启智能节电功能比没有开启节能45%以上</w:t>
            </w:r>
          </w:p>
          <w:p w14:paraId="1CAD2002">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43、防护性能：具有防静电、防电磁干扰、防腐蚀、防霉菌、防虫、防潮、抗震动、抗雷击等功能；具有电源过压、过流、断电保护、分布上电措施、防护等级达到IP60</w:t>
            </w:r>
          </w:p>
          <w:p w14:paraId="248BE4A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44、LED显示屏通过在正常环境下168h不间断运行无故障的老化测试</w:t>
            </w:r>
          </w:p>
          <w:p w14:paraId="7DA08244">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45、使用寿命：≥100000h</w:t>
            </w:r>
          </w:p>
          <w:p w14:paraId="2809A29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46、平均无故障时间：MTBF平均无故障时间≥20000h；MTTR平均修复时间≤4分钟</w:t>
            </w:r>
          </w:p>
          <w:p w14:paraId="339C979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47、屏幕温升：最高亮度（白平衡）持续工作4小时，模组表面温升小于20K</w:t>
            </w:r>
          </w:p>
          <w:p w14:paraId="2BF9A6A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48、为确保屏体在不同的环境下仍可正常启动工作，要求投标人所投LED显示屏须通过零下40℃和高温80℃的环境运行12h产品能正常工作。</w:t>
            </w:r>
          </w:p>
          <w:p w14:paraId="7A7BE05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49、支持自动GAMMA校正技术，14bit自动调节，通过构造非线性校正曲线和色坐标变换系数矩阵实现了显示效果的不断改善，各项重要指标如色彩还原性、色温调节范围、亮度均匀性、色度均匀性、刷新率、换帧频率等，均符合广电级标准</w:t>
            </w:r>
          </w:p>
          <w:p w14:paraId="10BF9F1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50、光生物安全检测：无危害类：8h（30000s）曝辐中不造成光化学紫外危害（ES），并在16min（1000s）内不造成近紫外危害（EUVA），并在2.8h（10000s）内不造成对视网膜蓝光危害（LB）并在10s内不造成对视网膜热危害（LR），且在1000s内不造成对眼睛的红外辐射危害（EIR）</w:t>
            </w:r>
          </w:p>
          <w:p w14:paraId="771381AE">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51、盐雾：盐雾10级</w:t>
            </w:r>
          </w:p>
          <w:p w14:paraId="4C958800">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52、阻燃：PCB板、防火保护外壳及内部其他元器件均达到V-0等级</w:t>
            </w:r>
          </w:p>
          <w:p w14:paraId="0E23710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53、产品通过 GB/T9254-2008《信息技术设备的无线电骚扰限值和测量方法》试验，辐射干扰检测结果符合标准规范要求，符合ClassB限值要求。在30-230MHz频率范围内，峰值限值 dB≤41μV/m；在230-1000MHz频率范围内，峰值限值 dB≤46μV/m</w:t>
            </w:r>
          </w:p>
          <w:p w14:paraId="34B0506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54、支持一键点屏技术，开机后自动识别系统连接，无需重置系统配置</w:t>
            </w:r>
          </w:p>
          <w:p w14:paraId="2AAE4D2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55、箱体防护等级：IK10</w:t>
            </w:r>
          </w:p>
          <w:p w14:paraId="0B114B7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56、抗震实验：显示屏通过YD 5083-2005标准抗震测试，测试结果满足抗震10级</w:t>
            </w:r>
          </w:p>
          <w:p w14:paraId="7DA43BD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57、防呆设计：模组电源接口采用 4P 接插头，免工具维护,同时有防呆设计</w:t>
            </w:r>
          </w:p>
          <w:p w14:paraId="1023698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58、摩尔纹抑制功能：显示屏支持抑制摩尔纹功能，减轻摩尔纹视觉主观效果80%</w:t>
            </w:r>
          </w:p>
          <w:p w14:paraId="295E2082">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59、高海拔工作试验：5000米海拔环境下，产品可正常工作</w:t>
            </w:r>
          </w:p>
          <w:p w14:paraId="3805E8C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60、表面硬度：具备划痕性能技术,表面硬度≥15H</w:t>
            </w:r>
          </w:p>
          <w:p w14:paraId="469DAB9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61、浪涌 （冲击）抗扰度：LED 显示屏通过符合 GB/T17626.5-2008 标准的浪涌 （冲击）抗扰度试验</w:t>
            </w:r>
          </w:p>
          <w:p w14:paraId="41CF912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62、具备防蓝光护眼功能，蓝光辐射能量≤20%。蓝光辐射能量值对人眼视网膜无伤害，LED显示屏蓝光辐亮度≤80W.m-2.sr-1,符合肉眼观看标准。</w:t>
            </w:r>
          </w:p>
          <w:p w14:paraId="2C9168B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63、IPX6滑石粉密度：2KG/m3网孔径75um使用次数：小于20次，实验时间8H。试验后检查样品无进尘现象。屏幕防尘等级符合IP6X（防尘）</w:t>
            </w:r>
          </w:p>
          <w:p w14:paraId="09DD9490">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64、产品符合TIRT-GK-JS-55-2020《显示设备显示性能视觉健康认证技术规范第5部分：室内图像显示系统显示屏》技术标准</w:t>
            </w:r>
          </w:p>
          <w:p w14:paraId="67FEF04E">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65、▲要求投标人所投LED显示屏支持DVI、VGA输入、支持HDMI视频输入、支持视频PAL/NTSC制式自适应、支持复合视频信号、支持USB输入、支持IP输入、支持CVBS/DP/HDBASE输入、支持光纤/网络等接口输入。</w:t>
            </w:r>
          </w:p>
          <w:p w14:paraId="5C1AF35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66、所投LED显示屏产品在1×105～1×109Ω技术要求下满足点对点电阻（A面）≤3.02×108；点对点电阻（B面）≤2.21×108；并且在（±1000-±100V）≤2S的技术要求下满足静电电压衰减期值：（+V0.35S,-V0.26S）</w:t>
            </w:r>
          </w:p>
          <w:p w14:paraId="7A62A74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67、所投LED显示屏的灯管耐焊耐热：灯珠引脚无氧化,焊接正常,灯珠胶体正常,点亮正常；灯管抗静电(ESD)测试：HBM模式:ESD&gt;2000V,灯珠点亮无异常；灯管红墨水试验：纯红墨水常温浸泡24h,无渗透,灯管气密性良好。</w:t>
            </w:r>
          </w:p>
          <w:p w14:paraId="6A3CC8A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68、为不影响屏体周边人员的健康，要求投标人所投LED显示屏在正常工作中，显示屏1m范围内，前后左右4个位置噪音不大于1.4dB；所投LED显示屏观看舒适度需符合：人眼视觉舒适度(VICO)1级，基本无疲劳感。</w:t>
            </w:r>
          </w:p>
          <w:p w14:paraId="3C34E34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以上1-68技术参数需提供由权威检测机构出具带有“CNAS”、“CMA”、“ilac-MRA”标志的检测报告（提供相关证书复印件）。</w:t>
            </w:r>
          </w:p>
          <w:p w14:paraId="20EEAB3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69、所投产品具备高光效集成线路控制系统、集成泛光灯线路控制系统（提供相关证书复印件）</w:t>
            </w:r>
          </w:p>
          <w:p w14:paraId="320D51C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70、所投产品支持坏点逐级校正检测（提供相关证书复印件）</w:t>
            </w:r>
          </w:p>
          <w:p w14:paraId="08562BB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71、提供LED显示屏老化测试软件。（提供相关证书复印件）</w:t>
            </w:r>
          </w:p>
          <w:p w14:paraId="1AB85F1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72、所投产品支持屏幕智能组态电源检测（提供相关证书复印件）</w:t>
            </w:r>
          </w:p>
          <w:p w14:paraId="5476E81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所投产品具有CCC、CE、ROHS、FCC认证证书（提供相关证书复印件）</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B3F4327">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0"/>
                <w:szCs w:val="20"/>
                <w:lang w:val="en-US" w:eastAsia="zh-CN" w:bidi="ar"/>
              </w:rPr>
              <w:t>m</w:t>
            </w:r>
            <w:r>
              <w:rPr>
                <w:rFonts w:hint="eastAsia" w:ascii="宋体" w:hAnsi="宋体" w:eastAsia="宋体" w:cs="宋体"/>
                <w:b w:val="0"/>
                <w:bCs w:val="0"/>
                <w:caps w:val="0"/>
                <w:snapToGrid w:val="0"/>
                <w:color w:val="000000"/>
                <w:spacing w:val="0"/>
                <w:kern w:val="0"/>
                <w:sz w:val="15"/>
                <w:szCs w:val="15"/>
                <w:vertAlign w:val="baseline"/>
                <w:lang w:val="en-US" w:eastAsia="zh-CN" w:bidi="ar"/>
              </w:rPr>
              <w:t>2</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E65B1E5">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7.99</w:t>
            </w:r>
          </w:p>
        </w:tc>
      </w:tr>
      <w:tr w14:paraId="77984C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A3C045A">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DA8852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视频处理器</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41BAEB7">
            <w:pPr>
              <w:keepNext w:val="0"/>
              <w:keepLines w:val="0"/>
              <w:widowControl/>
              <w:suppressLineNumbers w:val="0"/>
              <w:spacing w:before="0" w:beforeAutospacing="0" w:after="0" w:afterAutospacing="0" w:line="240" w:lineRule="auto"/>
              <w:ind w:left="0" w:right="0" w:firstLine="0"/>
              <w:jc w:val="left"/>
              <w:textAlignment w:val="top"/>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•支持丰富的数字信号接口，包括1路SDI，1路HDMI，2路DVI；</w:t>
            </w:r>
          </w:p>
          <w:p w14:paraId="652440C2">
            <w:pPr>
              <w:keepNext w:val="0"/>
              <w:keepLines w:val="0"/>
              <w:widowControl/>
              <w:suppressLineNumbers w:val="0"/>
              <w:spacing w:before="0" w:beforeAutospacing="0" w:after="0" w:afterAutospacing="0" w:line="240" w:lineRule="auto"/>
              <w:ind w:left="0" w:right="0" w:firstLine="0"/>
              <w:jc w:val="left"/>
              <w:textAlignment w:val="top"/>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•最大输入分辨率1920*1200@60Hz，支持分辨率任意设置；</w:t>
            </w:r>
          </w:p>
          <w:p w14:paraId="788EAB1D">
            <w:pPr>
              <w:keepNext w:val="0"/>
              <w:keepLines w:val="0"/>
              <w:widowControl/>
              <w:suppressLineNumbers w:val="0"/>
              <w:spacing w:before="0" w:beforeAutospacing="0" w:after="0" w:afterAutospacing="0" w:line="240" w:lineRule="auto"/>
              <w:ind w:left="0" w:right="0" w:firstLine="0"/>
              <w:jc w:val="left"/>
              <w:textAlignment w:val="top"/>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•最大带载390万像素，最宽可达8192点，或最高可达4096点；</w:t>
            </w:r>
          </w:p>
          <w:p w14:paraId="1DF9F69B">
            <w:pPr>
              <w:keepNext w:val="0"/>
              <w:keepLines w:val="0"/>
              <w:widowControl/>
              <w:suppressLineNumbers w:val="0"/>
              <w:spacing w:before="0" w:beforeAutospacing="0" w:after="0" w:afterAutospacing="0" w:line="240" w:lineRule="auto"/>
              <w:ind w:left="0" w:right="0" w:firstLine="0"/>
              <w:jc w:val="left"/>
              <w:textAlignment w:val="top"/>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•支持视频源任意切换，任意缩放；</w:t>
            </w:r>
          </w:p>
          <w:p w14:paraId="6E2EA5E4">
            <w:pPr>
              <w:keepNext w:val="0"/>
              <w:keepLines w:val="0"/>
              <w:widowControl/>
              <w:suppressLineNumbers w:val="0"/>
              <w:spacing w:before="0" w:beforeAutospacing="0" w:after="0" w:afterAutospacing="0" w:line="240" w:lineRule="auto"/>
              <w:ind w:left="0" w:right="0" w:firstLine="0"/>
              <w:jc w:val="left"/>
              <w:textAlignment w:val="top"/>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•支持三画面显示，位置、大小可自由调节；</w:t>
            </w:r>
          </w:p>
          <w:p w14:paraId="7CF15924">
            <w:pPr>
              <w:keepNext w:val="0"/>
              <w:keepLines w:val="0"/>
              <w:widowControl/>
              <w:suppressLineNumbers w:val="0"/>
              <w:spacing w:before="0" w:beforeAutospacing="0" w:after="0" w:afterAutospacing="0" w:line="240" w:lineRule="auto"/>
              <w:ind w:left="0" w:right="0" w:firstLine="0"/>
              <w:jc w:val="left"/>
              <w:textAlignment w:val="top"/>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•支持HDCP高带宽数字内容保护技术；</w:t>
            </w:r>
          </w:p>
          <w:p w14:paraId="4FC2EF9D">
            <w:pPr>
              <w:keepNext w:val="0"/>
              <w:keepLines w:val="0"/>
              <w:widowControl/>
              <w:suppressLineNumbers w:val="0"/>
              <w:spacing w:before="0" w:beforeAutospacing="0" w:after="0" w:afterAutospacing="0" w:line="240" w:lineRule="auto"/>
              <w:ind w:left="0" w:right="0" w:firstLine="0"/>
              <w:jc w:val="left"/>
              <w:textAlignment w:val="top"/>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•双USB2.0高速通讯接口，用于电脑调试和主控间任意级联；</w:t>
            </w:r>
          </w:p>
          <w:p w14:paraId="04564E77">
            <w:pPr>
              <w:keepNext w:val="0"/>
              <w:keepLines w:val="0"/>
              <w:widowControl/>
              <w:suppressLineNumbers w:val="0"/>
              <w:spacing w:before="0" w:beforeAutospacing="0" w:after="0" w:afterAutospacing="0" w:line="240" w:lineRule="auto"/>
              <w:ind w:left="0" w:right="0" w:firstLine="0"/>
              <w:jc w:val="left"/>
              <w:textAlignment w:val="top"/>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•支持亮度和色温调节；</w:t>
            </w:r>
          </w:p>
          <w:p w14:paraId="5702E753">
            <w:pPr>
              <w:keepNext w:val="0"/>
              <w:keepLines w:val="0"/>
              <w:widowControl/>
              <w:suppressLineNumbers w:val="0"/>
              <w:spacing w:before="0" w:beforeAutospacing="0" w:after="0" w:afterAutospacing="0" w:line="240" w:lineRule="auto"/>
              <w:ind w:left="0" w:right="0" w:firstLine="0"/>
              <w:jc w:val="left"/>
              <w:textAlignment w:val="top"/>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•支持低亮高灰；</w:t>
            </w:r>
          </w:p>
          <w:p w14:paraId="3D2BDCE4">
            <w:pPr>
              <w:keepNext w:val="0"/>
              <w:keepLines w:val="0"/>
              <w:widowControl/>
              <w:suppressLineNumbers w:val="0"/>
              <w:spacing w:before="0" w:beforeAutospacing="0" w:after="0" w:afterAutospacing="0" w:line="240" w:lineRule="auto"/>
              <w:ind w:left="0" w:right="0" w:firstLine="0"/>
              <w:jc w:val="left"/>
              <w:textAlignment w:val="top"/>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须提供设备生产商针对本项目的授权和售后服务承诺函（加盖厂家公章）。</w:t>
            </w:r>
          </w:p>
          <w:p w14:paraId="1A5981F8">
            <w:pPr>
              <w:keepNext w:val="0"/>
              <w:keepLines w:val="0"/>
              <w:widowControl/>
              <w:suppressLineNumbers w:val="0"/>
              <w:spacing w:before="0" w:beforeAutospacing="0" w:after="0" w:afterAutospacing="0" w:line="240" w:lineRule="auto"/>
              <w:ind w:left="0" w:right="0" w:firstLine="0"/>
              <w:jc w:val="left"/>
              <w:textAlignment w:val="top"/>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支持亮度调节在低亮度时显示画面层次,小间距LED显示屏的亮度10%以下，灰度损失的程度在人眼难以觉察的范围，此功能可以在低亮度的情况下表现更广灰阶范围， 需提供具有CMA、CNAS、ilac-MRA认证标识的第三方厂家检测报告，并加盖供应商鲜章；</w:t>
            </w:r>
          </w:p>
          <w:p w14:paraId="6546FF8B">
            <w:pPr>
              <w:keepNext w:val="0"/>
              <w:keepLines w:val="0"/>
              <w:widowControl/>
              <w:suppressLineNumbers w:val="0"/>
              <w:spacing w:before="0" w:beforeAutospacing="0" w:after="0" w:afterAutospacing="0" w:line="240" w:lineRule="auto"/>
              <w:ind w:left="0" w:right="0" w:firstLine="0"/>
              <w:jc w:val="left"/>
              <w:textAlignment w:val="top"/>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在-20°C-65°C下，控制器所有功能打开且参数设置到最大依然能正常工作，一直连续开断电处理，控制器依然可以正常启动工作， 机箱结构配合散热风扇达到很好的扇热效果，需提供具有CMA、CNAS、ilac-MRA认证标识的第三方厂家检测报告，并加盖供应商鲜章；</w:t>
            </w:r>
          </w:p>
          <w:p w14:paraId="71021574">
            <w:pPr>
              <w:keepNext w:val="0"/>
              <w:keepLines w:val="0"/>
              <w:widowControl/>
              <w:suppressLineNumbers w:val="0"/>
              <w:spacing w:before="0" w:beforeAutospacing="0" w:after="0" w:afterAutospacing="0" w:line="240" w:lineRule="auto"/>
              <w:ind w:left="0" w:right="0" w:firstLine="0"/>
              <w:jc w:val="left"/>
              <w:textAlignment w:val="top"/>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支持自动倍频、2 倍频、3 倍频，采用独特的倍频算法，针对视频源信号小于 30hz 可启用 2 倍频，小于 20hz 可启用 3 倍频，可以将输入信号转成 60Hz 信号输出，提高画面显示效果，信号最高帧率可达 100Hz，需提供具有CMA、CNAS、ilac-MRA认证标识的第三方厂家检测报告，并加盖供应商鲜章；</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9006879">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台</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E83FFBF">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w:t>
            </w:r>
          </w:p>
        </w:tc>
      </w:tr>
      <w:tr w14:paraId="41DD41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9344C01">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3208CC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配电柜</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6A7A53A7">
            <w:pPr>
              <w:keepNext w:val="0"/>
              <w:keepLines w:val="0"/>
              <w:widowControl/>
              <w:suppressLineNumbers w:val="0"/>
              <w:spacing w:before="0" w:beforeAutospacing="0" w:after="0" w:afterAutospacing="0" w:line="240" w:lineRule="auto"/>
              <w:ind w:left="0" w:right="0" w:firstLine="0"/>
              <w:jc w:val="left"/>
              <w:textAlignment w:val="top"/>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1、防伪功能 具备logo、产品型号</w:t>
            </w:r>
          </w:p>
          <w:p w14:paraId="78B36611">
            <w:pPr>
              <w:keepNext w:val="0"/>
              <w:keepLines w:val="0"/>
              <w:widowControl/>
              <w:suppressLineNumbers w:val="0"/>
              <w:spacing w:before="0" w:beforeAutospacing="0" w:after="0" w:afterAutospacing="0" w:line="240" w:lineRule="auto"/>
              <w:ind w:left="0" w:right="0" w:firstLine="0"/>
              <w:jc w:val="left"/>
              <w:textAlignment w:val="top"/>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2、安全性 内部线材均采用4平方厘米国标纯铜导线；</w:t>
            </w:r>
          </w:p>
          <w:p w14:paraId="31AEBBAC">
            <w:pPr>
              <w:keepNext w:val="0"/>
              <w:keepLines w:val="0"/>
              <w:widowControl/>
              <w:suppressLineNumbers w:val="0"/>
              <w:spacing w:before="0" w:beforeAutospacing="0" w:after="0" w:afterAutospacing="0" w:line="240" w:lineRule="auto"/>
              <w:ind w:left="0" w:right="0" w:firstLine="0"/>
              <w:jc w:val="left"/>
              <w:textAlignment w:val="top"/>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3、双重开关控制 具备自动/手动控制设备供电的开启和关闭；</w:t>
            </w:r>
          </w:p>
          <w:p w14:paraId="681AA322">
            <w:pPr>
              <w:keepNext w:val="0"/>
              <w:keepLines w:val="0"/>
              <w:widowControl/>
              <w:suppressLineNumbers w:val="0"/>
              <w:spacing w:before="0" w:beforeAutospacing="0" w:after="0" w:afterAutospacing="0" w:line="240" w:lineRule="auto"/>
              <w:ind w:left="0" w:right="0" w:firstLine="0"/>
              <w:jc w:val="left"/>
              <w:textAlignment w:val="top"/>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4、多组输出回路 每组可独立控制，如照明输出、风机/空调输出分路、显示屏输出分路分开控制</w:t>
            </w:r>
          </w:p>
          <w:p w14:paraId="1CC4A95B">
            <w:pPr>
              <w:keepNext w:val="0"/>
              <w:keepLines w:val="0"/>
              <w:widowControl/>
              <w:suppressLineNumbers w:val="0"/>
              <w:spacing w:before="0" w:beforeAutospacing="0" w:after="0" w:afterAutospacing="0" w:line="240" w:lineRule="auto"/>
              <w:ind w:left="0" w:right="0" w:firstLine="0"/>
              <w:jc w:val="left"/>
              <w:textAlignment w:val="top"/>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5、上电保护功能 具有延时启动、浪涌保护、防雷、过流、短路等保护功能；</w:t>
            </w:r>
          </w:p>
          <w:p w14:paraId="5E829541">
            <w:pPr>
              <w:keepNext w:val="0"/>
              <w:keepLines w:val="0"/>
              <w:widowControl/>
              <w:suppressLineNumbers w:val="0"/>
              <w:spacing w:before="0" w:beforeAutospacing="0" w:after="0" w:afterAutospacing="0" w:line="240" w:lineRule="auto"/>
              <w:ind w:left="0" w:right="0" w:firstLine="0"/>
              <w:jc w:val="left"/>
              <w:textAlignment w:val="top"/>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6、功能性检测 具有电源状态指示、运行状态指示、风机、空调指示、检修多功能插座及检修照明开关；</w:t>
            </w:r>
          </w:p>
          <w:p w14:paraId="325998DF">
            <w:pPr>
              <w:keepNext w:val="0"/>
              <w:keepLines w:val="0"/>
              <w:widowControl/>
              <w:suppressLineNumbers w:val="0"/>
              <w:spacing w:before="0" w:beforeAutospacing="0" w:after="0" w:afterAutospacing="0" w:line="240" w:lineRule="auto"/>
              <w:ind w:left="0" w:right="0" w:firstLine="0"/>
              <w:jc w:val="left"/>
              <w:textAlignment w:val="top"/>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7、额定工作电压 380V/220V</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130FF58">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台</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C70607B">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w:t>
            </w:r>
          </w:p>
        </w:tc>
      </w:tr>
      <w:tr w14:paraId="05ADFA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892F703">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C434364">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屏体结构</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69B6AB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1、钢结构：钢架构件（含接合板）采用Q235B钢制作，结构用钢应符合《GB50017-2003钢结构设计规范》规定的Q235要求，保证其抗拉强度、伸长率、屈服点，碳、硫、磷的极限含量；</w:t>
            </w:r>
          </w:p>
          <w:p w14:paraId="5557FA8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2、焊条：手工焊：Q235连接用E43系列焊条；</w:t>
            </w:r>
          </w:p>
          <w:p w14:paraId="575FE0AE">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3、自动焊：Q235连接用H08系列焊条；</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6E8393B">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0"/>
                <w:szCs w:val="20"/>
                <w:lang w:val="en-US" w:eastAsia="zh-CN" w:bidi="ar"/>
              </w:rPr>
              <w:t>m</w:t>
            </w:r>
            <w:r>
              <w:rPr>
                <w:rFonts w:hint="eastAsia" w:ascii="宋体" w:hAnsi="宋体" w:eastAsia="宋体" w:cs="宋体"/>
                <w:b w:val="0"/>
                <w:bCs w:val="0"/>
                <w:caps w:val="0"/>
                <w:snapToGrid w:val="0"/>
                <w:color w:val="000000"/>
                <w:spacing w:val="0"/>
                <w:kern w:val="0"/>
                <w:sz w:val="15"/>
                <w:szCs w:val="15"/>
                <w:vertAlign w:val="baseline"/>
                <w:lang w:val="en-US" w:eastAsia="zh-CN" w:bidi="ar"/>
              </w:rPr>
              <w:t>2</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9859870">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8.59</w:t>
            </w:r>
          </w:p>
        </w:tc>
      </w:tr>
      <w:tr w14:paraId="0C7CB6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5C6E93A">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521822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专业音箱</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5CECDC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100W室内音响</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30A94C1">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0"/>
                <w:szCs w:val="20"/>
                <w:lang w:val="en-US" w:eastAsia="zh-CN" w:bidi="ar"/>
              </w:rPr>
              <w:t>台</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C79A730">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0"/>
                <w:szCs w:val="20"/>
                <w:lang w:val="en-US" w:eastAsia="zh-CN" w:bidi="ar"/>
              </w:rPr>
              <w:t>4</w:t>
            </w:r>
          </w:p>
        </w:tc>
      </w:tr>
      <w:tr w14:paraId="024B77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0D41494">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A25085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多媒体功放机</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3584C8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500W</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B593D1C">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0"/>
                <w:szCs w:val="20"/>
                <w:lang w:val="en-US" w:eastAsia="zh-CN" w:bidi="ar"/>
              </w:rPr>
              <w:t>台</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7532931">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0"/>
                <w:szCs w:val="20"/>
                <w:lang w:val="en-US" w:eastAsia="zh-CN" w:bidi="ar"/>
              </w:rPr>
              <w:t>1</w:t>
            </w:r>
          </w:p>
        </w:tc>
      </w:tr>
      <w:tr w14:paraId="66BD72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867459B">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7</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C00495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电源管理器</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D94861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1、防伪功能 具备logo、产品型号</w:t>
            </w:r>
          </w:p>
          <w:p w14:paraId="3EDB12AE">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2、外形结构 楞缘及拐角均充分倒圆和磨光</w:t>
            </w:r>
          </w:p>
          <w:p w14:paraId="598BD6E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3、丝印标示 丝印标示清晰明显，有节能、危险警告、输入输出电压电流、功率、极性指示等标示</w:t>
            </w:r>
          </w:p>
          <w:p w14:paraId="2E631E3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4、泄漏电流 泄漏电流≤0.25mA</w:t>
            </w:r>
          </w:p>
          <w:p w14:paraId="4CF08219">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5、接地阻抗 外壳与大地阻抗≤10mΩ</w:t>
            </w:r>
          </w:p>
          <w:p w14:paraId="6752224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6、保护功能 输入AC端自带保护盖，且具备过流、断路、短路、过压、欠压、防雷等保护功能</w:t>
            </w:r>
          </w:p>
          <w:p w14:paraId="50433C3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7、抗电强度 输入对输出，AC2000V/1min；输入对地，AC1500V/1min；输出对地，AC500V/1min</w:t>
            </w:r>
          </w:p>
          <w:p w14:paraId="542C587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8、平均无故障时间 MTBF≥10000H</w:t>
            </w:r>
          </w:p>
          <w:p w14:paraId="6E6DB24E">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9、输入电压范围 180VAC～264VAC</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C5FB1EF">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0"/>
                <w:szCs w:val="20"/>
                <w:lang w:val="en-US" w:eastAsia="zh-CN" w:bidi="ar"/>
              </w:rPr>
              <w:t>台</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0B73F53">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0"/>
                <w:szCs w:val="20"/>
                <w:lang w:val="en-US" w:eastAsia="zh-CN" w:bidi="ar"/>
              </w:rPr>
              <w:t>1</w:t>
            </w:r>
          </w:p>
        </w:tc>
      </w:tr>
      <w:tr w14:paraId="0F9F0D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506CE13">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8</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72EE4BF">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电力电缆</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48DB44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YJV-4*16+1*4</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03316DB">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米</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BE56454">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200</w:t>
            </w:r>
          </w:p>
        </w:tc>
      </w:tr>
      <w:tr w14:paraId="1E002C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33B9278">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9</w:t>
            </w:r>
          </w:p>
        </w:tc>
        <w:tc>
          <w:tcPr>
            <w:tcW w:w="296" w:type="pct"/>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vAlign w:val="center"/>
          </w:tcPr>
          <w:p w14:paraId="3485B5E0">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网线</w:t>
            </w:r>
          </w:p>
        </w:tc>
        <w:tc>
          <w:tcPr>
            <w:tcW w:w="3772" w:type="pct"/>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vAlign w:val="center"/>
          </w:tcPr>
          <w:p w14:paraId="582EAA39">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网线</w:t>
            </w:r>
          </w:p>
        </w:tc>
        <w:tc>
          <w:tcPr>
            <w:tcW w:w="229" w:type="pct"/>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vAlign w:val="center"/>
          </w:tcPr>
          <w:p w14:paraId="02621912">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0"/>
                <w:szCs w:val="20"/>
                <w:lang w:val="en-US" w:eastAsia="zh-CN" w:bidi="ar"/>
              </w:rPr>
              <w:t>米</w:t>
            </w:r>
          </w:p>
        </w:tc>
        <w:tc>
          <w:tcPr>
            <w:tcW w:w="451" w:type="pct"/>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vAlign w:val="center"/>
          </w:tcPr>
          <w:p w14:paraId="778E79E0">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156.72</w:t>
            </w:r>
          </w:p>
        </w:tc>
      </w:tr>
      <w:tr w14:paraId="19602E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vAlign w:val="center"/>
          </w:tcPr>
          <w:p w14:paraId="44B42817">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10</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257BF6E">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操作电脑</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5D87B8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品牌机，十三代i5CPU，32G内存，1T固态硬盘，8G显存，27寸显示器</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2CBD358">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台</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2A2DF33">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w:t>
            </w:r>
          </w:p>
        </w:tc>
      </w:tr>
      <w:tr w14:paraId="1F4E86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5000" w:type="pct"/>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937F34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bCs/>
                <w:caps w:val="0"/>
                <w:snapToGrid w:val="0"/>
                <w:color w:val="000000"/>
                <w:spacing w:val="0"/>
                <w:kern w:val="0"/>
                <w:sz w:val="21"/>
                <w:szCs w:val="21"/>
                <w:lang w:val="en-US" w:eastAsia="zh-CN" w:bidi="ar"/>
              </w:rPr>
              <w:t>四、室内P2.5全彩弧形条屏</w:t>
            </w:r>
          </w:p>
        </w:tc>
      </w:tr>
      <w:tr w14:paraId="2C8FEA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D941388">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9980A40">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LED条屏</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FE75494">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显示尺寸：5.8*0.16米</w:t>
            </w:r>
          </w:p>
          <w:p w14:paraId="72731BB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1、★像素点间距：≤3.0mm</w:t>
            </w:r>
          </w:p>
          <w:p w14:paraId="0A15A39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2、像素密度：≥105625 Dots/</w:t>
            </w:r>
            <w:r>
              <w:rPr>
                <w:rFonts w:hint="eastAsia" w:ascii="宋体" w:hAnsi="宋体" w:eastAsia="宋体" w:cs="宋体"/>
                <w:b w:val="0"/>
                <w:bCs w:val="0"/>
                <w:caps w:val="0"/>
                <w:snapToGrid w:val="0"/>
                <w:color w:val="000000"/>
                <w:spacing w:val="0"/>
                <w:kern w:val="0"/>
                <w:sz w:val="20"/>
                <w:szCs w:val="20"/>
                <w:lang w:val="en-US" w:eastAsia="zh-CN" w:bidi="ar"/>
              </w:rPr>
              <w:t>m</w:t>
            </w:r>
            <w:r>
              <w:rPr>
                <w:rFonts w:hint="eastAsia" w:ascii="宋体" w:hAnsi="宋体" w:eastAsia="宋体" w:cs="宋体"/>
                <w:b w:val="0"/>
                <w:bCs w:val="0"/>
                <w:caps w:val="0"/>
                <w:snapToGrid w:val="0"/>
                <w:color w:val="000000"/>
                <w:spacing w:val="0"/>
                <w:kern w:val="0"/>
                <w:sz w:val="15"/>
                <w:szCs w:val="15"/>
                <w:vertAlign w:val="baseline"/>
                <w:lang w:val="en-US" w:eastAsia="zh-CN" w:bidi="ar"/>
              </w:rPr>
              <w:t>2</w:t>
            </w:r>
          </w:p>
          <w:p w14:paraId="0456507F">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3、单元板分辨率：≥5408 Dots</w:t>
            </w:r>
          </w:p>
          <w:p w14:paraId="657C147E">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4、显示效果：4K超清显示、色温均匀性好、亮度均匀性好，对比度高、色域广</w:t>
            </w:r>
          </w:p>
          <w:p w14:paraId="3E0A8BC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5、驱动方式：恒流驱动</w:t>
            </w:r>
          </w:p>
          <w:p w14:paraId="1930515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6、供电方式：支持电源均流DC4.2V～DC5V，供电支持电源双输出电压DC2.8V/DC3.8V</w:t>
            </w:r>
          </w:p>
          <w:p w14:paraId="5DF0A177">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7、▲整屏平整度：≤0.04mm</w:t>
            </w:r>
          </w:p>
          <w:p w14:paraId="05614EE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8、模组平整度：≤0.03mm</w:t>
            </w:r>
          </w:p>
          <w:p w14:paraId="04FF380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9、拼接缝：≤0.03mm</w:t>
            </w:r>
          </w:p>
          <w:p w14:paraId="1A76154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10、白平衡亮度：≥600Cd/m²</w:t>
            </w:r>
          </w:p>
          <w:p w14:paraId="52BA8454">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11、亮度均匀性：≥99%</w:t>
            </w:r>
          </w:p>
          <w:p w14:paraId="7A03B7EF">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12、色度均匀性：±0.001Cx、Cy内</w:t>
            </w:r>
          </w:p>
          <w:p w14:paraId="6BD522E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13、色温：800-18000K</w:t>
            </w:r>
          </w:p>
          <w:p w14:paraId="6E7D12E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14、水平视角：≥170°</w:t>
            </w:r>
          </w:p>
          <w:p w14:paraId="7A3C64F4">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15、垂直视角：≥170°</w:t>
            </w:r>
          </w:p>
          <w:p w14:paraId="341D3B1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16、对比度：≥8000：1</w:t>
            </w:r>
          </w:p>
          <w:p w14:paraId="5B641B1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17、刷新率：≥1920Hz</w:t>
            </w:r>
          </w:p>
          <w:p w14:paraId="1ED7E7A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18、像素失控率：&lt;1/100000</w:t>
            </w:r>
          </w:p>
          <w:p w14:paraId="16994D70">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19、发光点中心偏距：＜0.8%</w:t>
            </w:r>
          </w:p>
          <w:p w14:paraId="6C817D5E">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20、峰值功耗：≤300W/m²</w:t>
            </w:r>
          </w:p>
          <w:p w14:paraId="36E655E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21、平均功耗：≤120W/m²</w:t>
            </w:r>
          </w:p>
          <w:p w14:paraId="058C1D5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22、最大电流：≤5A</w:t>
            </w:r>
          </w:p>
          <w:p w14:paraId="426B7B82">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23、电流增益：电流增益调节范围：1%～199%，电流增益调节级别≥8位</w:t>
            </w:r>
          </w:p>
          <w:p w14:paraId="1B45EB49">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24、具有列下消隐功能、倍频刷新率提升2/4/8倍、低灰偏色改善</w:t>
            </w:r>
          </w:p>
          <w:p w14:paraId="360AA610">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25、色温为6500K时，100%、75%、50%、25%四档电平白场调节色温误差≤200K</w:t>
            </w:r>
          </w:p>
          <w:p w14:paraId="528E6F02">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26、PCB板材采用玻璃化温度≥150℃的覆铜板；PCB板采用FR-4材质，电路采用多层设计，符合CQC13-471301-2018国家标准</w:t>
            </w:r>
          </w:p>
          <w:p w14:paraId="03570EC7">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27、每个灯芯的波长误差值在±1nm以内，每个灯芯的亮度误差在5%以内</w:t>
            </w:r>
          </w:p>
          <w:p w14:paraId="34E93DB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28、具有H2S宽动态处理技术，解决主控机二次重复播放时的衰减等现象</w:t>
            </w:r>
          </w:p>
          <w:p w14:paraId="4BF87D9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29、屏幕表面光反射率：照度=10Lux/5600K条件下， 显示屏屏幕表面光反射率 （单位面积反射亮度）＜3.0cd/m²</w:t>
            </w:r>
          </w:p>
          <w:p w14:paraId="141DF44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30、绝缘电阻：在器具输入插座端或者电源引入端子与外壳裸露金属部件之间的绝缘电阻在正常大气条件下应≥100MΩ，湿热条件下应≥2MΩ</w:t>
            </w:r>
          </w:p>
          <w:p w14:paraId="05BA7F87">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31、抗拉强度：≥230Mpa</w:t>
            </w:r>
          </w:p>
          <w:p w14:paraId="4A855E7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32、屈服强度：≥170Mpa</w:t>
            </w:r>
          </w:p>
          <w:p w14:paraId="7A171B8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33、灰度等级：采用14bit技术</w:t>
            </w:r>
          </w:p>
          <w:p w14:paraId="3B1B2FB3">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34、采用EPWM 灰阶控制技术提升低灰视觉效果，100%亮度时，14bit灰度；70%亮度，14bit灰度；50%亮度，14bit灰度；20%亮度，12bit灰度，显示画面无单列或单行像素失控现象；支持0-100%亮度时，8-14bits灰度自定义设置</w:t>
            </w:r>
          </w:p>
          <w:p w14:paraId="17E4B9A0">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35、支持鬼影消除、首行暗亮消除、低灰偏色补偿、低灰均匀性、低灰横条纹消除、慢速开启、十字架消除、去坏点、毛毛虫消除、余辉消除、亮度缓慢变亮功能</w:t>
            </w:r>
          </w:p>
          <w:p w14:paraId="6097AF5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36、抗电强度：在器具输入插座端与屏正面之间施加试验电压3kv/50Hz，保持1min，不应出现飞弧和击穿现象</w:t>
            </w:r>
          </w:p>
          <w:p w14:paraId="5BD78777">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37、LED显示屏图像质量主观评价优、支持4K超清技术、HDR高动态光照渲染技术；符合LED显示屏绿色健康分级认证技术</w:t>
            </w:r>
          </w:p>
          <w:p w14:paraId="4AE1413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38、具有多点测温系统、通讯检测、电源检测、可实现远程监督控制，对可能发生的潜在故障记录日志，并向操作员发出警报信息</w:t>
            </w:r>
          </w:p>
          <w:p w14:paraId="7D6BE6B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39、具有单点亮度校正，校正后亮度损失≤8%；具有颜色校正功能，具有灰度校正，支持模组校正，具有校正数据存储及自动回读功能</w:t>
            </w:r>
          </w:p>
          <w:p w14:paraId="328E916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40、可实现LED单点检测，通讯检测、温度检测、电源检测、温度监控等功能。</w:t>
            </w:r>
          </w:p>
          <w:p w14:paraId="4CC1A969">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41、数据备份：数据记忆储存于LED显示模块箱体中，更换箱体设备时，无需重新设定参数</w:t>
            </w:r>
          </w:p>
          <w:p w14:paraId="1E4BBADF">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42、产品采用高端芯片，可智能调节正常工作与睡眠状态下的节能效果（动态节能，智能息屏），开启智能节电功能比没有开启节能45%以上</w:t>
            </w:r>
          </w:p>
          <w:p w14:paraId="6CCE3EF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43、防护性能：具有防静电、防电磁干扰、防腐蚀、防霉菌、防虫、防潮、抗震动、抗雷击等功能；具有电源过压、过流、断电保护、分布上电措施、防护等级达到IP60</w:t>
            </w:r>
          </w:p>
          <w:p w14:paraId="5A2C29FF">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44、LED显示屏通过在正常环境下168h不间断运行无故障的老化测试</w:t>
            </w:r>
          </w:p>
          <w:p w14:paraId="289A7759">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45、使用寿命：≥100000h</w:t>
            </w:r>
          </w:p>
          <w:p w14:paraId="6610219F">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46、均无故障时间：MTBF平均无故障时间≥20000h；MTTR平均修复时间≤4分钟</w:t>
            </w:r>
          </w:p>
          <w:p w14:paraId="4E0CFBD9">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47、屏幕温升：最高亮度（白平衡）持续工作4小时，模组表面温升小于20K</w:t>
            </w:r>
          </w:p>
          <w:p w14:paraId="0797134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48、为确保屏体在不同的环境下仍可正常启动工作，要求投标人所投LED显示屏须通过零下40℃和高温80℃的环境运行12h产品能正常工作。</w:t>
            </w:r>
          </w:p>
          <w:p w14:paraId="21E140D9">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49、支持自动GAMMA校正技术，14bit自动调节，通过构造非线性校正曲线和色坐标变换系数矩阵实现了显示效果的不断改善，各项重要指标如色彩还原性、色温调节范围、亮度均匀性、色度均匀性、刷新率、换帧频率等，均符合广电级标准</w:t>
            </w:r>
          </w:p>
          <w:p w14:paraId="5DE2B14F">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50、光生物安全检测：无危害类：8h（30000s）曝辐中不造成光化学紫外危害（ES），并在16min（1000s）内不造成近紫外危害（EUVA），并在2.8h（10000s）内不造成对视网膜蓝光危害（LB）并在10s内不造成对视网膜热危害（LR），且在1000s内不造成对眼睛的红外辐射危害（EIR）</w:t>
            </w:r>
          </w:p>
          <w:p w14:paraId="41C8977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51、盐雾：盐雾10级</w:t>
            </w:r>
          </w:p>
          <w:p w14:paraId="5C5BCE5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52、阻燃：PCB板、防火保护外壳及内部其他元器件均达到V-0等级</w:t>
            </w:r>
          </w:p>
          <w:p w14:paraId="3B4DE4F8">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53、产品通过 GB/T9254-2008《信息技术设备的无线电骚扰限值和测量方法》试验，辐射干扰检测结果符合标准规范要求，符合ClassB限值要求。在30-230MHz频率范围内，峰值限值 dB≤40μV/m；在230-1000MHz频率范围内，峰值限值 dB≤47μV/m</w:t>
            </w:r>
          </w:p>
          <w:p w14:paraId="017E3B3F">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54、支持一键点屏技术，开机后自动识别系统连接，无需重置系统配置</w:t>
            </w:r>
          </w:p>
          <w:p w14:paraId="46DDAF5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55、箱体防护等级：IK10</w:t>
            </w:r>
          </w:p>
          <w:p w14:paraId="35AE19FE">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56、抗震实验：显示屏通过YD 5083-2005标准抗震测试，测试结果满足抗震10级</w:t>
            </w:r>
          </w:p>
          <w:p w14:paraId="304046F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57、防呆设计：模组电源接口采用 4P 接插头，免工具维护,同时有防呆设计</w:t>
            </w:r>
          </w:p>
          <w:p w14:paraId="0B60A20F">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58、摩尔纹抑制功能：显示屏支持抑制摩尔纹功能，减轻摩尔纹视觉主观效果80%</w:t>
            </w:r>
          </w:p>
          <w:p w14:paraId="295A7E92">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59、高海拔工作试验：5000米海拔环境下，产品可正常工作</w:t>
            </w:r>
          </w:p>
          <w:p w14:paraId="6C6D351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60、表面硬度：具备划痕性能技术,表面硬度≥15H</w:t>
            </w:r>
          </w:p>
          <w:p w14:paraId="2389E074">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61、浪涌 （冲击）抗扰度：LED 显示屏通过符合 GB/T17626.5-2008 标准的浪涌 （冲击）抗扰度试验</w:t>
            </w:r>
          </w:p>
          <w:p w14:paraId="6C6704AD">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62、具备防蓝光护眼功能，蓝光辐射能量≤20%。蓝光辐射能量值对人眼视网膜无伤害，LED显示屏蓝光辐亮度≤80W.m-2.sr-1,符合肉眼观看标准。</w:t>
            </w:r>
          </w:p>
          <w:p w14:paraId="60B4D056">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63、IPX6滑石粉密度：2KG/m3网孔径75um使用次数：小于20次，实验时间8H。试验后检查样品无进尘现象。屏幕防尘等级符合IP6X（防尘）</w:t>
            </w:r>
          </w:p>
          <w:p w14:paraId="123EC40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64、产品符合TIRT-GK-JS-55-2020《显示设备显示性能视觉健康认证技术规范第5部分：室内图像显示系统显示屏》技术标准</w:t>
            </w:r>
          </w:p>
          <w:p w14:paraId="0F8FCD5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65、▲要求投标人所投LED显示屏支持DVI、VGA输入、支持HDMI视频输入、支持视频PAL/NTSC制式自适应、支持复合视频信号、支持USB输入、支持IP输入、支持CVBS/DP/HDBASE输入、支持光纤/网络等接口输入。</w:t>
            </w:r>
          </w:p>
          <w:p w14:paraId="798ED6BF">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66、所投LED显示屏产品在1×105～1×109Ω技术要求下满足点对点电阻（A面）≤3.52×108；点对点电阻（B面）≤2.28×108；并且在（±1000-±100V）≤2S的技术要求下满足静电电压衰减期值：（+V：0.26S,-V：0.31S）</w:t>
            </w:r>
          </w:p>
          <w:p w14:paraId="692CE4B7">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67、所投LED显示屏的灯管耐焊耐热：灯珠引脚无氧化,焊接正常,灯珠胶体正常,点亮正常；灯管抗静电(ESD)测试：HBM模式:ESD&gt;2000V,灯珠点亮无异常；灯管红墨水试验：纯红墨水常温浸泡24h,无渗透,灯管气密性良好。</w:t>
            </w:r>
          </w:p>
          <w:p w14:paraId="16BFA401">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68、为不影响屏体周边人员的健康，要求投标人所投LED显示屏在正常工作中，显示屏1m范围内，前后左右4个位置噪音不大于1.4dB；所投LED显示屏观看舒适度需符合：人眼视觉舒适度(VICO)1级，基本无疲劳感。</w:t>
            </w:r>
          </w:p>
          <w:p w14:paraId="7FE44F07">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以上1-68技术参数需提供权威检测机构出具带有CNAS、CMA、ilac-MRA认证的检测报告复印件并加盖原厂公章。</w:t>
            </w:r>
          </w:p>
          <w:p w14:paraId="7532F410">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69、所投产品具备高光效集成线路控制系统、集成泛光灯线路控制系统（提供有效的技术证明文件，并加盖制造商公章）</w:t>
            </w:r>
          </w:p>
          <w:p w14:paraId="6735CE37">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70、所投产品支持坏点逐级校正检测（提供有效的技术证明文件，并加盖制造商公章）</w:t>
            </w:r>
          </w:p>
          <w:p w14:paraId="7BC24EBA">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71、提供LED显示屏老化测试软件。（提供有效的技术证明文件，并加盖制造商公章）</w:t>
            </w:r>
          </w:p>
          <w:p w14:paraId="53939075">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72、所投产品支持屏幕智能组态电源检测（提供有效的技术证明文件，并加盖制造商公章）</w:t>
            </w:r>
          </w:p>
          <w:p w14:paraId="026A629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所投产品具有CCC、CE、ROHS、FCC认证证书（提供证书扫描件）</w:t>
            </w:r>
          </w:p>
          <w:p w14:paraId="05AA8DB4">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含播放盒，箱体结构等辅材</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E4EB73E">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0"/>
                <w:szCs w:val="20"/>
                <w:lang w:val="en-US" w:eastAsia="zh-CN" w:bidi="ar"/>
              </w:rPr>
              <w:t>m</w:t>
            </w:r>
            <w:r>
              <w:rPr>
                <w:rFonts w:hint="eastAsia" w:ascii="宋体" w:hAnsi="宋体" w:eastAsia="宋体" w:cs="宋体"/>
                <w:b w:val="0"/>
                <w:bCs w:val="0"/>
                <w:caps w:val="0"/>
                <w:snapToGrid w:val="0"/>
                <w:color w:val="000000"/>
                <w:spacing w:val="0"/>
                <w:kern w:val="0"/>
                <w:sz w:val="15"/>
                <w:szCs w:val="15"/>
                <w:vertAlign w:val="baseline"/>
                <w:lang w:val="en-US" w:eastAsia="zh-CN" w:bidi="ar"/>
              </w:rPr>
              <w:t>2</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173E3A2">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0.93</w:t>
            </w:r>
          </w:p>
        </w:tc>
      </w:tr>
      <w:tr w14:paraId="3CCF84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69A43B3">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3B9CA64">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播放盒</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265C2B0">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WiFi控制</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907A244">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0"/>
                <w:szCs w:val="20"/>
                <w:lang w:val="en-US" w:eastAsia="zh-CN" w:bidi="ar"/>
              </w:rPr>
              <w:t>台</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028DF7E">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1</w:t>
            </w:r>
          </w:p>
        </w:tc>
      </w:tr>
      <w:tr w14:paraId="1EAEE4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4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D8140E4">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3</w:t>
            </w:r>
          </w:p>
        </w:tc>
        <w:tc>
          <w:tcPr>
            <w:tcW w:w="29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A5312BB">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弧形箱体结构</w:t>
            </w:r>
          </w:p>
        </w:tc>
        <w:tc>
          <w:tcPr>
            <w:tcW w:w="377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576868C">
            <w:pPr>
              <w:keepNext w:val="0"/>
              <w:keepLines w:val="0"/>
              <w:widowControl/>
              <w:suppressLineNumbers w:val="0"/>
              <w:spacing w:before="0" w:beforeAutospacing="0" w:after="0" w:afterAutospacing="0" w:line="240" w:lineRule="auto"/>
              <w:ind w:left="0" w:right="0" w:firstLine="0"/>
              <w:jc w:val="left"/>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50*100铝型材定制</w:t>
            </w:r>
          </w:p>
        </w:tc>
        <w:tc>
          <w:tcPr>
            <w:tcW w:w="22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3C7E3FB">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0"/>
                <w:szCs w:val="20"/>
                <w:lang w:val="en-US" w:eastAsia="zh-CN" w:bidi="ar"/>
              </w:rPr>
              <w:t>m</w:t>
            </w:r>
            <w:r>
              <w:rPr>
                <w:rFonts w:hint="eastAsia" w:ascii="宋体" w:hAnsi="宋体" w:eastAsia="宋体" w:cs="宋体"/>
                <w:b w:val="0"/>
                <w:bCs w:val="0"/>
                <w:caps w:val="0"/>
                <w:snapToGrid w:val="0"/>
                <w:color w:val="000000"/>
                <w:spacing w:val="0"/>
                <w:kern w:val="0"/>
                <w:sz w:val="15"/>
                <w:szCs w:val="15"/>
                <w:vertAlign w:val="baseline"/>
                <w:lang w:val="en-US" w:eastAsia="zh-CN" w:bidi="ar"/>
              </w:rPr>
              <w:t>2</w:t>
            </w:r>
          </w:p>
        </w:tc>
        <w:tc>
          <w:tcPr>
            <w:tcW w:w="45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AEEBEE2">
            <w:pPr>
              <w:keepNext w:val="0"/>
              <w:keepLines w:val="0"/>
              <w:widowControl/>
              <w:suppressLineNumbers w:val="0"/>
              <w:spacing w:before="0" w:beforeAutospacing="0" w:after="0" w:afterAutospacing="0" w:line="240" w:lineRule="auto"/>
              <w:ind w:left="0" w:right="0" w:firstLine="0"/>
              <w:jc w:val="center"/>
              <w:textAlignment w:val="center"/>
              <w:rPr>
                <w:rFonts w:hint="default" w:ascii="Arial" w:hAnsi="Arial" w:cs="Arial"/>
                <w:b w:val="0"/>
                <w:bCs w:val="0"/>
                <w:color w:val="000000"/>
                <w:sz w:val="18"/>
                <w:szCs w:val="18"/>
              </w:rPr>
            </w:pPr>
            <w:r>
              <w:rPr>
                <w:rFonts w:hint="eastAsia" w:ascii="宋体" w:hAnsi="宋体" w:eastAsia="宋体" w:cs="宋体"/>
                <w:b w:val="0"/>
                <w:bCs w:val="0"/>
                <w:caps w:val="0"/>
                <w:snapToGrid w:val="0"/>
                <w:color w:val="000000"/>
                <w:spacing w:val="0"/>
                <w:kern w:val="0"/>
                <w:sz w:val="21"/>
                <w:szCs w:val="21"/>
                <w:lang w:val="en-US" w:eastAsia="zh-CN" w:bidi="ar"/>
              </w:rPr>
              <w:t>2.46</w:t>
            </w:r>
          </w:p>
        </w:tc>
      </w:tr>
    </w:tbl>
    <w:p w14:paraId="329DD85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9C40DC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37D9200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宋体" w:hAnsi="宋体" w:cs="宋体"/>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交货安装</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）的时间（期限）</w:t>
      </w:r>
      <w:r>
        <w:rPr>
          <w:rFonts w:hint="eastAsia" w:asciiTheme="minorEastAsia" w:hAnsiTheme="minorEastAsia" w:eastAsiaTheme="minorEastAsia" w:cstheme="minorEastAsia"/>
          <w:spacing w:val="-1"/>
          <w:sz w:val="24"/>
          <w:szCs w:val="24"/>
          <w:lang w:val="en-US" w:eastAsia="zh-CN"/>
        </w:rPr>
        <w:t>:</w:t>
      </w:r>
      <w:r>
        <w:rPr>
          <w:rFonts w:hint="eastAsia" w:ascii="宋体" w:hAnsi="宋体" w:cs="宋体"/>
          <w:color w:val="000000" w:themeColor="text1"/>
          <w:kern w:val="0"/>
          <w:sz w:val="24"/>
          <w:szCs w:val="24"/>
          <w14:textFill>
            <w14:solidFill>
              <w14:schemeClr w14:val="tx1"/>
            </w14:solidFill>
          </w14:textFill>
        </w:rPr>
        <w:t>合同签订后</w:t>
      </w:r>
      <w:r>
        <w:rPr>
          <w:rFonts w:hint="eastAsia" w:ascii="宋体" w:hAnsi="宋体" w:cs="宋体"/>
          <w:color w:val="000000" w:themeColor="text1"/>
          <w:kern w:val="0"/>
          <w:sz w:val="24"/>
          <w:szCs w:val="24"/>
          <w:lang w:val="en-US" w:eastAsia="zh-CN"/>
          <w14:textFill>
            <w14:solidFill>
              <w14:schemeClr w14:val="tx1"/>
            </w14:solidFill>
          </w14:textFill>
        </w:rPr>
        <w:t>30</w:t>
      </w:r>
      <w:r>
        <w:rPr>
          <w:rFonts w:hint="eastAsia" w:ascii="宋体" w:hAnsi="宋体" w:cs="宋体"/>
          <w:color w:val="000000" w:themeColor="text1"/>
          <w:kern w:val="0"/>
          <w:sz w:val="24"/>
          <w:szCs w:val="24"/>
          <w14:textFill>
            <w14:solidFill>
              <w14:schemeClr w14:val="tx1"/>
            </w14:solidFill>
          </w14:textFill>
        </w:rPr>
        <w:t>日历天</w:t>
      </w:r>
    </w:p>
    <w:p w14:paraId="1C772472">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714" w:firstLineChars="3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2"/>
          <w:sz w:val="24"/>
          <w:szCs w:val="24"/>
        </w:rPr>
        <w:t>（范围）</w:t>
      </w:r>
      <w:r>
        <w:rPr>
          <w:rFonts w:hint="eastAsia" w:asciiTheme="minorEastAsia" w:hAnsiTheme="minorEastAsia" w:eastAsiaTheme="minorEastAsia" w:cstheme="minorEastAsia"/>
          <w:spacing w:val="-2"/>
          <w:sz w:val="24"/>
          <w:szCs w:val="24"/>
          <w:lang w:val="en-US" w:eastAsia="zh-CN"/>
        </w:rPr>
        <w:t>:采购人指定地址。</w:t>
      </w:r>
    </w:p>
    <w:p w14:paraId="211F5580">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2.付款方式（应符合南阳市财政局关于印发《关于压缩各环节时间进一步优化政府采购营商环境的通知》（宛财购〔2022〕5号）的要求）</w:t>
      </w:r>
    </w:p>
    <w:p w14:paraId="1A0F656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3.包装和运输</w:t>
      </w:r>
      <w:r>
        <w:rPr>
          <w:rFonts w:hint="eastAsia" w:asciiTheme="minorEastAsia" w:hAnsiTheme="minorEastAsia" w:eastAsiaTheme="minorEastAsia" w:cstheme="minorEastAsia"/>
          <w:spacing w:val="-2"/>
          <w:sz w:val="24"/>
          <w:szCs w:val="24"/>
          <w:lang w:eastAsia="zh-CN"/>
        </w:rPr>
        <w:t>：</w:t>
      </w:r>
      <w:r>
        <w:rPr>
          <w:rFonts w:hint="eastAsia"/>
          <w:color w:val="000000" w:themeColor="text1"/>
          <w:sz w:val="24"/>
          <w:szCs w:val="24"/>
          <w:lang w:val="en-US" w:eastAsia="zh-CN"/>
          <w14:textFill>
            <w14:solidFill>
              <w14:schemeClr w14:val="tx1"/>
            </w14:solidFill>
          </w14:textFill>
        </w:rPr>
        <w:t>包含设备的运输、安装、维护等</w:t>
      </w:r>
    </w:p>
    <w:p w14:paraId="02A4F70B">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48"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8"/>
          <w:sz w:val="24"/>
          <w:szCs w:val="24"/>
        </w:rPr>
        <w:t>4.质保期</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lang w:val="en-US" w:eastAsia="zh-CN"/>
        </w:rPr>
        <w:t>1年</w:t>
      </w:r>
    </w:p>
    <w:p w14:paraId="4C300D0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5"/>
          <w:sz w:val="24"/>
          <w:szCs w:val="24"/>
          <w:lang w:val="en-US" w:eastAsia="zh-CN"/>
        </w:rPr>
        <w:t>关于强制节能产品的要求：操作电脑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(对于强制采购的节能产品交货时必须提供节能证明材料)</w:t>
      </w:r>
    </w:p>
    <w:p w14:paraId="161B4675">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2"/>
          <w:sz w:val="24"/>
          <w:szCs w:val="24"/>
        </w:rPr>
        <w:t>保险（如适用）</w:t>
      </w:r>
    </w:p>
    <w:p w14:paraId="5C7D58B2">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及方式</w:t>
      </w:r>
    </w:p>
    <w:p w14:paraId="678F8FA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样品，样品提供要求、方式、摆放时间及地点；</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样品。</w:t>
      </w:r>
    </w:p>
    <w:p w14:paraId="57F3778B">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演示，演示要求、内容、方式及地点。鼓励使用不见面演示；</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演示。</w:t>
      </w:r>
    </w:p>
    <w:p w14:paraId="77882EE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pacing w:val="-1"/>
          <w:sz w:val="24"/>
          <w:szCs w:val="24"/>
        </w:rPr>
        <w:t>其他要求（如有）</w:t>
      </w:r>
    </w:p>
    <w:p w14:paraId="5F3EC16E">
      <w:pPr>
        <w:pStyle w:val="5"/>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4462645">
      <w:pPr>
        <w:pStyle w:val="22"/>
        <w:rPr>
          <w:rFonts w:hint="eastAsia"/>
          <w:lang w:val="en-US" w:eastAsia="zh-CN"/>
        </w:rPr>
      </w:pPr>
    </w:p>
    <w:p w14:paraId="44C06250">
      <w:pPr>
        <w:pStyle w:val="5"/>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39B62077">
      <w:pPr>
        <w:pStyle w:val="5"/>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5F105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17B50D1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27F1FE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F785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FC77A71">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FC1E27">
            <w:pPr>
              <w:pStyle w:val="24"/>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4C6A7B94">
            <w:pPr>
              <w:pStyle w:val="24"/>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32EEF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EFD81">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D16A696">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3092DA94">
            <w:pPr>
              <w:pStyle w:val="24"/>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BE6C904">
            <w:pPr>
              <w:pStyle w:val="24"/>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9B41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33EDFD50">
            <w:pPr>
              <w:pStyle w:val="2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0C4CA14B">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A35DB8F">
            <w:pPr>
              <w:pStyle w:val="24"/>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2A4076EE">
            <w:pPr>
              <w:pStyle w:val="2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747F765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1287F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9D17349">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6D69C998">
            <w:pPr>
              <w:pStyle w:val="2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283772C9">
            <w:pPr>
              <w:pStyle w:val="2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252C144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C434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C9B1A3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54D5FED">
            <w:pPr>
              <w:pStyle w:val="24"/>
              <w:keepNext w:val="0"/>
              <w:keepLines w:val="0"/>
              <w:pageBreakBefore w:val="0"/>
              <w:widowControl/>
              <w:numPr>
                <w:ilvl w:val="0"/>
                <w:numId w:val="3"/>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工业（制造业）</w:t>
            </w:r>
          </w:p>
          <w:p w14:paraId="419FD58D">
            <w:pPr>
              <w:pStyle w:val="24"/>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□本项目专门面向中小企业采购。</w:t>
            </w:r>
          </w:p>
          <w:p w14:paraId="7D22C5B2">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10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62C303F0">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7CD27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0842F28">
            <w:pPr>
              <w:pStyle w:val="24"/>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7241BD6C">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31C3861">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696AEC3">
            <w:pPr>
              <w:pStyle w:val="24"/>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45C44216">
            <w:pPr>
              <w:pStyle w:val="24"/>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088A1831">
            <w:pPr>
              <w:pStyle w:val="24"/>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4BA3D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A21922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2521C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874048.11元</w:t>
            </w:r>
            <w:r>
              <w:rPr>
                <w:rFonts w:hint="eastAsia" w:asciiTheme="minorEastAsia" w:hAnsiTheme="minorEastAsia" w:eastAsiaTheme="minorEastAsia" w:cstheme="minorEastAsia"/>
                <w:snapToGrid w:val="0"/>
                <w:color w:val="000000"/>
                <w:spacing w:val="29"/>
                <w:kern w:val="0"/>
                <w:sz w:val="24"/>
                <w:szCs w:val="24"/>
                <w:lang w:val="en-US" w:eastAsia="zh-CN" w:bidi="ar-SA"/>
              </w:rPr>
              <w:t>元</w:t>
            </w:r>
          </w:p>
        </w:tc>
      </w:tr>
      <w:tr w14:paraId="2EB6D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945DF1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0F677C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7A9F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82D70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6D547B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5DB59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E9DF98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1E4FCE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hAnsi="宋体"/>
                <w:color w:val="auto"/>
                <w:sz w:val="24"/>
                <w:szCs w:val="24"/>
              </w:rPr>
              <w:t xml:space="preserve"> </w:t>
            </w:r>
            <w:r>
              <w:rPr>
                <w:rFonts w:hint="eastAsia"/>
                <w:color w:val="auto"/>
                <w:sz w:val="24"/>
                <w:szCs w:val="24"/>
                <w:lang w:eastAsia="zh-CN"/>
              </w:rPr>
              <w:t>2025</w:t>
            </w:r>
            <w:r>
              <w:rPr>
                <w:rFonts w:hint="eastAsia"/>
                <w:color w:val="auto"/>
                <w:sz w:val="24"/>
                <w:szCs w:val="24"/>
              </w:rPr>
              <w:t>年</w:t>
            </w:r>
            <w:r>
              <w:rPr>
                <w:rFonts w:hint="eastAsia"/>
                <w:color w:val="auto"/>
                <w:sz w:val="24"/>
                <w:szCs w:val="24"/>
                <w:lang w:val="en-US" w:eastAsia="zh-CN"/>
              </w:rPr>
              <w:t>4</w:t>
            </w:r>
            <w:r>
              <w:rPr>
                <w:rFonts w:hint="eastAsia"/>
                <w:color w:val="auto"/>
                <w:sz w:val="24"/>
                <w:szCs w:val="24"/>
              </w:rPr>
              <w:t>月</w:t>
            </w:r>
            <w:r>
              <w:rPr>
                <w:rFonts w:hint="eastAsia"/>
                <w:color w:val="auto"/>
                <w:sz w:val="24"/>
                <w:szCs w:val="24"/>
                <w:lang w:val="en-US" w:eastAsia="zh-CN"/>
              </w:rPr>
              <w:t>11</w:t>
            </w:r>
            <w:r>
              <w:rPr>
                <w:rFonts w:hint="eastAsia"/>
                <w:color w:val="auto"/>
                <w:sz w:val="24"/>
                <w:szCs w:val="24"/>
              </w:rPr>
              <w:t>日</w:t>
            </w:r>
            <w:r>
              <w:rPr>
                <w:rFonts w:hint="eastAsia"/>
                <w:color w:val="auto"/>
                <w:sz w:val="24"/>
                <w:szCs w:val="24"/>
                <w:lang w:val="en-US" w:eastAsia="zh-CN"/>
              </w:rPr>
              <w:t>8</w:t>
            </w:r>
            <w:r>
              <w:rPr>
                <w:rFonts w:hint="eastAsia"/>
                <w:color w:val="auto"/>
                <w:sz w:val="24"/>
                <w:szCs w:val="24"/>
              </w:rPr>
              <w:t>点</w:t>
            </w:r>
            <w:r>
              <w:rPr>
                <w:rFonts w:hint="eastAsia"/>
                <w:color w:val="auto"/>
                <w:sz w:val="24"/>
                <w:szCs w:val="24"/>
                <w:lang w:val="en-US" w:eastAsia="zh-CN"/>
              </w:rPr>
              <w:t>3</w:t>
            </w:r>
            <w:r>
              <w:rPr>
                <w:rFonts w:hint="eastAsia"/>
                <w:color w:val="auto"/>
                <w:sz w:val="24"/>
                <w:szCs w:val="24"/>
              </w:rPr>
              <w:t>0</w:t>
            </w:r>
            <w:r>
              <w:rPr>
                <w:rFonts w:hint="eastAsia"/>
                <w:color w:val="auto"/>
                <w:sz w:val="24"/>
                <w:szCs w:val="24"/>
                <w:lang w:val="en-US" w:eastAsia="zh-CN"/>
              </w:rPr>
              <w:t>分</w:t>
            </w:r>
            <w:r>
              <w:rPr>
                <w:rFonts w:hint="eastAsia" w:hAnsi="宋体"/>
                <w:color w:val="auto"/>
                <w:sz w:val="24"/>
                <w:szCs w:val="24"/>
              </w:rPr>
              <w:t>（北京时间）</w:t>
            </w:r>
          </w:p>
        </w:tc>
      </w:tr>
      <w:tr w14:paraId="3B93F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BE8C47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668EA4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u w:val="single"/>
                <w:lang w:eastAsia="zh-CN"/>
              </w:rPr>
            </w:pPr>
            <w:r>
              <w:rPr>
                <w:rFonts w:hint="eastAsia" w:hAnsi="宋体"/>
                <w:color w:val="auto"/>
                <w:sz w:val="24"/>
                <w:szCs w:val="24"/>
              </w:rPr>
              <w:t xml:space="preserve"> </w:t>
            </w:r>
            <w:r>
              <w:rPr>
                <w:rFonts w:hint="eastAsia"/>
                <w:color w:val="auto"/>
                <w:sz w:val="24"/>
                <w:szCs w:val="24"/>
                <w:lang w:eastAsia="zh-CN"/>
              </w:rPr>
              <w:t>2025</w:t>
            </w:r>
            <w:r>
              <w:rPr>
                <w:rFonts w:hint="eastAsia"/>
                <w:color w:val="auto"/>
                <w:sz w:val="24"/>
                <w:szCs w:val="24"/>
              </w:rPr>
              <w:t>年</w:t>
            </w:r>
            <w:r>
              <w:rPr>
                <w:rFonts w:hint="eastAsia"/>
                <w:color w:val="auto"/>
                <w:sz w:val="24"/>
                <w:szCs w:val="24"/>
                <w:lang w:val="en-US" w:eastAsia="zh-CN"/>
              </w:rPr>
              <w:t>4</w:t>
            </w:r>
            <w:r>
              <w:rPr>
                <w:rFonts w:hint="eastAsia"/>
                <w:color w:val="auto"/>
                <w:sz w:val="24"/>
                <w:szCs w:val="24"/>
              </w:rPr>
              <w:t>月</w:t>
            </w:r>
            <w:r>
              <w:rPr>
                <w:rFonts w:hint="eastAsia"/>
                <w:color w:val="auto"/>
                <w:sz w:val="24"/>
                <w:szCs w:val="24"/>
                <w:lang w:val="en-US" w:eastAsia="zh-CN"/>
              </w:rPr>
              <w:t>11</w:t>
            </w:r>
            <w:r>
              <w:rPr>
                <w:rFonts w:hint="eastAsia"/>
                <w:color w:val="auto"/>
                <w:sz w:val="24"/>
                <w:szCs w:val="24"/>
              </w:rPr>
              <w:t>日</w:t>
            </w:r>
            <w:r>
              <w:rPr>
                <w:rFonts w:hint="eastAsia"/>
                <w:color w:val="auto"/>
                <w:sz w:val="24"/>
                <w:szCs w:val="24"/>
                <w:lang w:val="en-US" w:eastAsia="zh-CN"/>
              </w:rPr>
              <w:t>8</w:t>
            </w:r>
            <w:r>
              <w:rPr>
                <w:rFonts w:hint="eastAsia"/>
                <w:color w:val="auto"/>
                <w:sz w:val="24"/>
                <w:szCs w:val="24"/>
              </w:rPr>
              <w:t>点</w:t>
            </w:r>
            <w:r>
              <w:rPr>
                <w:rFonts w:hint="eastAsia"/>
                <w:color w:val="auto"/>
                <w:sz w:val="24"/>
                <w:szCs w:val="24"/>
                <w:lang w:val="en-US" w:eastAsia="zh-CN"/>
              </w:rPr>
              <w:t>3</w:t>
            </w:r>
            <w:r>
              <w:rPr>
                <w:rFonts w:hint="eastAsia"/>
                <w:color w:val="auto"/>
                <w:sz w:val="24"/>
                <w:szCs w:val="24"/>
              </w:rPr>
              <w:t>0</w:t>
            </w:r>
            <w:r>
              <w:rPr>
                <w:rFonts w:hint="eastAsia"/>
                <w:color w:val="auto"/>
                <w:sz w:val="24"/>
                <w:szCs w:val="24"/>
                <w:lang w:val="en-US" w:eastAsia="zh-CN"/>
              </w:rPr>
              <w:t>分</w:t>
            </w:r>
            <w:r>
              <w:rPr>
                <w:rFonts w:hint="eastAsia" w:hAnsi="宋体"/>
                <w:color w:val="auto"/>
                <w:sz w:val="24"/>
                <w:szCs w:val="24"/>
              </w:rPr>
              <w:t>（北京时间）</w:t>
            </w:r>
            <w:bookmarkStart w:id="12" w:name="_GoBack"/>
            <w:bookmarkEnd w:id="12"/>
          </w:p>
        </w:tc>
      </w:tr>
      <w:tr w14:paraId="7F95A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B9398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2D02F3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FF0000"/>
                <w:sz w:val="24"/>
                <w:szCs w:val="24"/>
                <w:lang w:eastAsia="zh-CN"/>
              </w:rPr>
            </w:pPr>
            <w:r>
              <w:rPr>
                <w:rFonts w:hint="eastAsia" w:ascii="宋体" w:hAnsi="宋体"/>
                <w:b/>
                <w:color w:val="auto"/>
                <w:sz w:val="24"/>
                <w:highlight w:val="none"/>
                <w:lang w:val="en-US" w:eastAsia="zh-CN"/>
              </w:rPr>
              <w:t>户外全彩LED屏</w:t>
            </w:r>
          </w:p>
        </w:tc>
      </w:tr>
      <w:tr w14:paraId="0702D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8A63CD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BDD6D1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7D7D9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32BC1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6BFC25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p w14:paraId="6ED6AE9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4"/>
                <w:sz w:val="24"/>
                <w:szCs w:val="24"/>
                <w:lang w:val="en-US" w:eastAsia="zh-CN"/>
              </w:rPr>
              <w:t>推荐的成交候选人数：1-3名</w:t>
            </w:r>
          </w:p>
        </w:tc>
      </w:tr>
      <w:tr w14:paraId="1F1EF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5FD923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E2F50A6">
            <w:pPr>
              <w:pStyle w:val="24"/>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lang w:val="en-US" w:eastAsia="zh-CN"/>
              </w:rPr>
              <w:t>集中采购机构不收费</w:t>
            </w:r>
          </w:p>
          <w:p w14:paraId="6F8CB41D">
            <w:pPr>
              <w:pStyle w:val="24"/>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采购人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14:paraId="27214723">
            <w:pPr>
              <w:pStyle w:val="24"/>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13"/>
                <w:sz w:val="24"/>
                <w:szCs w:val="24"/>
                <w:lang w:val="en-US" w:eastAsia="zh-CN"/>
              </w:rPr>
              <w:t>收费标准：参照关于印发《河南省招标代理服务收费标准》的通知-豫招办[2023]002 号等相关规定收费，</w:t>
            </w:r>
          </w:p>
        </w:tc>
      </w:tr>
      <w:tr w14:paraId="30C3E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720E4B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宋体" w:hAnsi="宋体" w:cs="宋体"/>
                <w:bCs/>
                <w:kern w:val="0"/>
              </w:rPr>
              <w:t>合格投标人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2C43112">
            <w:pPr>
              <w:shd w:val="clear" w:color="auto" w:fill="FFFFFF"/>
              <w:spacing w:line="480" w:lineRule="atLeast"/>
              <w:ind w:firstLine="470"/>
              <w:rPr>
                <w:rFonts w:ascii="宋体" w:hAnsi="宋体" w:cs="宋体"/>
                <w:sz w:val="22"/>
                <w:szCs w:val="22"/>
              </w:rPr>
            </w:pPr>
            <w:r>
              <w:rPr>
                <w:rFonts w:hint="eastAsia" w:ascii="宋体" w:hAnsi="宋体" w:cs="宋体"/>
                <w:sz w:val="22"/>
                <w:szCs w:val="22"/>
                <w:shd w:val="clear" w:color="auto" w:fill="FFFFFF"/>
                <w:lang w:bidi="ar"/>
              </w:rPr>
              <w:t>1、满足《中华人民共和国政府采购法》第二十二条规定；</w:t>
            </w:r>
          </w:p>
          <w:p w14:paraId="2F708616">
            <w:pPr>
              <w:shd w:val="clear" w:color="auto" w:fill="FFFFFF"/>
              <w:spacing w:line="480" w:lineRule="atLeast"/>
              <w:ind w:firstLine="470"/>
              <w:rPr>
                <w:rFonts w:ascii="宋体" w:hAnsi="宋体" w:cs="宋体"/>
                <w:sz w:val="22"/>
                <w:szCs w:val="22"/>
              </w:rPr>
            </w:pPr>
            <w:r>
              <w:rPr>
                <w:rFonts w:hint="eastAsia" w:ascii="宋体" w:hAnsi="宋体" w:cs="宋体"/>
                <w:sz w:val="22"/>
                <w:szCs w:val="22"/>
                <w:shd w:val="clear" w:color="auto" w:fill="FFFFFF"/>
                <w:lang w:bidi="ar"/>
              </w:rPr>
              <w:t>2、落实政府采购政策满足的资格要求：</w:t>
            </w:r>
          </w:p>
          <w:p w14:paraId="193EE392">
            <w:pPr>
              <w:wordWrap w:val="0"/>
              <w:spacing w:line="360" w:lineRule="auto"/>
              <w:jc w:val="left"/>
              <w:rPr>
                <w:rFonts w:hint="eastAsia" w:ascii="宋体" w:hAnsi="宋体"/>
                <w:b/>
                <w:bCs/>
                <w:color w:val="auto"/>
                <w:kern w:val="0"/>
                <w:sz w:val="21"/>
                <w:szCs w:val="21"/>
                <w:highlight w:val="none"/>
              </w:rPr>
            </w:pPr>
            <w:r>
              <w:rPr>
                <w:rFonts w:hint="eastAsia"/>
                <w:sz w:val="22"/>
                <w:szCs w:val="22"/>
                <w:shd w:val="clear" w:color="auto" w:fill="FFFFFF"/>
                <w:lang w:bidi="ar"/>
              </w:rPr>
              <w:t>本项目执行节约能源、保护环境、扶持不发达地区和少数民族地区、促进中小企业发展、促进残疾人就业、促进监狱企业发展等政府采购政策。本项目支持河南省政府采购合同融资政策</w:t>
            </w:r>
            <w:r>
              <w:rPr>
                <w:rFonts w:hint="eastAsia"/>
                <w:szCs w:val="21"/>
                <w:shd w:val="clear" w:color="auto" w:fill="FFFFFF"/>
                <w:lang w:bidi="ar"/>
              </w:rPr>
              <w:t>。</w:t>
            </w:r>
            <w:r>
              <w:rPr>
                <w:rFonts w:hint="eastAsia" w:ascii="宋体" w:hAnsi="宋体"/>
                <w:b/>
                <w:bCs/>
                <w:color w:val="auto"/>
                <w:kern w:val="0"/>
                <w:sz w:val="21"/>
                <w:szCs w:val="21"/>
                <w:highlight w:val="none"/>
              </w:rPr>
              <w:t>根据《关于在政府采购活动中试行供应商资格信用承诺制的通知 》（宛财购〔2021〕12号）文件要求，本项目实行信用承诺制，供应商在制作递交响应文件时按规定提交“南阳市政府采购供应商信用承诺函”（模板详见</w:t>
            </w:r>
            <w:r>
              <w:rPr>
                <w:rFonts w:hint="eastAsia" w:ascii="宋体" w:hAnsi="宋体"/>
                <w:b/>
                <w:bCs/>
                <w:color w:val="auto"/>
                <w:kern w:val="0"/>
                <w:sz w:val="21"/>
                <w:szCs w:val="21"/>
                <w:highlight w:val="none"/>
                <w:lang w:val="en-US" w:eastAsia="zh-CN"/>
              </w:rPr>
              <w:t>投标</w:t>
            </w:r>
            <w:r>
              <w:rPr>
                <w:rFonts w:hint="eastAsia" w:ascii="宋体" w:hAnsi="宋体"/>
                <w:b/>
                <w:bCs/>
                <w:color w:val="auto"/>
                <w:kern w:val="0"/>
                <w:sz w:val="21"/>
                <w:szCs w:val="21"/>
                <w:highlight w:val="none"/>
              </w:rPr>
              <w:t xml:space="preserve">文件格式），无需再提供以下6项证明材料，供应商在中标（成交）后，中标（采购）供应商应将上述由信用函代替的证明材料提交给采购人、采购代理机构在发布中标（成交）公示时予以公示，接受社会监督。 </w:t>
            </w:r>
          </w:p>
          <w:p w14:paraId="2272CA5A">
            <w:pPr>
              <w:wordWrap w:val="0"/>
              <w:spacing w:line="360" w:lineRule="auto"/>
              <w:jc w:val="left"/>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rPr>
              <w:t xml:space="preserve">（1）具有独立承担民事责任的能力。 </w:t>
            </w:r>
          </w:p>
          <w:p w14:paraId="2FE9E54E">
            <w:pPr>
              <w:wordWrap w:val="0"/>
              <w:spacing w:line="360" w:lineRule="auto"/>
              <w:jc w:val="left"/>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rPr>
              <w:t xml:space="preserve">（2）具有良好的商业信誉和健全的财务会计制度。 </w:t>
            </w:r>
          </w:p>
          <w:p w14:paraId="7C4B1D8F">
            <w:pPr>
              <w:wordWrap w:val="0"/>
              <w:spacing w:line="360" w:lineRule="auto"/>
              <w:jc w:val="left"/>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rPr>
              <w:t xml:space="preserve">（3）具有履行合同所必需的设备和专业技术能力。 </w:t>
            </w:r>
          </w:p>
          <w:p w14:paraId="1502EE8A">
            <w:pPr>
              <w:wordWrap w:val="0"/>
              <w:spacing w:line="360" w:lineRule="auto"/>
              <w:jc w:val="left"/>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rPr>
              <w:t xml:space="preserve">（4）有依法缴纳税收和社会保障资金的良好记录。 </w:t>
            </w:r>
          </w:p>
          <w:p w14:paraId="44C401DE">
            <w:pPr>
              <w:wordWrap w:val="0"/>
              <w:spacing w:line="360" w:lineRule="auto"/>
              <w:jc w:val="left"/>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rPr>
              <w:t>（5）参加政府采购活动前三年内，在经营活动中没有重大违法记录。</w:t>
            </w:r>
          </w:p>
          <w:p w14:paraId="3CA1C2C8">
            <w:pPr>
              <w:wordWrap w:val="0"/>
              <w:spacing w:line="360" w:lineRule="auto"/>
              <w:jc w:val="left"/>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rPr>
              <w:t>（6）满足法律、行政法规规定的其他条件。</w:t>
            </w:r>
          </w:p>
          <w:p w14:paraId="2728EAE6">
            <w:pPr>
              <w:autoSpaceDE w:val="0"/>
              <w:autoSpaceDN w:val="0"/>
              <w:adjustRightInd w:val="0"/>
              <w:spacing w:after="120" w:line="440" w:lineRule="exact"/>
              <w:ind w:firstLine="480"/>
              <w:jc w:val="left"/>
              <w:rPr>
                <w:rFonts w:ascii="宋体" w:hAnsi="宋体" w:cs="宋体"/>
                <w:sz w:val="22"/>
              </w:rPr>
            </w:pPr>
            <w:r>
              <w:rPr>
                <w:rFonts w:hint="eastAsia" w:ascii="宋体" w:hAnsi="宋体" w:cs="宋体"/>
                <w:sz w:val="22"/>
              </w:rPr>
              <w:t>3、本项目的特定资格要求：</w:t>
            </w:r>
          </w:p>
          <w:p w14:paraId="3F039D2E">
            <w:pPr>
              <w:pStyle w:val="25"/>
              <w:spacing w:line="440" w:lineRule="exact"/>
              <w:ind w:firstLine="440" w:firstLineChars="200"/>
              <w:rPr>
                <w:rFonts w:hint="eastAsia" w:ascii="宋体" w:hAnsi="宋体" w:cs="宋体"/>
                <w:sz w:val="22"/>
              </w:rPr>
            </w:pPr>
            <w:r>
              <w:rPr>
                <w:rFonts w:hint="eastAsia" w:ascii="宋体" w:hAnsi="宋体" w:cs="宋体"/>
                <w:sz w:val="22"/>
                <w:lang w:val="en-US" w:eastAsia="zh-CN"/>
              </w:rPr>
              <w:t>3.</w:t>
            </w:r>
            <w:r>
              <w:rPr>
                <w:rFonts w:hint="eastAsia" w:ascii="宋体" w:hAnsi="宋体" w:cs="宋体"/>
                <w:sz w:val="22"/>
              </w:rPr>
              <w:t>1.符合《中华人民共和国政府采购法》第二十二条及《中华人民共和国政府采购法实施条例》第十七条规定：</w:t>
            </w:r>
          </w:p>
          <w:p w14:paraId="0EF09B14">
            <w:pPr>
              <w:pStyle w:val="25"/>
              <w:spacing w:line="440" w:lineRule="exact"/>
              <w:ind w:firstLine="440" w:firstLineChars="200"/>
              <w:rPr>
                <w:rFonts w:hint="eastAsia" w:ascii="宋体" w:hAnsi="宋体" w:cs="宋体"/>
                <w:sz w:val="22"/>
              </w:rPr>
            </w:pPr>
            <w:r>
              <w:rPr>
                <w:rFonts w:hint="eastAsia" w:ascii="宋体" w:hAnsi="宋体" w:cs="宋体"/>
                <w:sz w:val="22"/>
              </w:rPr>
              <w:t>（1）投标人应具有独立法人资格，具有有效的营业执照；</w:t>
            </w:r>
          </w:p>
          <w:p w14:paraId="0E31716B">
            <w:pPr>
              <w:pStyle w:val="25"/>
              <w:spacing w:line="440" w:lineRule="exact"/>
              <w:ind w:firstLine="440" w:firstLineChars="200"/>
              <w:rPr>
                <w:rFonts w:hint="eastAsia" w:ascii="宋体" w:hAnsi="宋体" w:cs="宋体"/>
                <w:sz w:val="22"/>
              </w:rPr>
            </w:pPr>
            <w:r>
              <w:rPr>
                <w:rFonts w:hint="eastAsia" w:ascii="宋体" w:hAnsi="宋体" w:cs="宋体"/>
                <w:sz w:val="22"/>
              </w:rPr>
              <w:t>（2）具有良好的商业信誉和健全的财务会计制度；</w:t>
            </w:r>
          </w:p>
          <w:p w14:paraId="36A266BD">
            <w:pPr>
              <w:pStyle w:val="25"/>
              <w:spacing w:line="440" w:lineRule="exact"/>
              <w:ind w:firstLine="440" w:firstLineChars="200"/>
              <w:rPr>
                <w:rFonts w:hint="eastAsia" w:ascii="宋体" w:hAnsi="宋体" w:cs="宋体"/>
                <w:sz w:val="22"/>
              </w:rPr>
            </w:pPr>
            <w:r>
              <w:rPr>
                <w:rFonts w:hint="eastAsia" w:ascii="宋体" w:hAnsi="宋体" w:cs="宋体"/>
                <w:sz w:val="22"/>
              </w:rPr>
              <w:t>（3）具有履行合同所必需的设备和专业技术能力</w:t>
            </w:r>
          </w:p>
          <w:p w14:paraId="7313BDA7">
            <w:pPr>
              <w:pStyle w:val="25"/>
              <w:spacing w:line="440" w:lineRule="exact"/>
              <w:ind w:firstLine="440" w:firstLineChars="200"/>
              <w:rPr>
                <w:rFonts w:hint="eastAsia" w:ascii="宋体" w:hAnsi="宋体" w:cs="宋体"/>
                <w:sz w:val="22"/>
              </w:rPr>
            </w:pPr>
            <w:r>
              <w:rPr>
                <w:rFonts w:hint="eastAsia" w:ascii="宋体" w:hAnsi="宋体" w:cs="宋体"/>
                <w:sz w:val="22"/>
              </w:rPr>
              <w:t>（4）有依法缴纳税收</w:t>
            </w:r>
            <w:r>
              <w:rPr>
                <w:rFonts w:hint="eastAsia" w:ascii="宋体" w:hAnsi="宋体" w:cs="宋体"/>
                <w:sz w:val="22"/>
                <w:lang w:val="en-US" w:eastAsia="zh-CN"/>
              </w:rPr>
              <w:t>及社保</w:t>
            </w:r>
            <w:r>
              <w:rPr>
                <w:rFonts w:hint="eastAsia" w:ascii="宋体" w:hAnsi="宋体" w:cs="宋体"/>
                <w:sz w:val="22"/>
              </w:rPr>
              <w:t>的良好记录</w:t>
            </w:r>
          </w:p>
          <w:p w14:paraId="0034C038">
            <w:pPr>
              <w:pStyle w:val="25"/>
              <w:spacing w:line="440" w:lineRule="exact"/>
              <w:ind w:firstLine="440" w:firstLineChars="200"/>
              <w:rPr>
                <w:rFonts w:hint="eastAsia" w:ascii="宋体" w:hAnsi="宋体" w:cs="宋体"/>
                <w:sz w:val="22"/>
              </w:rPr>
            </w:pPr>
            <w:r>
              <w:rPr>
                <w:rFonts w:hint="eastAsia" w:ascii="宋体" w:hAnsi="宋体" w:cs="宋体"/>
                <w:sz w:val="22"/>
              </w:rPr>
              <w:t>（5）参加政府采购活动前三年内（新成立的企业从成立之日起）,在政府采购活动中没有重大违法记录的书面声明；</w:t>
            </w:r>
          </w:p>
          <w:p w14:paraId="5DADDEEF">
            <w:pPr>
              <w:pStyle w:val="25"/>
              <w:spacing w:line="44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6</w:t>
            </w:r>
            <w:r>
              <w:rPr>
                <w:rFonts w:hint="eastAsia" w:ascii="宋体" w:hAnsi="宋体" w:cs="宋体"/>
                <w:sz w:val="22"/>
              </w:rPr>
              <w:t>）法律、行政法规规定的其他条件。</w:t>
            </w:r>
          </w:p>
          <w:p w14:paraId="1BC65BA9">
            <w:pPr>
              <w:pStyle w:val="25"/>
              <w:spacing w:line="440" w:lineRule="exact"/>
              <w:ind w:firstLine="440" w:firstLineChars="200"/>
              <w:rPr>
                <w:rFonts w:hint="eastAsia" w:ascii="宋体" w:hAnsi="宋体" w:cs="宋体"/>
                <w:sz w:val="22"/>
              </w:rPr>
            </w:pPr>
            <w:r>
              <w:rPr>
                <w:rFonts w:hint="eastAsia" w:ascii="宋体" w:hAnsi="宋体" w:cs="宋体"/>
                <w:sz w:val="22"/>
                <w:lang w:val="en-US" w:eastAsia="zh-CN"/>
              </w:rPr>
              <w:t>3.</w:t>
            </w:r>
            <w:r>
              <w:rPr>
                <w:rFonts w:hint="eastAsia" w:hAnsi="宋体" w:cs="宋体"/>
                <w:sz w:val="22"/>
                <w:lang w:val="en-US" w:eastAsia="zh-CN"/>
              </w:rPr>
              <w:t>2</w:t>
            </w:r>
            <w:r>
              <w:rPr>
                <w:rFonts w:hint="eastAsia" w:ascii="宋体" w:hAnsi="宋体" w:cs="宋体"/>
                <w:sz w:val="22"/>
              </w:rPr>
              <w:t>投标人需提供无行贿犯罪记录承诺函（承诺对象包括：投标企业、法定代表人）,并对其真实性负责，若承诺不实，所造成的后果由投标人承担；</w:t>
            </w:r>
          </w:p>
          <w:p w14:paraId="2C56A073">
            <w:pPr>
              <w:pStyle w:val="25"/>
              <w:spacing w:line="440" w:lineRule="exact"/>
              <w:ind w:firstLine="440" w:firstLineChars="200"/>
              <w:rPr>
                <w:rFonts w:hint="eastAsia" w:asciiTheme="minorEastAsia" w:hAnsiTheme="minorEastAsia" w:eastAsiaTheme="minorEastAsia" w:cstheme="minorEastAsia"/>
                <w:spacing w:val="-13"/>
                <w:sz w:val="24"/>
                <w:szCs w:val="24"/>
                <w:lang w:val="en-US" w:eastAsia="zh-CN"/>
              </w:rPr>
            </w:pPr>
            <w:r>
              <w:rPr>
                <w:rFonts w:hint="eastAsia" w:ascii="宋体" w:hAnsi="宋体" w:cs="宋体"/>
                <w:sz w:val="22"/>
              </w:rPr>
              <w:t>3.</w:t>
            </w:r>
            <w:r>
              <w:rPr>
                <w:rFonts w:hint="eastAsia" w:hAnsi="宋体" w:cs="宋体"/>
                <w:sz w:val="22"/>
                <w:lang w:val="en-US" w:eastAsia="zh-CN"/>
              </w:rPr>
              <w:t>3</w:t>
            </w:r>
            <w:r>
              <w:rPr>
                <w:rFonts w:hint="eastAsia" w:ascii="宋体" w:hAnsi="宋体" w:cs="宋体"/>
                <w:sz w:val="22"/>
              </w:rPr>
              <w:t>依据财库〔20</w:t>
            </w:r>
            <w:r>
              <w:rPr>
                <w:rFonts w:hint="eastAsia" w:ascii="宋体" w:hAnsi="宋体" w:cs="宋体"/>
                <w:sz w:val="22"/>
                <w:lang w:val="en-US" w:eastAsia="zh-CN"/>
              </w:rPr>
              <w:t>16</w:t>
            </w:r>
            <w:r>
              <w:rPr>
                <w:rFonts w:hint="eastAsia" w:ascii="宋体" w:hAnsi="宋体" w:cs="宋体"/>
                <w:sz w:val="22"/>
              </w:rPr>
              <w:t>〕125号文件规定，对列入失信被执行人、重大税收违法失信主体、政府采购严重违法失信行为记录名单的投标人，拒绝其参与本项目招投标活动；依据《关于在公共资源交易活动中实施信用监管的通知》(宛公管办〔202</w:t>
            </w:r>
            <w:r>
              <w:rPr>
                <w:rFonts w:hint="eastAsia" w:ascii="宋体" w:hAnsi="宋体" w:cs="宋体"/>
                <w:sz w:val="22"/>
                <w:lang w:val="en-US" w:eastAsia="zh-CN"/>
              </w:rPr>
              <w:t>0</w:t>
            </w:r>
            <w:r>
              <w:rPr>
                <w:rFonts w:hint="eastAsia" w:ascii="宋体" w:hAnsi="宋体" w:cs="宋体"/>
                <w:sz w:val="22"/>
              </w:rPr>
              <w:t>〕22号)文，</w:t>
            </w:r>
            <w:r>
              <w:rPr>
                <w:rFonts w:hint="eastAsia" w:ascii="宋体" w:hAnsi="宋体" w:cs="宋体"/>
                <w:sz w:val="22"/>
                <w:lang w:val="en-US" w:eastAsia="zh-CN"/>
              </w:rPr>
              <w:t>供应商</w:t>
            </w:r>
            <w:r>
              <w:rPr>
                <w:rFonts w:hint="eastAsia" w:ascii="宋体" w:hAnsi="宋体" w:cs="宋体"/>
                <w:sz w:val="22"/>
              </w:rPr>
              <w:t>(投标人)在参与公共资源交易活动时须提供规范的信用报告，信用报告应从“信用中国”（www.creditchina.gov.cn）网站下载，信用报告的生成日期为本项目递交投标文件截止时间前10日内，提供的内容要完整清晰并加盖公章。</w:t>
            </w:r>
          </w:p>
        </w:tc>
      </w:tr>
      <w:tr w14:paraId="0979B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EEEF4C5">
            <w:pPr>
              <w:autoSpaceDE w:val="0"/>
              <w:autoSpaceDN w:val="0"/>
              <w:adjustRightInd w:val="0"/>
              <w:spacing w:line="440" w:lineRule="exact"/>
              <w:jc w:val="left"/>
              <w:rPr>
                <w:rFonts w:hint="eastAsia" w:asciiTheme="minorEastAsia" w:hAnsiTheme="minorEastAsia" w:eastAsiaTheme="minorEastAsia" w:cstheme="minorEastAsia"/>
                <w:sz w:val="24"/>
                <w:szCs w:val="24"/>
                <w:lang w:val="en-US" w:eastAsia="zh-CN"/>
              </w:rPr>
            </w:pPr>
            <w:r>
              <w:rPr>
                <w:rFonts w:hint="eastAsia" w:ascii="宋体" w:hAnsi="宋体" w:cs="宋体"/>
                <w:bCs/>
                <w:kern w:val="0"/>
                <w:lang w:val="en-US" w:eastAsia="zh-CN"/>
              </w:rPr>
              <w:t>行业分类</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850FDA0">
            <w:pPr>
              <w:widowControl/>
              <w:autoSpaceDE w:val="0"/>
              <w:autoSpaceDN w:val="0"/>
              <w:adjustRightInd w:val="0"/>
              <w:spacing w:line="440" w:lineRule="exact"/>
              <w:jc w:val="left"/>
              <w:rPr>
                <w:rFonts w:hint="eastAsia" w:asciiTheme="minorEastAsia" w:hAnsiTheme="minorEastAsia" w:eastAsiaTheme="minorEastAsia" w:cstheme="minorEastAsia"/>
                <w:spacing w:val="-13"/>
                <w:sz w:val="24"/>
                <w:szCs w:val="24"/>
                <w:lang w:val="en-US" w:eastAsia="zh-CN"/>
              </w:rPr>
            </w:pPr>
            <w:r>
              <w:rPr>
                <w:rFonts w:hint="eastAsia" w:ascii="宋体" w:hAnsi="宋体" w:cs="宋体"/>
                <w:b/>
                <w:bCs/>
                <w:kern w:val="0"/>
                <w:lang w:val="en-US" w:eastAsia="zh-CN"/>
              </w:rPr>
              <w:t>根据</w:t>
            </w:r>
            <w:r>
              <w:rPr>
                <w:rFonts w:hint="eastAsia" w:ascii="宋体" w:hAnsi="宋体" w:cs="宋体"/>
                <w:b/>
                <w:bCs/>
                <w:kern w:val="0"/>
              </w:rPr>
              <w:fldChar w:fldCharType="begin"/>
            </w:r>
            <w:r>
              <w:rPr>
                <w:rFonts w:hint="eastAsia" w:ascii="宋体" w:hAnsi="宋体" w:cs="宋体"/>
                <w:b/>
                <w:bCs/>
                <w:kern w:val="0"/>
              </w:rPr>
              <w:instrText xml:space="preserve"> HYPERLINK "https://www.docin.com/p-4242415419.html" \t "https://cn.bing.com/_blank" </w:instrText>
            </w:r>
            <w:r>
              <w:rPr>
                <w:rFonts w:hint="eastAsia" w:ascii="宋体" w:hAnsi="宋体" w:cs="宋体"/>
                <w:b/>
                <w:bCs/>
                <w:kern w:val="0"/>
              </w:rPr>
              <w:fldChar w:fldCharType="separate"/>
            </w:r>
            <w:r>
              <w:rPr>
                <w:rFonts w:hint="eastAsia" w:ascii="宋体" w:hAnsi="宋体" w:cs="宋体"/>
                <w:b/>
                <w:bCs/>
                <w:kern w:val="0"/>
              </w:rPr>
              <w:t>《中小企业划型标准规定》（工信部联企业〔2022〕300号</w:t>
            </w:r>
            <w:r>
              <w:rPr>
                <w:rFonts w:hint="eastAsia" w:ascii="宋体" w:hAnsi="宋体" w:cs="宋体"/>
                <w:b/>
                <w:bCs/>
                <w:kern w:val="0"/>
              </w:rPr>
              <w:fldChar w:fldCharType="end"/>
            </w:r>
            <w:r>
              <w:rPr>
                <w:rFonts w:hint="eastAsia" w:ascii="宋体" w:hAnsi="宋体" w:cs="宋体"/>
                <w:b/>
                <w:bCs/>
                <w:kern w:val="0"/>
                <w:lang w:val="en-US" w:eastAsia="zh-CN"/>
              </w:rPr>
              <w:t>文件规定，本项目为工业。</w:t>
            </w:r>
          </w:p>
        </w:tc>
      </w:tr>
      <w:tr w14:paraId="13B1F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1AC848C8">
            <w:pPr>
              <w:widowControl/>
              <w:autoSpaceDE w:val="0"/>
              <w:autoSpaceDN w:val="0"/>
              <w:adjustRightInd w:val="0"/>
              <w:spacing w:line="440" w:lineRule="exact"/>
              <w:jc w:val="center"/>
              <w:rPr>
                <w:rFonts w:hint="eastAsia" w:ascii="宋体" w:hAnsi="宋体" w:cs="宋体"/>
                <w:bCs/>
                <w:kern w:val="0"/>
                <w:lang w:val="en-US" w:eastAsia="zh-CN"/>
              </w:rPr>
            </w:pPr>
            <w:r>
              <w:rPr>
                <w:rFonts w:hint="eastAsia" w:ascii="宋体" w:hAnsi="宋体" w:cs="宋体"/>
                <w:bCs/>
                <w:kern w:val="0"/>
              </w:rPr>
              <w:t>解释权</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0DFCDFAF">
            <w:pPr>
              <w:widowControl/>
              <w:autoSpaceDE w:val="0"/>
              <w:autoSpaceDN w:val="0"/>
              <w:adjustRightInd w:val="0"/>
              <w:spacing w:line="440" w:lineRule="exact"/>
              <w:ind w:firstLine="480" w:firstLineChars="0"/>
              <w:jc w:val="left"/>
              <w:rPr>
                <w:rFonts w:hint="eastAsia" w:ascii="宋体" w:hAnsi="宋体" w:cs="宋体"/>
                <w:b/>
                <w:bCs/>
                <w:kern w:val="0"/>
                <w:lang w:val="en-US" w:eastAsia="zh-CN"/>
              </w:rPr>
            </w:pPr>
            <w:r>
              <w:rPr>
                <w:rFonts w:hint="eastAsia" w:ascii="宋体" w:hAnsi="宋体" w:cs="宋体"/>
                <w:bCs/>
                <w:kern w:val="0"/>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前附表、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2CC408A7">
      <w:pPr>
        <w:pStyle w:val="5"/>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1A634C38">
      <w:pPr>
        <w:pStyle w:val="5"/>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0FFFB3E0">
      <w:pPr>
        <w:pStyle w:val="5"/>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4817D861">
      <w:pPr>
        <w:pStyle w:val="5"/>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0FE82933">
      <w:pPr>
        <w:pStyle w:val="5"/>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18486D50">
      <w:pPr>
        <w:pStyle w:val="5"/>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0A74D79C">
      <w:pPr>
        <w:pStyle w:val="5"/>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55F80594">
      <w:pPr>
        <w:pStyle w:val="5"/>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66A67532">
      <w:pPr>
        <w:pStyle w:val="5"/>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66952884">
      <w:pPr>
        <w:pStyle w:val="5"/>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256029AA">
      <w:pPr>
        <w:pStyle w:val="5"/>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6531B225">
      <w:pPr>
        <w:pStyle w:val="5"/>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204EE84F">
      <w:pPr>
        <w:pStyle w:val="5"/>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2F81C718">
      <w:pPr>
        <w:pStyle w:val="5"/>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608731F0">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3EDD5940">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CF170FC">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3C0E239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4950C6EB">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0500212F">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874048.11元</w:t>
      </w:r>
      <w:r>
        <w:rPr>
          <w:rFonts w:hint="eastAsia" w:asciiTheme="minorEastAsia" w:hAnsiTheme="minorEastAsia" w:eastAsiaTheme="minorEastAsia" w:cstheme="minorEastAsia"/>
          <w:spacing w:val="7"/>
          <w:sz w:val="24"/>
          <w:szCs w:val="24"/>
          <w:u w:val="none"/>
          <w:lang w:val="en-US" w:eastAsia="zh-CN"/>
        </w:rPr>
        <w:t>元</w:t>
      </w:r>
      <w:r>
        <w:rPr>
          <w:rFonts w:hint="eastAsia" w:asciiTheme="minorEastAsia" w:hAnsiTheme="minorEastAsia" w:eastAsiaTheme="minorEastAsia" w:cstheme="minorEastAsia"/>
          <w:spacing w:val="7"/>
          <w:sz w:val="24"/>
          <w:szCs w:val="24"/>
        </w:rPr>
        <w:t>和/或本项目采购中无法与财</w:t>
      </w:r>
      <w:r>
        <w:rPr>
          <w:rFonts w:hint="eastAsia" w:asciiTheme="minorEastAsia" w:hAnsiTheme="minorEastAsia" w:eastAsiaTheme="minorEastAsia" w:cstheme="minorEastAsia"/>
          <w:spacing w:val="6"/>
          <w:sz w:val="24"/>
          <w:szCs w:val="24"/>
        </w:rPr>
        <w:t>政性资金分割的非财政</w:t>
      </w:r>
      <w:r>
        <w:rPr>
          <w:rFonts w:hint="eastAsia" w:asciiTheme="minorEastAsia" w:hAnsiTheme="minorEastAsia" w:eastAsiaTheme="minorEastAsia" w:cstheme="minorEastAsia"/>
          <w:spacing w:val="-9"/>
          <w:sz w:val="24"/>
          <w:szCs w:val="24"/>
        </w:rPr>
        <w:t>性资金</w:t>
      </w:r>
      <w:r>
        <w:rPr>
          <w:rFonts w:hint="eastAsia" w:asciiTheme="minorEastAsia" w:hAnsiTheme="minorEastAsia" w:eastAsiaTheme="minorEastAsia" w:cstheme="minorEastAsia"/>
          <w:spacing w:val="7"/>
          <w:sz w:val="24"/>
          <w:szCs w:val="24"/>
          <w:u w:val="single"/>
          <w:lang w:val="en-US" w:eastAsia="zh-CN"/>
        </w:rPr>
        <w:t xml:space="preserve">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E26E11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2771A3CD">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4DC2144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40DD2CC">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7031E7A3">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2D862CFC">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1DA5404F">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173B217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198A225F">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1E64E25">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0CDBE9BB">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5F2D9E1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5920AE22">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12F1A75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7155F12C">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5621EA5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0615FDE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6F4CE6AF">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223B053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435D5AC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2535284F">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6E5823D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04ACED8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360193E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15C83FE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247CDBF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3DA5A08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71D257C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8966A0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1ECCB40B">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A0250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5F4D207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08E839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5807CE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9AC2D0B">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0506FED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0A9F0EE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3C9B418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0842875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17857E8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7E6C462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796725B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314967B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01A6CBE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3EC15E4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5ABA207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79AD8FC0">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254B478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4AC2313D">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299869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6AA83ED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南阳市卧龙区财政局</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57138E4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产品及伴随的服务。</w:t>
      </w:r>
    </w:p>
    <w:p w14:paraId="21CC83B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6.4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采购人要求的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3EC16224">
      <w:pPr>
        <w:pStyle w:val="22"/>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13CCC3C9">
      <w:pPr>
        <w:pStyle w:val="5"/>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08F1E624">
      <w:pPr>
        <w:pStyle w:val="5"/>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1B433781">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07EED21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4E6A5B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627E81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5C5BBD9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1137BE7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37418A9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019D44F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3C44515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53B52EE9">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103756C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024B13A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6FCB3B9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color w:val="FF0000"/>
          <w:spacing w:val="-8"/>
          <w:sz w:val="24"/>
          <w:szCs w:val="24"/>
          <w:lang w:val="en-US" w:eastAsia="zh-CN"/>
        </w:rPr>
        <w:t>《全国公共资源交易平台（河南省﹒南阳市﹒卧龙区）》”</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0BAA99A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338F4A1B">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32BA41DD">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F349E1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163CBFB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00F16E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5991B0F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ADC960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56AB2291">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47BB65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7EFD3C4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企业电子营业执照生成并在截止时间前上传其加密版本，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《电子营业执照应用平台系统操作手册-投标单位》。</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2C41C3B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783CFC4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6BA9156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7768E10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14:paraId="567A7CF9">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6EA8FB1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2AB50F1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7F7FF6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0016C6F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24C0B05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30F49D3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079C109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1C7B947C">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B4B0AEC">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5AAF171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5D1B7F8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37B587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2977494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57A6BF8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CA或电子营业执照</w:t>
      </w:r>
      <w:r>
        <w:rPr>
          <w:rFonts w:hint="eastAsia" w:asciiTheme="minorEastAsia" w:hAnsiTheme="minorEastAsia" w:eastAsiaTheme="minorEastAsia" w:cstheme="minorEastAsia"/>
          <w:sz w:val="24"/>
          <w:szCs w:val="24"/>
        </w:rPr>
        <w:t>加盖电子签章。</w:t>
      </w:r>
    </w:p>
    <w:p w14:paraId="6594EC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B402E13">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2B0AB1E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09646C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3219515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5241143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0E82648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1D7EEE9B">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409058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061D6BEC">
      <w:pPr>
        <w:pStyle w:val="5"/>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ADAA3DE">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33B3224">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9B24DD6">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1B3F76C">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5022316B">
      <w:pPr>
        <w:pStyle w:val="5"/>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61F73197">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55279FB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3264D6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5058F14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4941C42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0A42E9B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21BE232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58D6E6CF">
      <w:pPr>
        <w:pStyle w:val="5"/>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68E8430A">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388450B9">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360EED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141C0B57">
      <w:pPr>
        <w:pStyle w:val="22"/>
        <w:rPr>
          <w:rFonts w:hint="eastAsia"/>
          <w:lang w:val="en-US" w:eastAsia="zh-CN"/>
        </w:rPr>
      </w:pPr>
    </w:p>
    <w:p w14:paraId="70B0065F">
      <w:pPr>
        <w:pStyle w:val="5"/>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57AB4504">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3"/>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2216E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56205C5">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7AC3613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3B1771F9">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6B853CD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02FE6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50F85709">
            <w:pPr>
              <w:pStyle w:val="24"/>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2A38A595">
            <w:pPr>
              <w:pStyle w:val="24"/>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20E3F11">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21A47AD8">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1、满足《中华人民共和国政府采购法》第二十二条规定；</w:t>
            </w:r>
          </w:p>
          <w:p w14:paraId="57244C12">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2、落实政府采购政策满足的资格要求：</w:t>
            </w:r>
          </w:p>
          <w:p w14:paraId="3C69FEA4">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本项目执行节约能源、保护环境、扶持不发达地区和少数民族地区、促进中小企业发展、促进残疾人就业、促进监狱企业发展等政府采购政策。本项目支持河南省政府采购合同融资政策。</w:t>
            </w:r>
            <w:r>
              <w:rPr>
                <w:rFonts w:hint="eastAsia" w:ascii="宋体" w:hAnsi="宋体" w:eastAsia="宋体" w:cs="宋体"/>
                <w:i w:val="0"/>
                <w:iCs w:val="0"/>
                <w:caps w:val="0"/>
                <w:color w:val="333333"/>
                <w:spacing w:val="0"/>
                <w:sz w:val="24"/>
                <w:szCs w:val="24"/>
                <w:shd w:val="clear" w:fill="FFFFFF"/>
              </w:rPr>
              <w:t>根据《关于在政府采购活动中试行供应商资格信用承诺制的通知》（宛财购〔</w:t>
            </w:r>
            <w:r>
              <w:rPr>
                <w:rFonts w:ascii="Calibri" w:hAnsi="Calibri" w:eastAsia="宋体" w:cs="Calibri"/>
                <w:i w:val="0"/>
                <w:iCs w:val="0"/>
                <w:caps w:val="0"/>
                <w:color w:val="333333"/>
                <w:spacing w:val="0"/>
                <w:sz w:val="24"/>
                <w:szCs w:val="24"/>
                <w:shd w:val="clear" w:fill="FFFFFF"/>
              </w:rPr>
              <w:t>2021</w:t>
            </w:r>
            <w:r>
              <w:rPr>
                <w:rFonts w:hint="eastAsia" w:ascii="宋体" w:hAnsi="宋体" w:eastAsia="宋体" w:cs="宋体"/>
                <w:i w:val="0"/>
                <w:iCs w:val="0"/>
                <w:caps w:val="0"/>
                <w:color w:val="333333"/>
                <w:spacing w:val="0"/>
                <w:sz w:val="24"/>
                <w:szCs w:val="24"/>
                <w:shd w:val="clear" w:fill="FFFFFF"/>
              </w:rPr>
              <w:t>〕</w:t>
            </w:r>
            <w:r>
              <w:rPr>
                <w:rFonts w:hint="default" w:ascii="Calibri" w:hAnsi="Calibri" w:eastAsia="宋体" w:cs="Calibri"/>
                <w:i w:val="0"/>
                <w:iCs w:val="0"/>
                <w:caps w:val="0"/>
                <w:color w:val="333333"/>
                <w:spacing w:val="0"/>
                <w:sz w:val="24"/>
                <w:szCs w:val="24"/>
                <w:shd w:val="clear" w:fill="FFFFFF"/>
              </w:rPr>
              <w:t>12 </w:t>
            </w:r>
            <w:r>
              <w:rPr>
                <w:rFonts w:hint="eastAsia" w:ascii="宋体" w:hAnsi="宋体" w:eastAsia="宋体" w:cs="宋体"/>
                <w:i w:val="0"/>
                <w:iCs w:val="0"/>
                <w:caps w:val="0"/>
                <w:color w:val="333333"/>
                <w:spacing w:val="0"/>
                <w:sz w:val="24"/>
                <w:szCs w:val="24"/>
                <w:shd w:val="clear" w:fill="FFFFFF"/>
              </w:rPr>
              <w:t>号）文件要求，本项目实行信用承诺制，详见“供应商须知前附表”。</w:t>
            </w:r>
          </w:p>
          <w:p w14:paraId="29909057">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3、本项目的特定资格要求：</w:t>
            </w:r>
          </w:p>
          <w:p w14:paraId="7B18D1AF">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1.符合《中华人民共和国政府采购法》第二十二条及《中华人民共和国政府采购法实施条例》第十七条规定：</w:t>
            </w:r>
          </w:p>
          <w:p w14:paraId="1157FBA2">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（1）投标人应具有独立法人资格，具有有效的营业执照；</w:t>
            </w:r>
          </w:p>
          <w:p w14:paraId="16ACCE21">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（2）具有良好的商业信誉和健全的财务会计制度；</w:t>
            </w:r>
          </w:p>
          <w:p w14:paraId="287B2C3B">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（3）具有履行合同所必需的设备和专业技术能力</w:t>
            </w:r>
          </w:p>
          <w:p w14:paraId="60F28FA0">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（4）有依法缴纳税收</w:t>
            </w:r>
            <w:r>
              <w:rPr>
                <w:rFonts w:hint="eastAsia" w:ascii="宋体" w:hAnsi="宋体" w:cs="宋体"/>
                <w:color w:val="000000" w:themeColor="text1"/>
                <w:sz w:val="24"/>
                <w:szCs w:val="24"/>
                <w:lang w:val="en-US" w:eastAsia="zh-CN"/>
                <w14:textFill>
                  <w14:solidFill>
                    <w14:schemeClr w14:val="tx1"/>
                  </w14:solidFill>
                </w14:textFill>
              </w:rPr>
              <w:t>及社保</w:t>
            </w:r>
            <w:r>
              <w:rPr>
                <w:rFonts w:hint="eastAsia" w:ascii="宋体" w:hAnsi="宋体" w:cs="宋体"/>
                <w:color w:val="000000" w:themeColor="text1"/>
                <w:sz w:val="24"/>
                <w:szCs w:val="24"/>
                <w14:textFill>
                  <w14:solidFill>
                    <w14:schemeClr w14:val="tx1"/>
                  </w14:solidFill>
                </w14:textFill>
              </w:rPr>
              <w:t>的良好记录</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提供2025年1月1日以来任意1个月证明材料</w:t>
            </w:r>
            <w:r>
              <w:rPr>
                <w:rFonts w:hint="eastAsia" w:ascii="宋体" w:hAnsi="宋体" w:cs="宋体"/>
                <w:color w:val="000000" w:themeColor="text1"/>
                <w:sz w:val="24"/>
                <w:szCs w:val="24"/>
                <w:lang w:eastAsia="zh-CN"/>
                <w14:textFill>
                  <w14:solidFill>
                    <w14:schemeClr w14:val="tx1"/>
                  </w14:solidFill>
                </w14:textFill>
              </w:rPr>
              <w:t>）</w:t>
            </w:r>
          </w:p>
          <w:p w14:paraId="27421AA9">
            <w:pPr>
              <w:keepNext w:val="0"/>
              <w:keepLines w:val="0"/>
              <w:pageBreakBefore w:val="0"/>
              <w:widowControl/>
              <w:suppressLineNumbers w:val="0"/>
              <w:kinsoku/>
              <w:wordWrap/>
              <w:overflowPunct/>
              <w:bidi w:val="0"/>
              <w:snapToGrid/>
              <w:spacing w:line="360" w:lineRule="auto"/>
              <w:ind w:firstLine="480" w:firstLineChars="20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（5）参加政府采购活动前三年内（新成立的企业从成立之日起）,在政府采购活动中没有重大违法记录的书面声明；</w:t>
            </w:r>
          </w:p>
          <w:p w14:paraId="0D100EB0">
            <w:pPr>
              <w:keepNext w:val="0"/>
              <w:keepLines w:val="0"/>
              <w:pageBreakBefore w:val="0"/>
              <w:widowControl/>
              <w:suppressLineNumbers w:val="0"/>
              <w:kinsoku/>
              <w:wordWrap/>
              <w:overflowPunct/>
              <w:bidi w:val="0"/>
              <w:snapToGrid/>
              <w:spacing w:line="360" w:lineRule="auto"/>
              <w:ind w:firstLine="480" w:firstLineChars="200"/>
              <w:jc w:val="left"/>
              <w:textAlignment w:val="auto"/>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）法律、行政法规规定的其他条件。</w:t>
            </w:r>
          </w:p>
          <w:p w14:paraId="5E4B2156">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3.2</w:t>
            </w:r>
            <w:r>
              <w:rPr>
                <w:rFonts w:hint="eastAsia" w:ascii="宋体" w:hAnsi="宋体" w:cs="宋体"/>
                <w:color w:val="000000" w:themeColor="text1"/>
                <w:sz w:val="24"/>
                <w:szCs w:val="24"/>
                <w14:textFill>
                  <w14:solidFill>
                    <w14:schemeClr w14:val="tx1"/>
                  </w14:solidFill>
                </w14:textFill>
              </w:rPr>
              <w:t>.投标人需提供无行贿犯罪记录承诺函（承诺对象包括：投标企业、法定代表人）,并对其真实性负责，若承诺不实，所造成的后果由投标人承担；</w:t>
            </w:r>
          </w:p>
          <w:p w14:paraId="4E465154">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 xml:space="preserve"> 依据财库〔20</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cs="宋体"/>
                <w:color w:val="000000" w:themeColor="text1"/>
                <w:sz w:val="24"/>
                <w:szCs w:val="24"/>
                <w14:textFill>
                  <w14:solidFill>
                    <w14:schemeClr w14:val="tx1"/>
                  </w14:solidFill>
                </w14:textFill>
              </w:rPr>
              <w:t>〕125号文件规定，对列入失信被执行人、重大税收违法失信主体、政府采购严重违法失信行为记录名单的投标人，拒绝其参与本项目招投标活动；依据《关于在公共资源交易活动中实施信用监管的通知》(宛公管办〔202</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〕22号)文，</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投标人)在参与公共资源交易活动时须提供规范的信用报告，信用报告应从“信用中国”（www.creditchina.gov.cn）网站下载，信用报告的生成日期为本项目递交投标文件截止时间前10日内，提供的内容要完整清晰并加盖公章。</w:t>
            </w:r>
          </w:p>
          <w:p w14:paraId="7D0B2ED9">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3.4</w:t>
            </w:r>
            <w:r>
              <w:rPr>
                <w:rFonts w:hint="eastAsia" w:ascii="宋体" w:hAnsi="宋体" w:cs="宋体"/>
                <w:color w:val="000000" w:themeColor="text1"/>
                <w:sz w:val="24"/>
                <w:szCs w:val="24"/>
                <w14:textFill>
                  <w14:solidFill>
                    <w14:schemeClr w14:val="tx1"/>
                  </w14:solidFill>
                </w14:textFill>
              </w:rPr>
              <w:t>本项目不接受联合体投标，不得分包转包；</w:t>
            </w:r>
          </w:p>
          <w:p w14:paraId="4A33BC9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p>
        </w:tc>
        <w:tc>
          <w:tcPr>
            <w:tcW w:w="2967" w:type="dxa"/>
            <w:vAlign w:val="top"/>
          </w:tcPr>
          <w:p w14:paraId="3639ADE2">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64B8A02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32D132B0">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321055D7">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3C28D05C">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51C2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87F81E8">
            <w:pPr>
              <w:pStyle w:val="24"/>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7AA3D6E3">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42BDED8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5374A1BE">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630C0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2A428440">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97AE434">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300AB93F">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6D375AB">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74DA50D">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2AFB4F6">
            <w:pPr>
              <w:pStyle w:val="24"/>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3467AC07">
            <w:pPr>
              <w:pStyle w:val="24"/>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3ABF9CCB">
            <w:pPr>
              <w:pStyle w:val="24"/>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3526C68F">
            <w:pPr>
              <w:pStyle w:val="24"/>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4B32803">
            <w:pPr>
              <w:pStyle w:val="24"/>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23C5042">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8A7DDBF">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8BFBC19">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39DFF0B">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5FA6ACD">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559017F">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71F9AB0">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B2CB1A2">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902ACF">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F06DF14">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4DC49529">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18AACE77">
            <w:pPr>
              <w:pStyle w:val="24"/>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2A3D210B">
            <w:pPr>
              <w:pStyle w:val="24"/>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00626BAE">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F2DCB3C">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3B2D66A">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67CC09">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0CA796F">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B295716">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CFC6455">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10FA1BC">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028447BA">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3479FC4">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34CF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38962071">
            <w:pPr>
              <w:pStyle w:val="24"/>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0D0E7F30">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71A028F2">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1C6B9815">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74746612">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w:t>
      </w:r>
      <w:r>
        <w:rPr>
          <w:rFonts w:hint="eastAsia" w:asciiTheme="minorEastAsia" w:hAnsiTheme="minorEastAsia" w:eastAsiaTheme="minorEastAsia" w:cstheme="minorEastAsia"/>
          <w:b/>
          <w:bCs/>
          <w:color w:val="auto"/>
          <w:sz w:val="24"/>
          <w:szCs w:val="24"/>
          <w:lang w:val="en-US" w:eastAsia="zh-CN"/>
        </w:rPr>
        <w:t>对于市本级政府采购项目，全部实施供应商资格信用承诺，</w:t>
      </w:r>
      <w:r>
        <w:rPr>
          <w:rFonts w:hint="eastAsia" w:asciiTheme="minorEastAsia" w:hAnsiTheme="minorEastAsia" w:eastAsiaTheme="minorEastAsia" w:cstheme="minorEastAsia"/>
          <w:b/>
          <w:bCs/>
          <w:sz w:val="24"/>
          <w:szCs w:val="24"/>
          <w:lang w:val="en-US" w:eastAsia="zh-CN"/>
        </w:rPr>
        <w:t>投标人在投标时，按照规定提供“南阳市政府采购供应商信用承诺函”（详见附件）的，无需再提交序号3.1中1-5项证明材料”。投标人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1E67FF9F">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4F4D449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0FA782C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    二.采购预算金额在1000万元以上的或者技术复杂或者社会影响较大的采购项目，评标委员会成员人数应当为7人以上单数。</w:t>
      </w:r>
    </w:p>
    <w:p w14:paraId="4FB8F1D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68425D1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7A80AED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4BC2730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7378848A">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F8DD14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45F94AB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4C04843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5F9616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6CEB91D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DF82CF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2676FE7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3EFA31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2FDCCA8E">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1A8E6CC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22C14CE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评标委员会对资格审查合格的投标人的投标文件进行符合性审查，以确定其</w:t>
      </w:r>
    </w:p>
    <w:p w14:paraId="425FA129">
      <w:pPr>
        <w:pStyle w:val="5"/>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是否满足招标文件的实质性要求。</w:t>
      </w:r>
    </w:p>
    <w:p w14:paraId="74E04EB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79AABCE7">
      <w:pPr>
        <w:pStyle w:val="5"/>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7C1E0F17">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3"/>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4933E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6C3B3E06">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5423A051">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0B3DF7DB">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0138B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3B5199C2">
            <w:pPr>
              <w:pStyle w:val="24"/>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34D64A21">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710B9B79">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0AD2A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0DC5D91C">
            <w:pPr>
              <w:pStyle w:val="24"/>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2107890B">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4FA764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2C1C611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50535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9AEEB09">
            <w:pPr>
              <w:pStyle w:val="24"/>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0B3EB474">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077EB6A9">
            <w:pPr>
              <w:pStyle w:val="24"/>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5CF44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AB7A468">
            <w:pPr>
              <w:pStyle w:val="24"/>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E60D501">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49CE1EF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5C605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40E9CBAD">
            <w:pPr>
              <w:pStyle w:val="24"/>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7796841A">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58A54A8D">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4D84A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129BB15">
            <w:pPr>
              <w:pStyle w:val="24"/>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148C19DC">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12E01F74">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34389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78645B94">
            <w:pPr>
              <w:pStyle w:val="24"/>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0D2B578D">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7120728D">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78D13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68C03A52">
            <w:pPr>
              <w:pStyle w:val="24"/>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0B828623">
            <w:pPr>
              <w:pStyle w:val="24"/>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1FE46B70">
            <w:pPr>
              <w:pStyle w:val="24"/>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5A540592">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7A4C9F3">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6EB85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3102825A">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14:paraId="5DB064D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14:paraId="66A27FC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135FB224">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602CE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0D8802FE">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596EA5EA">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50A203F4">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4795983D">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1114E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29ECC957">
            <w:pPr>
              <w:pStyle w:val="24"/>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6DF7431C">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1880CD0">
            <w:pPr>
              <w:pStyle w:val="24"/>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A5A58F2">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6F0311E7">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AABA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34CECD88">
            <w:pPr>
              <w:pStyle w:val="2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0D6563F">
            <w:pPr>
              <w:pStyle w:val="2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6B5D4540">
            <w:pPr>
              <w:pStyle w:val="2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A1DBB01">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06377893">
            <w:pPr>
              <w:pStyle w:val="24"/>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98A6395">
            <w:pPr>
              <w:pStyle w:val="24"/>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6CFDDE17">
            <w:pPr>
              <w:pStyle w:val="24"/>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715E2BCF">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490BF677">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2DE2F8A2">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8478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3823487A">
            <w:pPr>
              <w:pStyle w:val="24"/>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3D68769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6C8889A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0CAEF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21738E4B">
            <w:pPr>
              <w:pStyle w:val="24"/>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37BA89EE">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1E11C9B7">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0B192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494F3444">
            <w:pPr>
              <w:pStyle w:val="24"/>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1086FB3F">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3A6F6505">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554A2E6">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7D3EB873">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☑货物类，审查投标设备的技术指标、技术性能或产品技术说明、项目供货方案、培训计划和强制节能产品证明文件等是否符合招标要求。</w:t>
      </w:r>
    </w:p>
    <w:p w14:paraId="1C99598C">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□服务类，审查服务方案、人员配备方案及人员基本情况等是否符合招标要求。</w:t>
      </w:r>
    </w:p>
    <w:p w14:paraId="727F66B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59B213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AD6A54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60A0B5A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728B7FB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012A3C9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696E0133">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2BB9292">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4639BFE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905B51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0039B9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2ADA437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768E2183">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7BEC2954">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28451A79">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7185805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2D5C402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380A3B99">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DF31AB4">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4B0F88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79750FE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1C2EA050">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8372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90D95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1-3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3AFEF45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4E3E2F5A">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7A761C4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70044088">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111E5A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46D98D9A">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2A82179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00B78E5E">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57CEDEA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A3B626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45E1EA3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1682A945">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4010BCFC">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电子营业执照认证并加密的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F70BA80">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53D797A3">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417C691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43EA8AB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1BC9A76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4039406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3121B07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371D5D8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308AFBFE">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5FFC693">
      <w:pPr>
        <w:pStyle w:val="5"/>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tbl>
      <w:tblPr>
        <w:tblStyle w:val="18"/>
        <w:tblW w:w="878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
        <w:gridCol w:w="621"/>
        <w:gridCol w:w="535"/>
        <w:gridCol w:w="137"/>
        <w:gridCol w:w="1085"/>
        <w:gridCol w:w="999"/>
        <w:gridCol w:w="5392"/>
      </w:tblGrid>
      <w:tr w14:paraId="22E15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9"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2173200">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条款号</w:t>
            </w:r>
          </w:p>
        </w:tc>
        <w:tc>
          <w:tcPr>
            <w:tcW w:w="222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74E6319">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条款内容</w:t>
            </w:r>
          </w:p>
        </w:tc>
        <w:tc>
          <w:tcPr>
            <w:tcW w:w="53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347472">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编列内容</w:t>
            </w:r>
          </w:p>
        </w:tc>
      </w:tr>
      <w:tr w14:paraId="08D95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169" w:type="dxa"/>
            <w:gridSpan w:val="3"/>
            <w:tcBorders>
              <w:top w:val="single" w:color="auto" w:sz="4" w:space="0"/>
              <w:left w:val="single" w:color="auto" w:sz="4" w:space="0"/>
              <w:bottom w:val="single" w:color="auto" w:sz="4" w:space="0"/>
              <w:right w:val="single" w:color="auto" w:sz="4" w:space="0"/>
            </w:tcBorders>
            <w:shd w:val="clear" w:color="auto" w:fill="FFFDFA"/>
            <w:noWrap/>
            <w:vAlign w:val="center"/>
          </w:tcPr>
          <w:p w14:paraId="01186067">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2.2.1</w:t>
            </w:r>
          </w:p>
        </w:tc>
        <w:tc>
          <w:tcPr>
            <w:tcW w:w="2221" w:type="dxa"/>
            <w:gridSpan w:val="3"/>
            <w:tcBorders>
              <w:top w:val="single" w:color="auto" w:sz="4" w:space="0"/>
              <w:left w:val="single" w:color="auto" w:sz="4" w:space="0"/>
              <w:bottom w:val="single" w:color="auto" w:sz="4" w:space="0"/>
              <w:right w:val="single" w:color="auto" w:sz="4" w:space="0"/>
            </w:tcBorders>
            <w:shd w:val="clear" w:color="auto" w:fill="FFFDFA"/>
            <w:noWrap/>
            <w:vAlign w:val="center"/>
          </w:tcPr>
          <w:p w14:paraId="1B40AB6B">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分值构成</w:t>
            </w:r>
          </w:p>
          <w:p w14:paraId="12EB81C4">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（总分100分）</w:t>
            </w:r>
          </w:p>
        </w:tc>
        <w:tc>
          <w:tcPr>
            <w:tcW w:w="5392" w:type="dxa"/>
            <w:tcBorders>
              <w:top w:val="single" w:color="auto" w:sz="4" w:space="0"/>
              <w:left w:val="single" w:color="auto" w:sz="4" w:space="0"/>
              <w:bottom w:val="single" w:color="auto" w:sz="4" w:space="0"/>
              <w:right w:val="single" w:color="auto" w:sz="4" w:space="0"/>
            </w:tcBorders>
            <w:shd w:val="clear" w:color="auto" w:fill="FFFDFA"/>
            <w:noWrap/>
            <w:vAlign w:val="center"/>
          </w:tcPr>
          <w:p w14:paraId="1D6252E7">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报价部分：        30分</w:t>
            </w:r>
          </w:p>
          <w:p w14:paraId="6BF41A2F">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综合部分：        2</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分</w:t>
            </w:r>
          </w:p>
          <w:p w14:paraId="05C0B79C">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zh-CN"/>
              </w:rPr>
              <w:t xml:space="preserve">技术部分：        </w:t>
            </w:r>
            <w:r>
              <w:rPr>
                <w:rFonts w:hint="eastAsia" w:asciiTheme="minorEastAsia" w:hAnsiTheme="minorEastAsia" w:eastAsiaTheme="minorEastAsia" w:cstheme="minorEastAsia"/>
                <w:lang w:val="en-US" w:eastAsia="zh-CN"/>
              </w:rPr>
              <w:t>43</w:t>
            </w:r>
            <w:r>
              <w:rPr>
                <w:rFonts w:hint="eastAsia" w:asciiTheme="minorEastAsia" w:hAnsiTheme="minorEastAsia" w:eastAsiaTheme="minorEastAsia" w:cstheme="minorEastAsia"/>
                <w:lang w:val="zh-CN"/>
              </w:rPr>
              <w:t>分</w:t>
            </w:r>
          </w:p>
        </w:tc>
      </w:tr>
      <w:tr w14:paraId="4FCB0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1169"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B889A19">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2.2.2</w:t>
            </w:r>
          </w:p>
        </w:tc>
        <w:tc>
          <w:tcPr>
            <w:tcW w:w="222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6F8FE7D">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评标基准价</w:t>
            </w:r>
          </w:p>
          <w:p w14:paraId="6B28E3CB">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计算方法</w:t>
            </w:r>
          </w:p>
        </w:tc>
        <w:tc>
          <w:tcPr>
            <w:tcW w:w="53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E5C5B3">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投标报价不高于采购预算价为有效投标报价。最终报价得分采用低价优先法计算，即满足招标文件要求且评标价最低的报价为评标基准价。</w:t>
            </w:r>
          </w:p>
        </w:tc>
      </w:tr>
      <w:tr w14:paraId="10F570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169" w:type="dxa"/>
            <w:gridSpan w:val="3"/>
            <w:tcBorders>
              <w:top w:val="single" w:color="auto" w:sz="4" w:space="0"/>
              <w:left w:val="single" w:color="auto" w:sz="4" w:space="0"/>
              <w:bottom w:val="single" w:color="auto" w:sz="4" w:space="0"/>
              <w:right w:val="single" w:color="auto" w:sz="4" w:space="0"/>
            </w:tcBorders>
            <w:shd w:val="clear" w:color="auto" w:fill="FFFDFA"/>
            <w:noWrap/>
            <w:vAlign w:val="center"/>
          </w:tcPr>
          <w:p w14:paraId="39CB4A6A">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2.2.3</w:t>
            </w:r>
          </w:p>
        </w:tc>
        <w:tc>
          <w:tcPr>
            <w:tcW w:w="2221" w:type="dxa"/>
            <w:gridSpan w:val="3"/>
            <w:tcBorders>
              <w:top w:val="single" w:color="auto" w:sz="4" w:space="0"/>
              <w:left w:val="single" w:color="auto" w:sz="4" w:space="0"/>
              <w:bottom w:val="single" w:color="auto" w:sz="4" w:space="0"/>
              <w:right w:val="single" w:color="auto" w:sz="4" w:space="0"/>
            </w:tcBorders>
            <w:shd w:val="clear" w:color="auto" w:fill="FFFDFA"/>
            <w:noWrap/>
            <w:vAlign w:val="center"/>
          </w:tcPr>
          <w:p w14:paraId="4A0AC718">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投标报价计算公式</w:t>
            </w:r>
          </w:p>
        </w:tc>
        <w:tc>
          <w:tcPr>
            <w:tcW w:w="5392" w:type="dxa"/>
            <w:tcBorders>
              <w:top w:val="single" w:color="auto" w:sz="4" w:space="0"/>
              <w:left w:val="single" w:color="auto" w:sz="4" w:space="0"/>
              <w:bottom w:val="single" w:color="auto" w:sz="4" w:space="0"/>
              <w:right w:val="single" w:color="auto" w:sz="4" w:space="0"/>
            </w:tcBorders>
            <w:shd w:val="clear" w:color="auto" w:fill="FFFDFA"/>
            <w:noWrap/>
            <w:vAlign w:val="center"/>
          </w:tcPr>
          <w:p w14:paraId="1B2C5204">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最终报价得分＝（评标基准价÷评标报价）×30（评标报价指的是投标报价经过算术修正或者中小企业、残疾人及监狱企业价格扣除之后的价格）最终得分计算保留小数点两位。</w:t>
            </w:r>
          </w:p>
          <w:p w14:paraId="56D2F51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注：未通过初步评审的投标不参与投标报价得分的计算。</w:t>
            </w:r>
          </w:p>
        </w:tc>
      </w:tr>
      <w:tr w14:paraId="5D0E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510" w:hRule="atLeast"/>
        </w:trPr>
        <w:tc>
          <w:tcPr>
            <w:tcW w:w="621" w:type="dxa"/>
            <w:shd w:val="clear" w:color="auto" w:fill="FFFFFF"/>
            <w:noWrap/>
            <w:vAlign w:val="center"/>
          </w:tcPr>
          <w:p w14:paraId="04606FC1">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条款号</w:t>
            </w:r>
          </w:p>
        </w:tc>
        <w:tc>
          <w:tcPr>
            <w:tcW w:w="672" w:type="dxa"/>
            <w:gridSpan w:val="2"/>
            <w:shd w:val="clear" w:color="auto" w:fill="FFFFFF"/>
            <w:noWrap/>
            <w:vAlign w:val="center"/>
          </w:tcPr>
          <w:p w14:paraId="01C969BA">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评审因素</w:t>
            </w:r>
          </w:p>
        </w:tc>
        <w:tc>
          <w:tcPr>
            <w:tcW w:w="1085" w:type="dxa"/>
            <w:shd w:val="clear" w:color="auto" w:fill="FFFFFF"/>
            <w:noWrap/>
            <w:vAlign w:val="center"/>
          </w:tcPr>
          <w:p w14:paraId="4D3B5C46">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评分内容</w:t>
            </w:r>
          </w:p>
        </w:tc>
        <w:tc>
          <w:tcPr>
            <w:tcW w:w="6391" w:type="dxa"/>
            <w:gridSpan w:val="2"/>
            <w:shd w:val="clear" w:color="auto" w:fill="FFFFFF"/>
            <w:noWrap/>
            <w:vAlign w:val="center"/>
          </w:tcPr>
          <w:p w14:paraId="73CC858E">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评分标准</w:t>
            </w:r>
          </w:p>
        </w:tc>
      </w:tr>
      <w:tr w14:paraId="090B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1094" w:hRule="atLeast"/>
        </w:trPr>
        <w:tc>
          <w:tcPr>
            <w:tcW w:w="621" w:type="dxa"/>
            <w:shd w:val="clear" w:color="auto" w:fill="F1F1F1" w:themeFill="background1" w:themeFillShade="F2"/>
            <w:noWrap/>
            <w:vAlign w:val="center"/>
          </w:tcPr>
          <w:p w14:paraId="1507406A">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4（1）</w:t>
            </w:r>
          </w:p>
        </w:tc>
        <w:tc>
          <w:tcPr>
            <w:tcW w:w="672" w:type="dxa"/>
            <w:gridSpan w:val="2"/>
            <w:shd w:val="clear" w:color="auto" w:fill="F1F1F1" w:themeFill="background1" w:themeFillShade="F2"/>
            <w:noWrap/>
            <w:vAlign w:val="center"/>
          </w:tcPr>
          <w:p w14:paraId="2E431AA7">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报价部分</w:t>
            </w:r>
          </w:p>
          <w:p w14:paraId="7C31FB04">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（30分）</w:t>
            </w:r>
          </w:p>
        </w:tc>
        <w:tc>
          <w:tcPr>
            <w:tcW w:w="1085" w:type="dxa"/>
            <w:shd w:val="clear" w:color="auto" w:fill="F1F1F1" w:themeFill="background1" w:themeFillShade="F2"/>
            <w:noWrap/>
            <w:vAlign w:val="center"/>
          </w:tcPr>
          <w:p w14:paraId="32669C0D">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投标报价</w:t>
            </w:r>
          </w:p>
          <w:p w14:paraId="19EA1A95">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（30分）</w:t>
            </w:r>
          </w:p>
        </w:tc>
        <w:tc>
          <w:tcPr>
            <w:tcW w:w="6391" w:type="dxa"/>
            <w:gridSpan w:val="2"/>
            <w:shd w:val="clear" w:color="auto" w:fill="F1F1F1" w:themeFill="background1" w:themeFillShade="F2"/>
            <w:noWrap/>
            <w:vAlign w:val="center"/>
          </w:tcPr>
          <w:p w14:paraId="77025805">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最终报价得分＝（评标基准价÷评标报价）×30（评标报价指的是投标报价经过算术修正或者中小企业、残疾人及监狱企业价格扣除之后的价格）最终得分计算保留小数点两位。</w:t>
            </w:r>
          </w:p>
          <w:p w14:paraId="6FACD251">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注：未通过初步评审的投标不参与投标报价得分的计算</w:t>
            </w:r>
          </w:p>
        </w:tc>
      </w:tr>
      <w:tr w14:paraId="51E5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963" w:hRule="atLeast"/>
        </w:trPr>
        <w:tc>
          <w:tcPr>
            <w:tcW w:w="621" w:type="dxa"/>
            <w:vMerge w:val="restart"/>
            <w:shd w:val="clear" w:color="auto" w:fill="auto"/>
            <w:noWrap/>
            <w:vAlign w:val="center"/>
          </w:tcPr>
          <w:p w14:paraId="53773621">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4（2）</w:t>
            </w:r>
          </w:p>
        </w:tc>
        <w:tc>
          <w:tcPr>
            <w:tcW w:w="672" w:type="dxa"/>
            <w:gridSpan w:val="2"/>
            <w:vMerge w:val="restart"/>
            <w:shd w:val="clear" w:color="auto" w:fill="auto"/>
            <w:noWrap/>
            <w:vAlign w:val="center"/>
          </w:tcPr>
          <w:p w14:paraId="6B3C5633">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商务部分</w:t>
            </w:r>
          </w:p>
          <w:p w14:paraId="531021D8">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rPr>
              <w:t>(2</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lang w:val="en-US"/>
              </w:rPr>
              <w:t>分)</w:t>
            </w:r>
          </w:p>
        </w:tc>
        <w:tc>
          <w:tcPr>
            <w:tcW w:w="1085" w:type="dxa"/>
            <w:shd w:val="clear" w:color="auto" w:fill="auto"/>
            <w:noWrap/>
            <w:vAlign w:val="center"/>
          </w:tcPr>
          <w:p w14:paraId="694D400E">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信用评价</w:t>
            </w:r>
            <w:r>
              <w:rPr>
                <w:rFonts w:hint="eastAsia" w:asciiTheme="minorEastAsia" w:hAnsiTheme="minorEastAsia" w:eastAsiaTheme="minorEastAsia" w:cstheme="minorEastAsia"/>
                <w:lang w:val="en-US"/>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en-US"/>
              </w:rPr>
              <w:t>分)</w:t>
            </w:r>
          </w:p>
        </w:tc>
        <w:tc>
          <w:tcPr>
            <w:tcW w:w="6391" w:type="dxa"/>
            <w:gridSpan w:val="2"/>
            <w:shd w:val="clear" w:color="auto" w:fill="auto"/>
            <w:noWrap/>
            <w:vAlign w:val="center"/>
          </w:tcPr>
          <w:p w14:paraId="419BE4A9">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根据《南阳市政府采购信用评价实施办法》，投标人登录“南阳市政府采购信用管理系统”打印并提交《南阳市政府采购供应商信用记录表》，诚信评价为三星级的加 1 分，四星级的加 2 分，其他不得分；</w:t>
            </w:r>
          </w:p>
        </w:tc>
      </w:tr>
      <w:tr w14:paraId="5A26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950" w:hRule="atLeast"/>
        </w:trPr>
        <w:tc>
          <w:tcPr>
            <w:tcW w:w="621" w:type="dxa"/>
            <w:vMerge w:val="continue"/>
            <w:shd w:val="clear" w:color="auto" w:fill="auto"/>
            <w:noWrap/>
            <w:vAlign w:val="center"/>
          </w:tcPr>
          <w:p w14:paraId="450E5358">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p>
        </w:tc>
        <w:tc>
          <w:tcPr>
            <w:tcW w:w="672" w:type="dxa"/>
            <w:gridSpan w:val="2"/>
            <w:vMerge w:val="continue"/>
            <w:shd w:val="clear" w:color="auto" w:fill="auto"/>
            <w:noWrap/>
            <w:vAlign w:val="center"/>
          </w:tcPr>
          <w:p w14:paraId="5C282188">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p>
        </w:tc>
        <w:tc>
          <w:tcPr>
            <w:tcW w:w="1085" w:type="dxa"/>
            <w:shd w:val="clear" w:color="auto" w:fill="auto"/>
            <w:noWrap/>
            <w:vAlign w:val="center"/>
          </w:tcPr>
          <w:p w14:paraId="55A00DD0">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优惠条件的承诺（0-</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w:t>
            </w:r>
          </w:p>
        </w:tc>
        <w:tc>
          <w:tcPr>
            <w:tcW w:w="6391" w:type="dxa"/>
            <w:gridSpan w:val="2"/>
            <w:shd w:val="clear" w:color="auto" w:fill="auto"/>
            <w:noWrap/>
            <w:vAlign w:val="center"/>
          </w:tcPr>
          <w:p w14:paraId="08114252">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优惠条件主要体现在优惠内容、优惠幅度、实现措施、约束机制四个方面，区分四档：</w:t>
            </w:r>
          </w:p>
          <w:p w14:paraId="5B59E442">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1.投标人在协调内外关系、维修材料成本、质保期后终身维护等方面的承诺符合实际、优惠幅度最大、措施具体、有履行承诺约束机制的，得5分</w:t>
            </w:r>
          </w:p>
          <w:p w14:paraId="36AA9CAD">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2.投标人在协调内外关系、维修材料成本、质保期后维护等方面的承诺符合实际、但整体优惠幅度不大的，得3分</w:t>
            </w:r>
          </w:p>
          <w:p w14:paraId="3783BA04">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3有优惠条件承诺的，得1分</w:t>
            </w:r>
          </w:p>
          <w:p w14:paraId="510C1C69">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4.缺项得0分</w:t>
            </w:r>
          </w:p>
        </w:tc>
      </w:tr>
      <w:tr w14:paraId="0AC3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950" w:hRule="atLeast"/>
        </w:trPr>
        <w:tc>
          <w:tcPr>
            <w:tcW w:w="621" w:type="dxa"/>
            <w:vMerge w:val="continue"/>
            <w:shd w:val="clear" w:color="auto" w:fill="auto"/>
            <w:noWrap/>
            <w:vAlign w:val="center"/>
          </w:tcPr>
          <w:p w14:paraId="2DECE51D">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p>
        </w:tc>
        <w:tc>
          <w:tcPr>
            <w:tcW w:w="672" w:type="dxa"/>
            <w:gridSpan w:val="2"/>
            <w:vMerge w:val="continue"/>
            <w:shd w:val="clear" w:color="auto" w:fill="auto"/>
            <w:noWrap/>
            <w:vAlign w:val="center"/>
          </w:tcPr>
          <w:p w14:paraId="07941473">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p>
        </w:tc>
        <w:tc>
          <w:tcPr>
            <w:tcW w:w="1085" w:type="dxa"/>
            <w:shd w:val="clear" w:color="auto" w:fill="auto"/>
            <w:noWrap/>
            <w:vAlign w:val="center"/>
          </w:tcPr>
          <w:p w14:paraId="62D06431">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rPr>
              <w:t>售后服务（</w:t>
            </w: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lang w:val="en-US"/>
              </w:rPr>
              <w:t>分）</w:t>
            </w:r>
          </w:p>
        </w:tc>
        <w:tc>
          <w:tcPr>
            <w:tcW w:w="6391" w:type="dxa"/>
            <w:gridSpan w:val="2"/>
            <w:shd w:val="clear" w:color="auto" w:fill="auto"/>
            <w:noWrap/>
            <w:vAlign w:val="center"/>
          </w:tcPr>
          <w:p w14:paraId="7D548567">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根据投标人提供的售后服务承诺情况（包含但不限于响应时间、服务内容、故障检修、售后服务场所或售后网点设置等)进行横向对比评分：</w:t>
            </w:r>
          </w:p>
          <w:p w14:paraId="760C5D62">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第一档：售后服务响应时间及时、服务内容详细全面、售后故障检修及时、售后服务场所或售后网点设置合理贴合实际的，得10分；</w:t>
            </w:r>
          </w:p>
          <w:p w14:paraId="3E3E832E">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第二档：售后服务响应时间较长、服务内容较详细全面、售后故障检修较长、售后服务场所或售后网点设置合理较贴合实际的，得7分；</w:t>
            </w:r>
          </w:p>
          <w:p w14:paraId="6BA0C542">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第三档：售后服务响应时间较长、服务内容一般详细全面、售后故障检修较长、售后服务场所或售后网点设置合理一般贴合实际的，得4分；</w:t>
            </w:r>
          </w:p>
          <w:p w14:paraId="02114926">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第四档：售后服务响应时间较长、服务内容与本项目实际不符，无操作性的，得1分；</w:t>
            </w:r>
          </w:p>
          <w:p w14:paraId="7A6A52C7">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第五档：缺项不得分。</w:t>
            </w:r>
          </w:p>
        </w:tc>
      </w:tr>
      <w:tr w14:paraId="0F38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90" w:hRule="atLeast"/>
        </w:trPr>
        <w:tc>
          <w:tcPr>
            <w:tcW w:w="621" w:type="dxa"/>
            <w:vMerge w:val="continue"/>
            <w:shd w:val="clear" w:color="auto" w:fill="auto"/>
            <w:noWrap/>
            <w:vAlign w:val="center"/>
          </w:tcPr>
          <w:p w14:paraId="6A95A4D0">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p>
        </w:tc>
        <w:tc>
          <w:tcPr>
            <w:tcW w:w="672" w:type="dxa"/>
            <w:gridSpan w:val="2"/>
            <w:vMerge w:val="continue"/>
            <w:shd w:val="clear" w:color="auto" w:fill="auto"/>
            <w:noWrap/>
            <w:vAlign w:val="center"/>
          </w:tcPr>
          <w:p w14:paraId="120EFF62">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p>
        </w:tc>
        <w:tc>
          <w:tcPr>
            <w:tcW w:w="1085" w:type="dxa"/>
            <w:shd w:val="clear" w:color="auto" w:fill="auto"/>
            <w:noWrap/>
            <w:vAlign w:val="center"/>
          </w:tcPr>
          <w:p w14:paraId="75E8FAB7">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人员培训方案（8分）</w:t>
            </w:r>
          </w:p>
          <w:p w14:paraId="26916477">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rPr>
              <w:t>）</w:t>
            </w:r>
          </w:p>
        </w:tc>
        <w:tc>
          <w:tcPr>
            <w:tcW w:w="6391" w:type="dxa"/>
            <w:gridSpan w:val="2"/>
            <w:shd w:val="clear" w:color="auto" w:fill="auto"/>
            <w:noWrap/>
            <w:vAlign w:val="center"/>
          </w:tcPr>
          <w:p w14:paraId="6F0F4FB8">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根据投标人所制定的技术培训方案（包括培训目标、方式、对象、地点环境、周期及内容等）进行横向对比评分：</w:t>
            </w:r>
          </w:p>
          <w:p w14:paraId="531034F5">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第一档：对使用部门的人员有制定培训计划，所供设备操作手册简单易懂，能很好的满足本项目要求的得8分；</w:t>
            </w:r>
          </w:p>
          <w:p w14:paraId="73733979">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第二档：对使用部门的人员有培训计划，能够提供设备操作手册，可实践实施的得7分；</w:t>
            </w:r>
          </w:p>
          <w:p w14:paraId="59653BB0">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第三档：对使用部门的人员培训计划不具有实践实施性的得4分；</w:t>
            </w:r>
          </w:p>
          <w:p w14:paraId="41012DEC">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第四档：有人员培训方案，但内容与本项目实际不符，无操作性的得1分； </w:t>
            </w:r>
          </w:p>
          <w:p w14:paraId="7A56E8C3">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第五档：完全不满足不得分。</w:t>
            </w:r>
          </w:p>
        </w:tc>
      </w:tr>
      <w:tr w14:paraId="36E8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3925" w:hRule="atLeast"/>
        </w:trPr>
        <w:tc>
          <w:tcPr>
            <w:tcW w:w="621" w:type="dxa"/>
            <w:vMerge w:val="restart"/>
            <w:shd w:val="clear" w:color="auto" w:fill="F1F1F1" w:themeFill="background1" w:themeFillShade="F2"/>
            <w:noWrap/>
            <w:vAlign w:val="center"/>
          </w:tcPr>
          <w:p w14:paraId="20063F6C">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4（3）</w:t>
            </w:r>
          </w:p>
        </w:tc>
        <w:tc>
          <w:tcPr>
            <w:tcW w:w="672" w:type="dxa"/>
            <w:gridSpan w:val="2"/>
            <w:vMerge w:val="restart"/>
            <w:shd w:val="clear" w:color="auto" w:fill="F1F1F1" w:themeFill="background1" w:themeFillShade="F2"/>
            <w:noWrap/>
            <w:vAlign w:val="center"/>
          </w:tcPr>
          <w:p w14:paraId="641A54DE">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技术部分（4</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 xml:space="preserve">分）  </w:t>
            </w:r>
          </w:p>
        </w:tc>
        <w:tc>
          <w:tcPr>
            <w:tcW w:w="1085" w:type="dxa"/>
            <w:shd w:val="clear" w:color="auto" w:fill="F1F1F1" w:themeFill="background1" w:themeFillShade="F2"/>
            <w:noWrap/>
            <w:vAlign w:val="center"/>
          </w:tcPr>
          <w:p w14:paraId="36891FDE">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产品功能和技术指标（</w:t>
            </w:r>
            <w:r>
              <w:rPr>
                <w:rFonts w:hint="eastAsia" w:asciiTheme="minorEastAsia" w:hAnsiTheme="minorEastAsia" w:eastAsiaTheme="minorEastAsia" w:cstheme="minorEastAsia"/>
                <w:lang w:val="en-US" w:eastAsia="zh-CN"/>
              </w:rPr>
              <w:t>35</w:t>
            </w:r>
            <w:r>
              <w:rPr>
                <w:rFonts w:hint="eastAsia" w:asciiTheme="minorEastAsia" w:hAnsiTheme="minorEastAsia" w:eastAsiaTheme="minorEastAsia" w:cstheme="minorEastAsia"/>
              </w:rPr>
              <w:t>分）</w:t>
            </w:r>
          </w:p>
        </w:tc>
        <w:tc>
          <w:tcPr>
            <w:tcW w:w="6391" w:type="dxa"/>
            <w:gridSpan w:val="2"/>
            <w:shd w:val="clear" w:color="auto" w:fill="F1F1F1" w:themeFill="background1" w:themeFillShade="F2"/>
            <w:noWrap/>
            <w:vAlign w:val="center"/>
          </w:tcPr>
          <w:p w14:paraId="16B078AF">
            <w:pPr>
              <w:keepNext w:val="0"/>
              <w:keepLines w:val="0"/>
              <w:pageBreakBefore w:val="0"/>
              <w:numPr>
                <w:ilvl w:val="0"/>
                <w:numId w:val="4"/>
              </w:numPr>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投标产品技术参数、性能及功能全部满足招标文件要求得满分30分。</w:t>
            </w:r>
          </w:p>
          <w:p w14:paraId="0C69B2C9">
            <w:pPr>
              <w:keepNext w:val="0"/>
              <w:keepLines w:val="0"/>
              <w:pageBreakBefore w:val="0"/>
              <w:numPr>
                <w:ilvl w:val="0"/>
                <w:numId w:val="0"/>
              </w:numPr>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其中产品参数中带“▲★”号项为重要参数，(投标时须提供证明文件，并且证明文件中需呈现相应的参数功能)，全部满足或优于得25分。每有一项不满足扣1分,(若不能提供符合要求的证明材料，将被视为不满足)，扣完为止。产品参数中非带“▲★”号项为一般参数，每有一项不满足扣0.5分，扣完为止。（合同签定前及履行过程中发现本项有虚假者，取消其资格，并追究相应的法律责任和进行相应的赔偿）。</w:t>
            </w:r>
          </w:p>
          <w:p w14:paraId="7A0F0039">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节能产品政府采购品目清单产品：所投产品如为“节能产品政府采购品目清单”内非强制节能产品的，每有一项加1分，最多加3分，投标人须在投标文件中提供该产品处于有效期之内的《节能产品认证证书》，否则评标委员会有权不予认可；</w:t>
            </w:r>
          </w:p>
          <w:p w14:paraId="2E311D2A">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环境标志产品政府采购品目清单产品：所投产品如为“环境标志产品政府采购品目清单”内产品的，每有一项加1分，最多加2分，投标人须在投标文件中提供该产品处于有效期之内的《环境标志产品认证证书》，否则评委委员会有权不予认可。</w:t>
            </w:r>
          </w:p>
        </w:tc>
      </w:tr>
      <w:tr w14:paraId="4223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1506" w:hRule="atLeast"/>
        </w:trPr>
        <w:tc>
          <w:tcPr>
            <w:tcW w:w="621" w:type="dxa"/>
            <w:vMerge w:val="continue"/>
            <w:shd w:val="clear" w:color="auto" w:fill="F1F1F1" w:themeFill="background1" w:themeFillShade="F2"/>
            <w:noWrap/>
            <w:vAlign w:val="center"/>
          </w:tcPr>
          <w:p w14:paraId="1899F236">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p>
        </w:tc>
        <w:tc>
          <w:tcPr>
            <w:tcW w:w="672" w:type="dxa"/>
            <w:gridSpan w:val="2"/>
            <w:vMerge w:val="continue"/>
            <w:shd w:val="clear" w:color="auto" w:fill="F1F1F1" w:themeFill="background1" w:themeFillShade="F2"/>
            <w:noWrap/>
            <w:vAlign w:val="center"/>
          </w:tcPr>
          <w:p w14:paraId="3E061EBE">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p>
        </w:tc>
        <w:tc>
          <w:tcPr>
            <w:tcW w:w="1085" w:type="dxa"/>
            <w:shd w:val="clear" w:color="auto" w:fill="F1F1F1" w:themeFill="background1" w:themeFillShade="F2"/>
            <w:noWrap/>
            <w:vAlign w:val="center"/>
          </w:tcPr>
          <w:p w14:paraId="21C0E680">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zh-CN" w:eastAsia="zh-CN"/>
              </w:rPr>
            </w:pPr>
            <w:r>
              <w:rPr>
                <w:rFonts w:hint="eastAsia" w:asciiTheme="minorEastAsia" w:hAnsiTheme="minorEastAsia" w:eastAsiaTheme="minorEastAsia" w:cstheme="minorEastAsia"/>
                <w:lang w:val="zh-CN" w:eastAsia="zh-CN"/>
              </w:rPr>
              <w:t>供货安装调试方案（10分）</w:t>
            </w:r>
          </w:p>
          <w:p w14:paraId="06B35279">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p>
        </w:tc>
        <w:tc>
          <w:tcPr>
            <w:tcW w:w="6391" w:type="dxa"/>
            <w:gridSpan w:val="2"/>
            <w:shd w:val="clear" w:color="auto" w:fill="F1F1F1" w:themeFill="background1" w:themeFillShade="F2"/>
            <w:noWrap/>
            <w:vAlign w:val="center"/>
          </w:tcPr>
          <w:p w14:paraId="7A3CD27E">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zh-CN" w:eastAsia="zh-CN"/>
              </w:rPr>
            </w:pPr>
            <w:r>
              <w:rPr>
                <w:rFonts w:hint="eastAsia" w:asciiTheme="minorEastAsia" w:hAnsiTheme="minorEastAsia" w:eastAsiaTheme="minorEastAsia" w:cstheme="minorEastAsia"/>
                <w:lang w:val="zh-CN" w:eastAsia="zh-CN"/>
              </w:rPr>
              <w:t>实施方案应包括配送、安装、调试等内容</w:t>
            </w:r>
          </w:p>
          <w:p w14:paraId="6157D4B8">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zh-CN" w:eastAsia="zh-CN"/>
              </w:rPr>
            </w:pPr>
            <w:r>
              <w:rPr>
                <w:rFonts w:hint="eastAsia" w:asciiTheme="minorEastAsia" w:hAnsiTheme="minorEastAsia" w:eastAsiaTheme="minorEastAsia" w:cstheme="minorEastAsia"/>
                <w:lang w:val="zh-CN" w:eastAsia="zh-CN"/>
              </w:rPr>
              <w:t>第一档：供货安装调试方案详细、可行、有针对性，产品选型（品牌、配置、适用性、性价比）科学、合理。时间计划安排精细合理、有详细的违约承诺及质量承诺，人员安装计划配备得当能够很好地满足项目要求的得10分；</w:t>
            </w:r>
          </w:p>
          <w:p w14:paraId="56B3BD57">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zh-CN" w:eastAsia="zh-CN"/>
              </w:rPr>
            </w:pPr>
            <w:r>
              <w:rPr>
                <w:rFonts w:hint="eastAsia" w:asciiTheme="minorEastAsia" w:hAnsiTheme="minorEastAsia" w:eastAsiaTheme="minorEastAsia" w:cstheme="minorEastAsia"/>
                <w:lang w:val="zh-CN" w:eastAsia="zh-CN"/>
              </w:rPr>
              <w:t>第二档：供货安装调试方案简单、可行，产品选型（品牌、配置、适用性、性价比）合理。时间计划及违约、质量承诺简单，人员安装计划、配备简单，能够满足项目要求的得7分；</w:t>
            </w:r>
          </w:p>
          <w:p w14:paraId="6BEE8241">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zh-CN" w:eastAsia="zh-CN"/>
              </w:rPr>
            </w:pPr>
            <w:r>
              <w:rPr>
                <w:rFonts w:hint="eastAsia" w:asciiTheme="minorEastAsia" w:hAnsiTheme="minorEastAsia" w:eastAsiaTheme="minorEastAsia" w:cstheme="minorEastAsia"/>
                <w:lang w:val="zh-CN" w:eastAsia="zh-CN"/>
              </w:rPr>
              <w:t>第三档：供货安装调试方案笼统、产品选型（品牌、配置、适用性、性价比）基本合理。有笼统的时间计划及违约、质量承诺、人员安装计划、配备计划的，得4分；</w:t>
            </w:r>
          </w:p>
          <w:p w14:paraId="0FC37CB0">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zh-CN" w:eastAsia="zh-CN"/>
              </w:rPr>
            </w:pPr>
            <w:r>
              <w:rPr>
                <w:rFonts w:hint="eastAsia" w:asciiTheme="minorEastAsia" w:hAnsiTheme="minorEastAsia" w:eastAsiaTheme="minorEastAsia" w:cstheme="minorEastAsia"/>
                <w:lang w:val="zh-CN" w:eastAsia="zh-CN"/>
              </w:rPr>
              <w:t>第四档：有供货安装调试方案，但方案中时间计划及违约、质量承诺、人员安装计划、配备计划等内容不完整（部分内容缺项），得1分；</w:t>
            </w:r>
          </w:p>
          <w:p w14:paraId="36708153">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zh-CN" w:eastAsia="zh-CN"/>
              </w:rPr>
              <w:t>第五档：没有不得分。</w:t>
            </w:r>
          </w:p>
        </w:tc>
      </w:tr>
      <w:tr w14:paraId="01AE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1298" w:hRule="atLeast"/>
        </w:trPr>
        <w:tc>
          <w:tcPr>
            <w:tcW w:w="8769" w:type="dxa"/>
            <w:gridSpan w:val="6"/>
            <w:shd w:val="clear" w:color="auto" w:fill="F1F1F1" w:themeFill="background1" w:themeFillShade="F2"/>
            <w:noWrap/>
            <w:vAlign w:val="center"/>
          </w:tcPr>
          <w:p w14:paraId="6168240A">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第一档打分说明：指阐述（说明、方案、或承诺）完整详细、合理可行、针对性强。对于说明，有详尽的说明文件，包括货物或其它技术手段的具体实现方式及相关界面展示，并结合了招标文件中的具体采购需求，不是笼统的表达；有方案的具体实现，包括说明方案的可行性、方案中涉及的货物或其它技术手段的实现方法，方案的优点及能达到的效果；对于承诺，说明了如何能够实现承诺，如实现的技术手段、人员配备等。</w:t>
            </w:r>
          </w:p>
          <w:p w14:paraId="0984B84C">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档打分说明：指阐述（说明、方案、或承诺）详细，合理可行，有针对性。对于说明，有说明文件。能够满足招标文件要求，对于方案的各方面安排比较合理，对可行性、实现方法、优点、效果等方面有说明；对于承诺，能够满足符合招标文件要求。</w:t>
            </w:r>
          </w:p>
          <w:p w14:paraId="1AF8B6ED">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第三档打分说明：指阐述（说明、方案、或承诺）笼统、模糊。对于说明，有说明文件，但实现手段描述不够全面详细；对于方案，可行性、实现方法、优点、效果等方面有说明；对于承诺，较为满足相关要求。</w:t>
            </w:r>
          </w:p>
          <w:p w14:paraId="2D1FD5D3">
            <w:pPr>
              <w:keepNext w:val="0"/>
              <w:keepLines w:val="0"/>
              <w:pageBreakBefore w:val="0"/>
              <w:kinsoku/>
              <w:wordWrap w:val="0"/>
              <w:overflowPunct/>
              <w:topLinePunct w:val="0"/>
              <w:bidi w:val="0"/>
              <w:spacing w:before="39"/>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第四档打分说明：仅有标题及概括性内容，实际内容与本项目不符合，没有可行性，对于承诺，不能满足相关要求。</w:t>
            </w:r>
          </w:p>
        </w:tc>
      </w:tr>
    </w:tbl>
    <w:p w14:paraId="2F652D9D">
      <w:pPr>
        <w:keepNext w:val="0"/>
        <w:keepLines w:val="0"/>
        <w:pageBreakBefore w:val="0"/>
        <w:kinsoku/>
        <w:wordWrap w:val="0"/>
        <w:overflowPunct/>
        <w:topLinePunct w:val="0"/>
        <w:bidi w:val="0"/>
        <w:spacing w:before="39"/>
        <w:jc w:val="both"/>
        <w:rPr>
          <w:rFonts w:hint="eastAsia" w:asciiTheme="minorEastAsia" w:hAnsiTheme="minorEastAsia" w:eastAsiaTheme="minorEastAsia" w:cstheme="minorEastAsia"/>
          <w:color w:val="FF0000"/>
          <w:lang w:val="en-US" w:eastAsia="zh-CN"/>
        </w:rPr>
      </w:pPr>
      <w:r>
        <w:rPr>
          <w:rFonts w:hint="eastAsia" w:asciiTheme="minorEastAsia" w:hAnsiTheme="minorEastAsia" w:eastAsiaTheme="minorEastAsia" w:cstheme="minorEastAsia"/>
          <w:color w:val="FF0000"/>
        </w:rPr>
        <w:t>②</w:t>
      </w:r>
      <w:r>
        <w:rPr>
          <w:rFonts w:hint="eastAsia" w:asciiTheme="minorEastAsia" w:hAnsiTheme="minorEastAsia" w:eastAsiaTheme="minorEastAsia" w:cstheme="minorEastAsia"/>
          <w:color w:val="FF0000"/>
          <w:lang w:val="en-US" w:eastAsia="zh-CN"/>
        </w:rPr>
        <w:t>核心产品：</w:t>
      </w:r>
    </w:p>
    <w:p w14:paraId="315AD18C">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p w14:paraId="32E8EE27">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备注：严格执行《南阳市政府采购负面清单》，根据实际项目需要设置科学合理的评分因素及分值。</w:t>
      </w:r>
    </w:p>
    <w:p w14:paraId="7F464700">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94ED7F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7A4AEF8D">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3929D95F">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w:t>
      </w:r>
      <w:r>
        <w:rPr>
          <w:rFonts w:hint="eastAsia" w:asciiTheme="minorEastAsia" w:hAnsiTheme="minorEastAsia" w:eastAsiaTheme="minorEastAsia" w:cstheme="minorEastAsia"/>
          <w:snapToGrid w:val="0"/>
          <w:color w:val="FF0000"/>
          <w:spacing w:val="2"/>
          <w:kern w:val="0"/>
          <w:position w:val="17"/>
          <w:sz w:val="24"/>
          <w:szCs w:val="24"/>
          <w:lang w:val="en-US" w:eastAsia="zh-CN" w:bidi="ar-SA"/>
        </w:rPr>
        <w:t>《全国公共资源交易平台（河南省·南阳市·卧龙区）》”</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上公告中标结果，同时向中标人发出《中标通知书》。</w:t>
      </w:r>
    </w:p>
    <w:p w14:paraId="41827A1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3F0E349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或电子营业执照应用平台”向中标人发出电子《中标通知书》后，中标供应商可登录南阳市公共资源交易平台会员系统或电子营业执照应用平台，自行打印加盖电子签章的《中标通知书》。</w:t>
      </w:r>
    </w:p>
    <w:p w14:paraId="40BBCFE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598F4BAF">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308440B0">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7895C59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1199495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64AD8131">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6C017694">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4A8F7DC6">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56A8D786">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在线接收，请质疑人上传质疑函原件扫描件到南阳市公共资源交易系统或南阳市公共资源电子营业执照应用平台并电话通知到项目负责人。</w:t>
      </w:r>
    </w:p>
    <w:p w14:paraId="6889AA65">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67E062A5">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2DBF10E7">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6705388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6A372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37611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335AA89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7EE8823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6E1869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08DBF08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387ACEA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2D9D3C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284865B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1BE90D3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0BEF1F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0CC0810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36E300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81DDE6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1DE36F37">
      <w:pPr>
        <w:pStyle w:val="22"/>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630E5076">
      <w:pPr>
        <w:pStyle w:val="5"/>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16715AE5">
      <w:pPr>
        <w:pStyle w:val="22"/>
        <w:jc w:val="both"/>
        <w:rPr>
          <w:rFonts w:hint="eastAsia"/>
        </w:rPr>
      </w:pPr>
    </w:p>
    <w:p w14:paraId="77B87D1C">
      <w:pPr>
        <w:widowControl/>
        <w:spacing w:line="360" w:lineRule="auto"/>
        <w:ind w:firstLine="2891" w:firstLineChars="900"/>
        <w:jc w:val="left"/>
        <w:rPr>
          <w:rFonts w:hint="eastAsia" w:ascii="仿宋" w:hAnsi="仿宋" w:eastAsia="仿宋" w:cs="仿宋"/>
          <w:sz w:val="32"/>
          <w:szCs w:val="32"/>
        </w:rPr>
      </w:pPr>
      <w:r>
        <w:rPr>
          <w:rFonts w:hint="eastAsia" w:ascii="仿宋" w:hAnsi="仿宋" w:eastAsia="仿宋" w:cs="仿宋"/>
          <w:b/>
          <w:bCs/>
          <w:color w:val="000000"/>
          <w:kern w:val="0"/>
          <w:sz w:val="32"/>
          <w:szCs w:val="32"/>
          <w:lang w:bidi="ar"/>
        </w:rPr>
        <w:t xml:space="preserve">第一部分 合同书 </w:t>
      </w:r>
    </w:p>
    <w:p w14:paraId="6A77CC0B">
      <w:pPr>
        <w:widowControl/>
        <w:spacing w:line="360" w:lineRule="auto"/>
        <w:jc w:val="left"/>
        <w:rPr>
          <w:rFonts w:hint="eastAsia" w:ascii="仿宋" w:hAnsi="仿宋" w:eastAsia="仿宋" w:cs="仿宋"/>
          <w:color w:val="000000"/>
          <w:kern w:val="0"/>
          <w:sz w:val="28"/>
          <w:szCs w:val="28"/>
          <w:lang w:bidi="ar"/>
        </w:rPr>
      </w:pPr>
    </w:p>
    <w:p w14:paraId="2F76A792">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项目名称：</w:t>
      </w:r>
      <w:r>
        <w:rPr>
          <w:rFonts w:hint="eastAsia" w:ascii="仿宋" w:hAnsi="仿宋" w:eastAsia="仿宋" w:cs="仿宋"/>
          <w:color w:val="000000"/>
          <w:kern w:val="0"/>
          <w:sz w:val="28"/>
          <w:szCs w:val="28"/>
          <w:lang w:eastAsia="zh-CN" w:bidi="ar"/>
        </w:rPr>
        <w:t>南阳市卧龙区教育体育局南阳市实验幼儿园山水和院园区LED显示屏采购项目</w:t>
      </w:r>
      <w:r>
        <w:rPr>
          <w:rFonts w:hint="eastAsia" w:ascii="仿宋" w:hAnsi="仿宋" w:eastAsia="仿宋" w:cs="仿宋"/>
          <w:color w:val="000000"/>
          <w:kern w:val="0"/>
          <w:sz w:val="28"/>
          <w:szCs w:val="28"/>
          <w:lang w:bidi="ar"/>
        </w:rPr>
        <w:t xml:space="preserve"> </w:t>
      </w:r>
    </w:p>
    <w:p w14:paraId="0E196754">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项目编号： </w:t>
      </w:r>
    </w:p>
    <w:p w14:paraId="7F5755D3">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甲方：</w:t>
      </w:r>
      <w:r>
        <w:rPr>
          <w:rFonts w:hint="eastAsia" w:ascii="仿宋" w:hAnsi="仿宋" w:eastAsia="仿宋" w:cs="仿宋"/>
          <w:color w:val="000000"/>
          <w:kern w:val="0"/>
          <w:sz w:val="28"/>
          <w:szCs w:val="28"/>
          <w:lang w:eastAsia="zh-CN" w:bidi="ar"/>
        </w:rPr>
        <w:t>南阳市卧龙区教育体育局</w:t>
      </w:r>
      <w:r>
        <w:rPr>
          <w:rFonts w:hint="eastAsia" w:ascii="仿宋" w:hAnsi="仿宋" w:eastAsia="仿宋" w:cs="仿宋"/>
          <w:color w:val="000000"/>
          <w:kern w:val="0"/>
          <w:sz w:val="28"/>
          <w:szCs w:val="28"/>
          <w:lang w:bidi="ar"/>
        </w:rPr>
        <w:t xml:space="preserve"> </w:t>
      </w:r>
    </w:p>
    <w:p w14:paraId="6484F49A">
      <w:pPr>
        <w:widowControl/>
        <w:spacing w:line="360" w:lineRule="auto"/>
        <w:ind w:firstLine="1400" w:firstLineChars="500"/>
        <w:jc w:val="left"/>
        <w:rPr>
          <w:rFonts w:hint="eastAsia" w:ascii="仿宋" w:hAnsi="仿宋" w:eastAsia="仿宋" w:cs="仿宋"/>
          <w:color w:val="000000"/>
          <w:kern w:val="0"/>
          <w:sz w:val="28"/>
          <w:szCs w:val="28"/>
          <w:lang w:bidi="ar"/>
        </w:rPr>
      </w:pPr>
    </w:p>
    <w:p w14:paraId="4838F1C5">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乙方： </w:t>
      </w:r>
    </w:p>
    <w:p w14:paraId="40FBA02D">
      <w:pPr>
        <w:widowControl/>
        <w:spacing w:line="360" w:lineRule="auto"/>
        <w:ind w:firstLine="1400" w:firstLineChars="500"/>
        <w:jc w:val="left"/>
        <w:rPr>
          <w:rFonts w:hint="eastAsia" w:ascii="仿宋" w:hAnsi="仿宋" w:eastAsia="仿宋" w:cs="仿宋"/>
          <w:color w:val="000000"/>
          <w:kern w:val="0"/>
          <w:sz w:val="28"/>
          <w:szCs w:val="28"/>
          <w:lang w:bidi="ar"/>
        </w:rPr>
      </w:pPr>
    </w:p>
    <w:p w14:paraId="5568F77A">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签订地：</w:t>
      </w:r>
      <w:r>
        <w:rPr>
          <w:rFonts w:hint="eastAsia" w:ascii="仿宋" w:hAnsi="仿宋" w:eastAsia="仿宋" w:cs="仿宋"/>
          <w:color w:val="000000"/>
          <w:kern w:val="0"/>
          <w:sz w:val="28"/>
          <w:szCs w:val="28"/>
          <w:lang w:eastAsia="zh-CN" w:bidi="ar"/>
        </w:rPr>
        <w:t>南阳市卧龙区教育体育局</w:t>
      </w:r>
      <w:r>
        <w:rPr>
          <w:rFonts w:hint="eastAsia" w:ascii="仿宋" w:hAnsi="仿宋" w:eastAsia="仿宋" w:cs="仿宋"/>
          <w:color w:val="000000"/>
          <w:kern w:val="0"/>
          <w:sz w:val="28"/>
          <w:szCs w:val="28"/>
          <w:lang w:bidi="ar"/>
        </w:rPr>
        <w:t xml:space="preserve"> </w:t>
      </w:r>
    </w:p>
    <w:p w14:paraId="66D27E9C">
      <w:pPr>
        <w:widowControl/>
        <w:spacing w:line="360" w:lineRule="auto"/>
        <w:ind w:firstLine="1400" w:firstLineChars="500"/>
        <w:jc w:val="left"/>
        <w:rPr>
          <w:rFonts w:hint="eastAsia" w:ascii="仿宋" w:hAnsi="仿宋" w:eastAsia="仿宋" w:cs="仿宋"/>
          <w:color w:val="000000"/>
          <w:kern w:val="0"/>
          <w:sz w:val="28"/>
          <w:szCs w:val="28"/>
          <w:lang w:bidi="ar"/>
        </w:rPr>
      </w:pPr>
    </w:p>
    <w:p w14:paraId="0E2FDEE9">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签订日期： </w:t>
      </w:r>
      <w:r>
        <w:rPr>
          <w:rFonts w:ascii="仿宋" w:hAnsi="仿宋" w:eastAsia="仿宋" w:cs="仿宋"/>
          <w:color w:val="000000"/>
          <w:kern w:val="0"/>
          <w:sz w:val="28"/>
          <w:szCs w:val="28"/>
          <w:lang w:bidi="ar"/>
        </w:rPr>
        <w:t xml:space="preserve">  </w:t>
      </w:r>
      <w:r>
        <w:rPr>
          <w:rFonts w:hint="eastAsia" w:ascii="仿宋" w:hAnsi="仿宋" w:eastAsia="仿宋" w:cs="仿宋"/>
          <w:color w:val="000000"/>
          <w:kern w:val="0"/>
          <w:sz w:val="28"/>
          <w:szCs w:val="28"/>
          <w:lang w:bidi="ar"/>
        </w:rPr>
        <w:t>年 月 日</w:t>
      </w:r>
    </w:p>
    <w:p w14:paraId="3EADC84D">
      <w:pPr>
        <w:widowControl/>
        <w:spacing w:line="360" w:lineRule="auto"/>
        <w:jc w:val="left"/>
        <w:rPr>
          <w:rFonts w:hint="eastAsia" w:ascii="仿宋" w:hAnsi="仿宋" w:eastAsia="仿宋" w:cs="仿宋"/>
          <w:color w:val="000000"/>
          <w:kern w:val="0"/>
          <w:sz w:val="24"/>
          <w:szCs w:val="24"/>
          <w:lang w:bidi="ar"/>
        </w:rPr>
      </w:pPr>
    </w:p>
    <w:p w14:paraId="309D72D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年 月 日</w:t>
      </w:r>
      <w:r>
        <w:rPr>
          <w:rFonts w:hint="eastAsia" w:ascii="仿宋" w:hAnsi="仿宋" w:eastAsia="仿宋" w:cs="仿宋"/>
          <w:color w:val="000000"/>
          <w:kern w:val="0"/>
          <w:sz w:val="24"/>
          <w:szCs w:val="24"/>
          <w:u w:val="single"/>
          <w:lang w:eastAsia="zh-CN" w:bidi="ar"/>
        </w:rPr>
        <w:t>南阳市卧龙区教育体育局</w:t>
      </w:r>
      <w:r>
        <w:rPr>
          <w:rFonts w:hint="eastAsia" w:ascii="仿宋" w:hAnsi="仿宋" w:eastAsia="仿宋" w:cs="仿宋"/>
          <w:color w:val="000000"/>
          <w:kern w:val="0"/>
          <w:sz w:val="24"/>
          <w:szCs w:val="24"/>
          <w:lang w:bidi="ar"/>
        </w:rPr>
        <w:t>以（政府采购方式）对</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bidi="ar"/>
        </w:rPr>
        <w:t>项目</w:t>
      </w:r>
      <w:r>
        <w:rPr>
          <w:rFonts w:hint="eastAsia" w:ascii="仿宋" w:hAnsi="仿宋" w:eastAsia="仿宋" w:cs="仿宋"/>
          <w:color w:val="000000"/>
          <w:kern w:val="0"/>
          <w:sz w:val="24"/>
          <w:szCs w:val="24"/>
          <w:lang w:bidi="ar"/>
        </w:rPr>
        <w:t>进行了采购。经</w:t>
      </w:r>
      <w:r>
        <w:rPr>
          <w:rFonts w:hint="eastAsia" w:ascii="仿宋" w:hAnsi="仿宋" w:eastAsia="仿宋" w:cs="仿宋"/>
          <w:color w:val="000000"/>
          <w:kern w:val="0"/>
          <w:sz w:val="24"/>
          <w:szCs w:val="24"/>
          <w:u w:val="single"/>
          <w:lang w:bidi="ar"/>
        </w:rPr>
        <w:t xml:space="preserve">          </w:t>
      </w:r>
      <w:r>
        <w:rPr>
          <w:rFonts w:hint="eastAsia" w:ascii="仿宋" w:hAnsi="仿宋" w:eastAsia="仿宋" w:cs="仿宋"/>
          <w:color w:val="000000"/>
          <w:kern w:val="0"/>
          <w:sz w:val="24"/>
          <w:szCs w:val="24"/>
          <w:lang w:bidi="ar"/>
        </w:rPr>
        <w:t xml:space="preserve">（相关评定主体名称）评定, </w:t>
      </w:r>
      <w:r>
        <w:rPr>
          <w:rFonts w:hint="eastAsia" w:ascii="仿宋" w:hAnsi="仿宋" w:eastAsia="仿宋" w:cs="仿宋"/>
          <w:color w:val="000000"/>
          <w:kern w:val="0"/>
          <w:sz w:val="24"/>
          <w:szCs w:val="24"/>
          <w:u w:val="single"/>
          <w:lang w:bidi="ar"/>
        </w:rPr>
        <w:t xml:space="preserve">        </w:t>
      </w:r>
      <w:r>
        <w:rPr>
          <w:rFonts w:hint="eastAsia" w:ascii="仿宋" w:hAnsi="仿宋" w:eastAsia="仿宋" w:cs="仿宋"/>
          <w:color w:val="000000"/>
          <w:kern w:val="0"/>
          <w:sz w:val="24"/>
          <w:szCs w:val="24"/>
          <w:lang w:bidi="ar"/>
        </w:rPr>
        <w:t>（中标供应商名称）为该项目中标供应商。中标供应商在收到《中标通知书》后，需2日内与采购人签订供货合同，按照采购文件确定的事项签订本合同。 根据《中华人民共和国民法典》、《中华人民共和国政府采购法》等相关法律法规之规定，按照平等、自愿、公平和诚实信用的原则，经</w:t>
      </w:r>
      <w:r>
        <w:rPr>
          <w:rFonts w:hint="eastAsia" w:ascii="仿宋" w:hAnsi="仿宋" w:eastAsia="仿宋" w:cs="仿宋"/>
          <w:color w:val="000000"/>
          <w:kern w:val="0"/>
          <w:sz w:val="24"/>
          <w:szCs w:val="24"/>
          <w:u w:val="single"/>
          <w:lang w:eastAsia="zh-CN" w:bidi="ar"/>
        </w:rPr>
        <w:t>南阳市卧龙区教育体育局</w:t>
      </w:r>
      <w:r>
        <w:rPr>
          <w:rFonts w:hint="eastAsia" w:ascii="仿宋" w:hAnsi="仿宋" w:eastAsia="仿宋" w:cs="仿宋"/>
          <w:color w:val="000000"/>
          <w:kern w:val="0"/>
          <w:sz w:val="24"/>
          <w:szCs w:val="24"/>
          <w:u w:val="single"/>
          <w:lang w:bidi="ar"/>
        </w:rPr>
        <w:t>（采购人名称）(以下简称：甲方)</w:t>
      </w:r>
      <w:r>
        <w:rPr>
          <w:rFonts w:hint="eastAsia" w:ascii="仿宋" w:hAnsi="仿宋" w:eastAsia="仿宋" w:cs="仿宋"/>
          <w:color w:val="000000"/>
          <w:kern w:val="0"/>
          <w:sz w:val="24"/>
          <w:szCs w:val="24"/>
          <w:lang w:bidi="ar"/>
        </w:rPr>
        <w:t>和</w:t>
      </w:r>
      <w:r>
        <w:rPr>
          <w:rFonts w:hint="eastAsia" w:ascii="仿宋" w:hAnsi="仿宋" w:eastAsia="仿宋" w:cs="仿宋"/>
          <w:color w:val="000000"/>
          <w:kern w:val="0"/>
          <w:sz w:val="24"/>
          <w:szCs w:val="24"/>
          <w:u w:val="single"/>
          <w:lang w:bidi="ar"/>
        </w:rPr>
        <w:t xml:space="preserve">              （中标供应商名称）(以下简称：乙方)</w:t>
      </w:r>
      <w:r>
        <w:rPr>
          <w:rFonts w:hint="eastAsia" w:ascii="仿宋" w:hAnsi="仿宋" w:eastAsia="仿宋" w:cs="仿宋"/>
          <w:color w:val="000000"/>
          <w:kern w:val="0"/>
          <w:sz w:val="24"/>
          <w:szCs w:val="24"/>
          <w:lang w:bidi="ar"/>
        </w:rPr>
        <w:t>协商一致，约定以下合同条款，以兹共同遵守、全面履行。</w:t>
      </w:r>
    </w:p>
    <w:p w14:paraId="560AC20A">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1.1合同组成部分 </w:t>
      </w:r>
    </w:p>
    <w:p w14:paraId="34E4C292">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3818F7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1.1.1 本合同及其补充合同、变更协议； </w:t>
      </w:r>
    </w:p>
    <w:p w14:paraId="6FE89D48">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1.1.2 中标通知书； </w:t>
      </w:r>
    </w:p>
    <w:p w14:paraId="1E017F2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1.1.3 投标文件（含澄清或者说明文件）； </w:t>
      </w:r>
    </w:p>
    <w:p w14:paraId="29B49C8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1.1.4 招标文件（含澄清或者修改文件）； </w:t>
      </w:r>
    </w:p>
    <w:p w14:paraId="2209A97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1.1.5 其他相关采购文件。 </w:t>
      </w:r>
    </w:p>
    <w:p w14:paraId="25240113">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1.2 货物 </w:t>
      </w:r>
    </w:p>
    <w:p w14:paraId="1A7BBFFB">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1.2.1 货物名称： </w:t>
      </w:r>
    </w:p>
    <w:p w14:paraId="3EA462AE">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1.2.2 货物数量：  </w:t>
      </w:r>
    </w:p>
    <w:p w14:paraId="30F7245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1.2.3 货物质量： </w:t>
      </w:r>
    </w:p>
    <w:p w14:paraId="4A4A0251">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1.3 价款 </w:t>
      </w:r>
    </w:p>
    <w:p w14:paraId="79EE1B54">
      <w:pPr>
        <w:widowControl/>
        <w:spacing w:line="360" w:lineRule="auto"/>
        <w:jc w:val="left"/>
      </w:pPr>
      <w:r>
        <w:rPr>
          <w:rFonts w:hint="eastAsia" w:ascii="仿宋" w:hAnsi="仿宋" w:eastAsia="仿宋" w:cs="仿宋"/>
          <w:color w:val="000000"/>
          <w:kern w:val="0"/>
          <w:sz w:val="24"/>
          <w:szCs w:val="24"/>
          <w:lang w:bidi="ar"/>
        </w:rPr>
        <w:t>本合同总价为：￥ 元（大写：元人民币）。 分项价格:</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4605"/>
        <w:gridCol w:w="3360"/>
      </w:tblGrid>
      <w:tr w14:paraId="746C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top"/>
          </w:tcPr>
          <w:p w14:paraId="3DF2040C">
            <w:pPr>
              <w:widowControl/>
              <w:spacing w:line="360" w:lineRule="auto"/>
              <w:jc w:val="left"/>
              <w:rPr>
                <w:rFonts w:hint="eastAsia" w:ascii="仿宋" w:hAnsi="仿宋" w:eastAsia="仿宋" w:cs="仿宋"/>
                <w:i/>
                <w:iCs/>
                <w:color w:val="000000"/>
                <w:kern w:val="0"/>
                <w:sz w:val="24"/>
                <w:szCs w:val="24"/>
                <w:lang w:bidi="ar"/>
              </w:rPr>
            </w:pPr>
            <w:r>
              <w:rPr>
                <w:rFonts w:hint="eastAsia" w:ascii="仿宋" w:hAnsi="仿宋" w:eastAsia="仿宋" w:cs="仿宋"/>
                <w:i/>
                <w:iCs/>
                <w:color w:val="000000"/>
                <w:kern w:val="0"/>
                <w:sz w:val="24"/>
                <w:szCs w:val="24"/>
                <w:lang w:bidi="ar"/>
              </w:rPr>
              <w:t>序号</w:t>
            </w:r>
          </w:p>
        </w:tc>
        <w:tc>
          <w:tcPr>
            <w:tcW w:w="4605" w:type="dxa"/>
            <w:noWrap w:val="0"/>
            <w:vAlign w:val="top"/>
          </w:tcPr>
          <w:p w14:paraId="2A62366D">
            <w:pPr>
              <w:widowControl/>
              <w:spacing w:line="360" w:lineRule="auto"/>
              <w:jc w:val="left"/>
              <w:rPr>
                <w:rFonts w:hint="eastAsia" w:ascii="仿宋" w:hAnsi="仿宋" w:eastAsia="仿宋" w:cs="仿宋"/>
                <w:i/>
                <w:iCs/>
                <w:color w:val="000000"/>
                <w:kern w:val="0"/>
                <w:sz w:val="24"/>
                <w:szCs w:val="24"/>
                <w:lang w:bidi="ar"/>
              </w:rPr>
            </w:pPr>
            <w:r>
              <w:rPr>
                <w:rFonts w:hint="eastAsia" w:ascii="仿宋" w:hAnsi="仿宋" w:eastAsia="仿宋" w:cs="仿宋"/>
                <w:color w:val="000000"/>
                <w:kern w:val="0"/>
                <w:sz w:val="24"/>
                <w:szCs w:val="24"/>
                <w:lang w:bidi="ar"/>
              </w:rPr>
              <w:t>分项名称</w:t>
            </w:r>
          </w:p>
        </w:tc>
        <w:tc>
          <w:tcPr>
            <w:tcW w:w="3360" w:type="dxa"/>
            <w:noWrap w:val="0"/>
            <w:vAlign w:val="top"/>
          </w:tcPr>
          <w:p w14:paraId="5ED5D6AA">
            <w:pPr>
              <w:widowControl/>
              <w:spacing w:line="360" w:lineRule="auto"/>
              <w:jc w:val="left"/>
              <w:rPr>
                <w:rFonts w:ascii="仿宋" w:hAnsi="仿宋" w:eastAsia="仿宋" w:cs="仿宋"/>
                <w:i/>
                <w:iCs/>
                <w:color w:val="000000"/>
                <w:kern w:val="0"/>
                <w:sz w:val="24"/>
                <w:szCs w:val="24"/>
                <w:lang w:bidi="ar"/>
              </w:rPr>
            </w:pPr>
            <w:r>
              <w:rPr>
                <w:rFonts w:hint="eastAsia" w:ascii="仿宋" w:hAnsi="仿宋" w:eastAsia="仿宋" w:cs="仿宋"/>
                <w:color w:val="000000"/>
                <w:kern w:val="0"/>
                <w:sz w:val="24"/>
                <w:szCs w:val="24"/>
                <w:lang w:bidi="ar"/>
              </w:rPr>
              <w:t>分项价格(元)</w:t>
            </w:r>
          </w:p>
        </w:tc>
      </w:tr>
      <w:tr w14:paraId="4657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top"/>
          </w:tcPr>
          <w:p w14:paraId="31FB7CB8">
            <w:pPr>
              <w:widowControl/>
              <w:spacing w:line="360" w:lineRule="auto"/>
              <w:jc w:val="left"/>
              <w:rPr>
                <w:rFonts w:hint="eastAsia" w:ascii="仿宋" w:hAnsi="仿宋" w:eastAsia="仿宋" w:cs="仿宋"/>
                <w:i/>
                <w:iCs/>
                <w:color w:val="000000"/>
                <w:kern w:val="0"/>
                <w:sz w:val="24"/>
                <w:szCs w:val="24"/>
                <w:lang w:bidi="ar"/>
              </w:rPr>
            </w:pPr>
          </w:p>
        </w:tc>
        <w:tc>
          <w:tcPr>
            <w:tcW w:w="4605" w:type="dxa"/>
            <w:noWrap w:val="0"/>
            <w:vAlign w:val="top"/>
          </w:tcPr>
          <w:p w14:paraId="1277920B">
            <w:pPr>
              <w:widowControl/>
              <w:spacing w:line="360" w:lineRule="auto"/>
              <w:jc w:val="left"/>
              <w:rPr>
                <w:rFonts w:hint="eastAsia" w:ascii="仿宋" w:hAnsi="仿宋" w:eastAsia="仿宋" w:cs="仿宋"/>
                <w:i/>
                <w:iCs/>
                <w:color w:val="000000"/>
                <w:kern w:val="0"/>
                <w:sz w:val="24"/>
                <w:szCs w:val="24"/>
                <w:lang w:bidi="ar"/>
              </w:rPr>
            </w:pPr>
          </w:p>
        </w:tc>
        <w:tc>
          <w:tcPr>
            <w:tcW w:w="3360" w:type="dxa"/>
            <w:noWrap w:val="0"/>
            <w:vAlign w:val="top"/>
          </w:tcPr>
          <w:p w14:paraId="38010814">
            <w:pPr>
              <w:widowControl/>
              <w:spacing w:line="360" w:lineRule="auto"/>
              <w:jc w:val="left"/>
              <w:rPr>
                <w:rFonts w:hint="eastAsia" w:ascii="仿宋" w:hAnsi="仿宋" w:eastAsia="仿宋" w:cs="仿宋"/>
                <w:i/>
                <w:iCs/>
                <w:color w:val="000000"/>
                <w:kern w:val="0"/>
                <w:sz w:val="24"/>
                <w:szCs w:val="24"/>
                <w:lang w:bidi="ar"/>
              </w:rPr>
            </w:pPr>
          </w:p>
        </w:tc>
      </w:tr>
      <w:tr w14:paraId="2995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top"/>
          </w:tcPr>
          <w:p w14:paraId="02B390AD">
            <w:pPr>
              <w:widowControl/>
              <w:spacing w:line="360" w:lineRule="auto"/>
              <w:jc w:val="left"/>
              <w:rPr>
                <w:rFonts w:hint="eastAsia" w:ascii="仿宋" w:hAnsi="仿宋" w:eastAsia="仿宋" w:cs="仿宋"/>
                <w:i/>
                <w:iCs/>
                <w:color w:val="000000"/>
                <w:kern w:val="0"/>
                <w:sz w:val="24"/>
                <w:szCs w:val="24"/>
                <w:lang w:bidi="ar"/>
              </w:rPr>
            </w:pPr>
          </w:p>
        </w:tc>
        <w:tc>
          <w:tcPr>
            <w:tcW w:w="4605" w:type="dxa"/>
            <w:noWrap w:val="0"/>
            <w:vAlign w:val="top"/>
          </w:tcPr>
          <w:p w14:paraId="5B1A6A64">
            <w:pPr>
              <w:widowControl/>
              <w:spacing w:line="360" w:lineRule="auto"/>
              <w:jc w:val="left"/>
              <w:rPr>
                <w:rFonts w:hint="eastAsia" w:ascii="仿宋" w:hAnsi="仿宋" w:eastAsia="仿宋" w:cs="仿宋"/>
                <w:i/>
                <w:iCs/>
                <w:color w:val="000000"/>
                <w:kern w:val="0"/>
                <w:sz w:val="24"/>
                <w:szCs w:val="24"/>
                <w:lang w:bidi="ar"/>
              </w:rPr>
            </w:pPr>
          </w:p>
        </w:tc>
        <w:tc>
          <w:tcPr>
            <w:tcW w:w="3360" w:type="dxa"/>
            <w:noWrap w:val="0"/>
            <w:vAlign w:val="top"/>
          </w:tcPr>
          <w:p w14:paraId="1219A3F4">
            <w:pPr>
              <w:widowControl/>
              <w:spacing w:line="360" w:lineRule="auto"/>
              <w:jc w:val="left"/>
              <w:rPr>
                <w:rFonts w:hint="eastAsia" w:ascii="仿宋" w:hAnsi="仿宋" w:eastAsia="仿宋" w:cs="仿宋"/>
                <w:i/>
                <w:iCs/>
                <w:color w:val="000000"/>
                <w:kern w:val="0"/>
                <w:sz w:val="24"/>
                <w:szCs w:val="24"/>
                <w:lang w:bidi="ar"/>
              </w:rPr>
            </w:pPr>
          </w:p>
        </w:tc>
      </w:tr>
      <w:tr w14:paraId="3CF1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top"/>
          </w:tcPr>
          <w:p w14:paraId="226320BB">
            <w:pPr>
              <w:widowControl/>
              <w:spacing w:line="360" w:lineRule="auto"/>
              <w:jc w:val="left"/>
              <w:rPr>
                <w:rFonts w:hint="eastAsia" w:ascii="仿宋" w:hAnsi="仿宋" w:eastAsia="仿宋" w:cs="仿宋"/>
                <w:i/>
                <w:iCs/>
                <w:color w:val="000000"/>
                <w:kern w:val="0"/>
                <w:sz w:val="24"/>
                <w:szCs w:val="24"/>
                <w:lang w:bidi="ar"/>
              </w:rPr>
            </w:pPr>
          </w:p>
        </w:tc>
        <w:tc>
          <w:tcPr>
            <w:tcW w:w="4605" w:type="dxa"/>
            <w:noWrap w:val="0"/>
            <w:vAlign w:val="top"/>
          </w:tcPr>
          <w:p w14:paraId="31AACCA5">
            <w:pPr>
              <w:widowControl/>
              <w:spacing w:line="360" w:lineRule="auto"/>
              <w:jc w:val="left"/>
              <w:rPr>
                <w:rFonts w:hint="eastAsia" w:ascii="仿宋" w:hAnsi="仿宋" w:eastAsia="仿宋" w:cs="仿宋"/>
                <w:i/>
                <w:iCs/>
                <w:color w:val="000000"/>
                <w:kern w:val="0"/>
                <w:sz w:val="24"/>
                <w:szCs w:val="24"/>
                <w:lang w:bidi="ar"/>
              </w:rPr>
            </w:pPr>
          </w:p>
        </w:tc>
        <w:tc>
          <w:tcPr>
            <w:tcW w:w="3360" w:type="dxa"/>
            <w:noWrap w:val="0"/>
            <w:vAlign w:val="top"/>
          </w:tcPr>
          <w:p w14:paraId="79897C7A">
            <w:pPr>
              <w:widowControl/>
              <w:spacing w:line="360" w:lineRule="auto"/>
              <w:jc w:val="left"/>
              <w:rPr>
                <w:rFonts w:hint="eastAsia" w:ascii="仿宋" w:hAnsi="仿宋" w:eastAsia="仿宋" w:cs="仿宋"/>
                <w:i/>
                <w:iCs/>
                <w:color w:val="000000"/>
                <w:kern w:val="0"/>
                <w:sz w:val="24"/>
                <w:szCs w:val="24"/>
                <w:lang w:bidi="ar"/>
              </w:rPr>
            </w:pPr>
          </w:p>
        </w:tc>
      </w:tr>
    </w:tbl>
    <w:p w14:paraId="7B9B8753">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1.4 付款方式和发票开具方式 </w:t>
      </w:r>
    </w:p>
    <w:p w14:paraId="3ACC477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1.4.1 付款方式：</w:t>
      </w:r>
    </w:p>
    <w:p w14:paraId="2577107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1.4.2 发票开具方式：</w:t>
      </w:r>
    </w:p>
    <w:p w14:paraId="300EACED">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1.5 货物交付期限、地点和方式 </w:t>
      </w:r>
    </w:p>
    <w:p w14:paraId="2E40B255">
      <w:pPr>
        <w:widowControl/>
        <w:spacing w:line="360" w:lineRule="auto"/>
        <w:jc w:val="left"/>
        <w:rPr>
          <w:rFonts w:hint="eastAsia" w:ascii="仿宋" w:hAnsi="仿宋" w:eastAsia="仿宋" w:cs="仿宋"/>
          <w:color w:val="000000"/>
          <w:kern w:val="0"/>
          <w:sz w:val="24"/>
          <w:szCs w:val="24"/>
          <w:u w:val="single"/>
          <w:lang w:bidi="ar"/>
        </w:rPr>
      </w:pPr>
      <w:r>
        <w:rPr>
          <w:rFonts w:hint="eastAsia" w:ascii="仿宋" w:hAnsi="仿宋" w:eastAsia="仿宋" w:cs="仿宋"/>
          <w:color w:val="000000"/>
          <w:kern w:val="0"/>
          <w:sz w:val="24"/>
          <w:szCs w:val="24"/>
          <w:lang w:bidi="ar"/>
        </w:rPr>
        <w:t>1.5.1 交付期限：</w:t>
      </w:r>
    </w:p>
    <w:p w14:paraId="66CE4177">
      <w:pPr>
        <w:widowControl/>
        <w:spacing w:line="360" w:lineRule="auto"/>
        <w:jc w:val="left"/>
        <w:rPr>
          <w:rFonts w:ascii="仿宋" w:hAnsi="仿宋" w:eastAsia="仿宋" w:cs="仿宋"/>
          <w:sz w:val="24"/>
          <w:szCs w:val="24"/>
          <w:u w:val="single"/>
        </w:rPr>
      </w:pPr>
      <w:r>
        <w:rPr>
          <w:rFonts w:hint="eastAsia" w:ascii="仿宋" w:hAnsi="仿宋" w:eastAsia="仿宋" w:cs="仿宋"/>
          <w:color w:val="000000"/>
          <w:kern w:val="0"/>
          <w:sz w:val="24"/>
          <w:szCs w:val="24"/>
          <w:lang w:bidi="ar"/>
        </w:rPr>
        <w:t>1.5.2 交付地点：</w:t>
      </w:r>
    </w:p>
    <w:p w14:paraId="0CA3565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1.5.3 交付方式：</w:t>
      </w:r>
    </w:p>
    <w:p w14:paraId="4D1993B4">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1.6 违约责任 </w:t>
      </w:r>
    </w:p>
    <w:p w14:paraId="3546D7AE">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 </w:t>
      </w:r>
    </w:p>
    <w:p w14:paraId="0BD67B2B">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1.6.2 除不可抗力外，如果甲方没有按照本合同约定的付款方式付款，那么乙方可要求甲方支付违约金，违约金按每迟延付款一日的应付而未付款的%计算，最高限额为本合同总价的 %；迟延付款的违约金计算数额达到前述最高限额之日起，乙方有权在要求甲方支付违约金的同时，书面通知甲方解除本合同； </w:t>
      </w:r>
    </w:p>
    <w:p w14:paraId="2E569C6D">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048711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 </w:t>
      </w:r>
    </w:p>
    <w:p w14:paraId="5030140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 </w:t>
      </w:r>
    </w:p>
    <w:p w14:paraId="4DE854B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1.6.6 如果出现政府采购监督管理部门在处理投诉事项期间，书面通知甲方暂停采购活动的情形，或者询问或质疑事项可能影响中标结果的，导致甲方中止履行合同的情形，均不视为甲方违约。 </w:t>
      </w:r>
    </w:p>
    <w:p w14:paraId="34AC0AE2">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1.7 合同争议的解决 </w:t>
      </w:r>
    </w:p>
    <w:p w14:paraId="2638A10B">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本合同履行过程中发生的任何争议，双方当事人均可通过和解或者调解解决；不愿和解、调解或者和解、调解不成的，可以选择下列第种方式解决： </w:t>
      </w:r>
    </w:p>
    <w:p w14:paraId="0DBF111A">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1.7.1 将争议提交 </w:t>
      </w:r>
    </w:p>
    <w:p w14:paraId="5482C60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仲裁委员会依申请仲裁时其现行有效的仲裁规则裁决； </w:t>
      </w:r>
    </w:p>
    <w:p w14:paraId="47CCAB7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1.7.2 向（被告住所地、合同履行地、合同签订地、原告住所地、标的物所在地等与争议有实际联系的地点中选出的人民法院名称）人民法院起诉。 </w:t>
      </w:r>
    </w:p>
    <w:p w14:paraId="2B945506">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1.8 合同生效</w:t>
      </w:r>
      <w:r>
        <w:rPr>
          <w:rFonts w:hint="eastAsia" w:ascii="仿宋" w:hAnsi="仿宋" w:eastAsia="仿宋" w:cs="仿宋"/>
          <w:color w:val="000000"/>
          <w:kern w:val="0"/>
          <w:sz w:val="24"/>
          <w:szCs w:val="24"/>
          <w:lang w:bidi="ar"/>
        </w:rPr>
        <w:t xml:space="preserve">本合同自双方当事人盖章或者签字时生效。 </w:t>
      </w:r>
    </w:p>
    <w:p w14:paraId="21B7C65C">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甲方</w:t>
      </w:r>
      <w:r>
        <w:rPr>
          <w:rFonts w:hint="eastAsia"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eastAsia="zh-CN" w:bidi="ar"/>
        </w:rPr>
        <w:t>南阳市卧龙区教育体育局</w:t>
      </w:r>
      <w:r>
        <w:rPr>
          <w:rFonts w:hint="eastAsia" w:ascii="仿宋" w:hAnsi="仿宋" w:eastAsia="仿宋" w:cs="仿宋"/>
          <w:color w:val="000000"/>
          <w:kern w:val="0"/>
          <w:sz w:val="24"/>
          <w:szCs w:val="24"/>
          <w:lang w:bidi="ar"/>
        </w:rPr>
        <w:t xml:space="preserve">                     </w:t>
      </w:r>
      <w:r>
        <w:rPr>
          <w:rFonts w:hint="eastAsia" w:ascii="仿宋" w:hAnsi="仿宋" w:eastAsia="仿宋" w:cs="仿宋"/>
          <w:b/>
          <w:bCs/>
          <w:color w:val="000000"/>
          <w:kern w:val="0"/>
          <w:sz w:val="24"/>
          <w:szCs w:val="24"/>
          <w:lang w:bidi="ar"/>
        </w:rPr>
        <w:t>乙方</w:t>
      </w:r>
      <w:r>
        <w:rPr>
          <w:rFonts w:hint="eastAsia" w:ascii="仿宋" w:hAnsi="仿宋" w:eastAsia="仿宋" w:cs="仿宋"/>
          <w:color w:val="000000"/>
          <w:kern w:val="0"/>
          <w:sz w:val="24"/>
          <w:szCs w:val="24"/>
          <w:lang w:bidi="ar"/>
        </w:rPr>
        <w:t xml:space="preserve">： </w:t>
      </w:r>
    </w:p>
    <w:p w14:paraId="392A8A0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统一社会信用代码：                      统一社会信用代码:                          住所：                                  住所： </w:t>
      </w:r>
    </w:p>
    <w:p w14:paraId="23C36ABB">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法定代表人或授权代表（签字）：          法定代表人或授权代表（签字）： </w:t>
      </w:r>
    </w:p>
    <w:p w14:paraId="703CC86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身份证号码：                            身份证号码： </w:t>
      </w:r>
    </w:p>
    <w:p w14:paraId="66AE60D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联系人：                                联系人： </w:t>
      </w:r>
    </w:p>
    <w:p w14:paraId="174F6D0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约定送达地址：                          约定送达地址：</w:t>
      </w:r>
    </w:p>
    <w:p w14:paraId="35CDACA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邮政编码：                              邮政编码： </w:t>
      </w:r>
    </w:p>
    <w:p w14:paraId="7365A20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电话:                                   电话: </w:t>
      </w:r>
    </w:p>
    <w:p w14:paraId="79E9FC6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传真:                                   传真: </w:t>
      </w:r>
    </w:p>
    <w:p w14:paraId="4D79FE8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电子邮箱：                              电子邮箱： </w:t>
      </w:r>
    </w:p>
    <w:p w14:paraId="4A1BD23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开户银行：                               开户银行： </w:t>
      </w:r>
    </w:p>
    <w:p w14:paraId="252A310B">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开户名称：                               开户名称： </w:t>
      </w:r>
    </w:p>
    <w:p w14:paraId="0CD7BE2F">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开户账号：                               开户账号：</w:t>
      </w:r>
    </w:p>
    <w:p w14:paraId="66024779">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第二部分 合同一般条款 </w:t>
      </w:r>
    </w:p>
    <w:p w14:paraId="4DE8A8C2">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 定义 </w:t>
      </w:r>
    </w:p>
    <w:p w14:paraId="39CD465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本合同中的下列词语应按以下内容进行解释： </w:t>
      </w:r>
    </w:p>
    <w:p w14:paraId="2D6DFA5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2.1.1 “合同”系指采购人和中标供应商签订的载明双方当事人所达成的协议，并包括所有的附件、附录和构成合同的其他文件。 </w:t>
      </w:r>
    </w:p>
    <w:p w14:paraId="7C058BB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2.1.2 </w:t>
      </w:r>
    </w:p>
    <w:p w14:paraId="082FDFA5">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“合同价”系指根据合同约定，中标供应商在完全履行合同义务后，采购人应支付给中标供应商的价格。 </w:t>
      </w:r>
    </w:p>
    <w:p w14:paraId="7677896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2.1.3 “货物”系指中标供应商根据合同约定应向采购人交付的一切各种形态和种类的物品，包括原材料、燃料、设备、机械、仪表、备件、计算机软件、产品等，并包括工具、手册等其他相关资料。 </w:t>
      </w:r>
    </w:p>
    <w:p w14:paraId="7299E2D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2.1.4 </w:t>
      </w:r>
    </w:p>
    <w:p w14:paraId="229013C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“甲方”系指与中标供应商签署合同的采购人；采购人委托采购代理机构代表其与乙方签订合同的，采购人的授权委托书作为合同附件。 </w:t>
      </w:r>
    </w:p>
    <w:p w14:paraId="505CF96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 </w:t>
      </w:r>
    </w:p>
    <w:p w14:paraId="189D547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2.1.6 </w:t>
      </w:r>
    </w:p>
    <w:p w14:paraId="7DC1BF67">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“现场”系指合同约定货物将要运至或者安装的地点。 </w:t>
      </w:r>
    </w:p>
    <w:p w14:paraId="54109E60">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2.2 技术规范 </w:t>
      </w:r>
    </w:p>
    <w:p w14:paraId="3FB20AF3">
      <w:pPr>
        <w:widowControl/>
        <w:spacing w:line="360" w:lineRule="auto"/>
        <w:ind w:firstLine="480" w:firstLineChars="20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74A8254">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2.3 知识产权 </w:t>
      </w:r>
    </w:p>
    <w:p w14:paraId="79E2748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 </w:t>
      </w:r>
    </w:p>
    <w:p w14:paraId="6074FA9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2.3.2 具有知识产权的计算机软件等货物的知识产权归属，详见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 </w:t>
      </w:r>
    </w:p>
    <w:p w14:paraId="34FF177C">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2.4 包装和装运 </w:t>
      </w:r>
    </w:p>
    <w:p w14:paraId="6855E13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2.4.1 除</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 </w:t>
      </w:r>
    </w:p>
    <w:p w14:paraId="52BF4DAA">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2.4.2 装运货物的要求和通知，详见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 </w:t>
      </w:r>
    </w:p>
    <w:p w14:paraId="75D189D4">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2.5 履约检查和问题反馈 </w:t>
      </w:r>
    </w:p>
    <w:p w14:paraId="70EFBD78">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2.5.1 甲方有权在其认为必要时，对乙方是否能够按照合同约定交付货物进行履约检查，以确保乙方所交付的货物能够依约满足甲方之项目需求，但不得因履约检查妨碍乙方的正常工作，乙方应予积极配合；</w:t>
      </w:r>
    </w:p>
    <w:p w14:paraId="266B8402">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2.5.2 合同履行期间，甲方有权将履行过程中出现的问题反馈给乙方，双方当事人应以书面形式约定需要完善和改进的内容。 </w:t>
      </w:r>
    </w:p>
    <w:p w14:paraId="2D5D727D">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2.6 结算方式和付款条件</w:t>
      </w:r>
      <w:r>
        <w:rPr>
          <w:rFonts w:hint="eastAsia" w:ascii="仿宋" w:hAnsi="仿宋" w:eastAsia="仿宋" w:cs="仿宋"/>
          <w:color w:val="000000"/>
          <w:kern w:val="0"/>
          <w:sz w:val="24"/>
          <w:szCs w:val="24"/>
          <w:lang w:bidi="ar"/>
        </w:rPr>
        <w:t>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 </w:t>
      </w:r>
    </w:p>
    <w:p w14:paraId="1351E1A0">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2.7 技术资料和保密义务 </w:t>
      </w:r>
    </w:p>
    <w:p w14:paraId="129792A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2.7.1 乙方有权依据合同约定和项目需要，向甲方了解有关情况，调阅有关资料等，甲方应予积极配合； </w:t>
      </w:r>
    </w:p>
    <w:p w14:paraId="0748749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2.7.2 乙方有义务妥善保管和保护由甲方提供的前款信息和资料等；</w:t>
      </w:r>
    </w:p>
    <w:p w14:paraId="33EBEA1A">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 </w:t>
      </w:r>
    </w:p>
    <w:p w14:paraId="497E958A">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2.8 质量保证 </w:t>
      </w:r>
    </w:p>
    <w:p w14:paraId="04F2D135">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2.8.1 乙方应建立和完善履行合同的内部质量保证体系，并提供相关内部规章制度给甲方，以便甲方进行监督检查； </w:t>
      </w:r>
    </w:p>
    <w:p w14:paraId="11AB1C92">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2.8.2 乙方应保证履行合同的人员数量和素质、软件和硬件设备 </w:t>
      </w:r>
    </w:p>
    <w:p w14:paraId="4CE222A7">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的配置、场地、环境和设施等满足全面履行合同的要求，并应接受甲 </w:t>
      </w:r>
    </w:p>
    <w:p w14:paraId="7D724B8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方的监督检查。 </w:t>
      </w:r>
    </w:p>
    <w:p w14:paraId="3EC3D49C">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2.9 货物的风险负担 </w:t>
      </w:r>
    </w:p>
    <w:p w14:paraId="22E248B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货物或者在途货物或者交付给第一承运人后的货物毁损、灭失的风险负担详见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 </w:t>
      </w:r>
    </w:p>
    <w:p w14:paraId="7C70FE1C">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2.10 延迟交货 </w:t>
      </w:r>
    </w:p>
    <w:p w14:paraId="06FB08E2">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 </w:t>
      </w:r>
    </w:p>
    <w:p w14:paraId="1E0E4B1B">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2.11 合同变更 </w:t>
      </w:r>
    </w:p>
    <w:p w14:paraId="6CD0E0B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2.11.1 双方当事人协商一致，可以签订书面补充合同的形式变更合同，但不得违背采购文件确定的事项，且如果系追加与合同标的相同的货物的，那么所有补充合同的采购金额不得超过原合同价的 10%； </w:t>
      </w:r>
    </w:p>
    <w:p w14:paraId="5E3502F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2.11.2 合同继续履行将损害国家利益和社会公共利益的，双方当事人应当以书面形式变更合同。有过错的一方应当承担赔偿责任，双方当事人都有过错的，各自承担相应的责任。 </w:t>
      </w:r>
    </w:p>
    <w:p w14:paraId="54D07537">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2.12 合同转让和转包 </w:t>
      </w:r>
    </w:p>
    <w:p w14:paraId="167A252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 </w:t>
      </w:r>
    </w:p>
    <w:p w14:paraId="785CF850">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2.13 不可抗力 </w:t>
      </w:r>
    </w:p>
    <w:p w14:paraId="47EA3D58">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2.13.1 如果任何一方遭遇法律规定的不可抗力，致使合同履行受阻时，履行合同的期限应予延长，延长的期限应相当于不可抗力所影响的时间； </w:t>
      </w:r>
    </w:p>
    <w:p w14:paraId="19FE591A">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2.13.2 因不可抗力致使不能实现合同目的的，当事人可以解除合同；</w:t>
      </w:r>
    </w:p>
    <w:p w14:paraId="6E4835C0">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2.13.3 因不可抗力致使合同有变更必要的，双方当事人应在</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约定时间内以书面形式变更合同；</w:t>
      </w:r>
    </w:p>
    <w:p w14:paraId="56AF1455">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2.13.4 受不可抗力影响的一方在不可抗力发生后，应在</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约定时间内以书面形式通知对方当事人，并在</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约定时间内，将有关部门出具的证明文件送达对方当事人。 </w:t>
      </w:r>
    </w:p>
    <w:p w14:paraId="1FDCA6A3">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2.14 税费 </w:t>
      </w:r>
    </w:p>
    <w:p w14:paraId="2A49A1F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与合同有关的一切税费，均按照中华人民共和国法律的相关规定。 </w:t>
      </w:r>
    </w:p>
    <w:p w14:paraId="4593DA3E">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2.15 乙方破产 </w:t>
      </w:r>
    </w:p>
    <w:p w14:paraId="2BF9AE8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 </w:t>
      </w:r>
    </w:p>
    <w:p w14:paraId="66C1D121">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2.16 合同中止、终止 </w:t>
      </w:r>
    </w:p>
    <w:p w14:paraId="1957772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2.16.1 双方当事人不得擅自中止或者终止合同； </w:t>
      </w:r>
    </w:p>
    <w:p w14:paraId="3F4A47E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2.16.2 合同继续履行将损害国家利益和社会公共利益的，双方当事人应当中止或者终止合同。有过错的一方应当承担赔偿责任，双方当事人都有过错的，各自承担相应的责任。 </w:t>
      </w:r>
    </w:p>
    <w:p w14:paraId="2745A1A7">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2.17 检验和验收 </w:t>
      </w:r>
    </w:p>
    <w:p w14:paraId="57A840B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2.17.1 货物交付前，乙方应对货物的质量、数量等方面进行详细、全面的检验，并向甲方出具证明货物符合合同约定的文件；货物交付时，乙方在</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约定时间内组织验收，并可依法邀请相关方参加，验收应出具验收书。 </w:t>
      </w:r>
    </w:p>
    <w:p w14:paraId="0D15BA4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2.17.2 合同期满或者履行完毕后，甲方有权组织（包括依法邀请国家认可的质量检测机构参加）对乙方履约的验收，即：按照合同约定的技术、服务、安全标准，组织对每一项技术、服务、安全标准的履约情况的验收，并出具验收书。 </w:t>
      </w:r>
    </w:p>
    <w:p w14:paraId="1FC1B85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2.17.3 检验和验收标准、程序等具体内容以及前述验收书的效力详见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i/>
          <w:iCs/>
          <w:color w:val="000000"/>
          <w:kern w:val="0"/>
          <w:sz w:val="24"/>
          <w:szCs w:val="24"/>
          <w:lang w:bidi="ar"/>
        </w:rPr>
        <w:t xml:space="preserve">。 </w:t>
      </w:r>
    </w:p>
    <w:p w14:paraId="260729E9">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2.18 通知和送达 </w:t>
      </w:r>
    </w:p>
    <w:p w14:paraId="358583BA">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 </w:t>
      </w:r>
    </w:p>
    <w:p w14:paraId="32507D0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2.18.2 以当面交付方式送达的，交付之时视为送达；以电子邮件方式送达的，发出电子邮件之时视为送达；以传真方式送达的，发出传真之时视为送达；以邮寄方式送达的，邮件挂号寄出或者交邮之日之次日视为送达。 </w:t>
      </w:r>
    </w:p>
    <w:p w14:paraId="7431FFD9">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2.19 计量单位 </w:t>
      </w:r>
    </w:p>
    <w:p w14:paraId="3FFF96C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除技术规范中另有规定外,合同的计量单位均使用国家法定计量单位。</w:t>
      </w:r>
    </w:p>
    <w:p w14:paraId="250B6C2E">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2.20 合同使用的文字和适用的法律 </w:t>
      </w:r>
    </w:p>
    <w:p w14:paraId="2F4E571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2.20.1 合同使用汉语书就、变更和解释； </w:t>
      </w:r>
    </w:p>
    <w:p w14:paraId="72300EC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2.20.2 合同适用中华人民共和国法律。 </w:t>
      </w:r>
    </w:p>
    <w:p w14:paraId="17D71209">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2.21 履约保证金 </w:t>
      </w:r>
    </w:p>
    <w:p w14:paraId="5CA66347">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依据河南省财政厅豫财购（2019）4 号文要求，鼓励采购人免收履约保证金或降低缴纳比例。 </w:t>
      </w:r>
    </w:p>
    <w:p w14:paraId="11B85BD9">
      <w:pPr>
        <w:widowControl/>
        <w:spacing w:line="360" w:lineRule="auto"/>
        <w:jc w:val="left"/>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2.21 合同份数</w:t>
      </w:r>
    </w:p>
    <w:p w14:paraId="6C97F05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合同份数按</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规定，每份均具有同等法律效力。 </w:t>
      </w:r>
    </w:p>
    <w:p w14:paraId="0301810A">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第三部分 合同专用条款 </w:t>
      </w:r>
    </w:p>
    <w:p w14:paraId="1E5CA94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本部分是对前两部分的补充和修改，如果前两部分和本部分的约定不一致，应以本部分的约定为准。本部分的条款号应与前两部分的条款号保持对应；与前两部分无对应关系的内容可另行编制条款号。 </w:t>
      </w:r>
    </w:p>
    <w:tbl>
      <w:tblPr>
        <w:tblStyle w:val="18"/>
        <w:tblW w:w="8970"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8010"/>
      </w:tblGrid>
      <w:tr w14:paraId="5C2B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746B977C">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条款号</w:t>
            </w:r>
          </w:p>
        </w:tc>
        <w:tc>
          <w:tcPr>
            <w:tcW w:w="8010" w:type="dxa"/>
            <w:noWrap w:val="0"/>
            <w:vAlign w:val="center"/>
          </w:tcPr>
          <w:p w14:paraId="67A9669C">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约定内容</w:t>
            </w:r>
          </w:p>
        </w:tc>
      </w:tr>
      <w:tr w14:paraId="3B85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563526BC">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2.3.2</w:t>
            </w:r>
          </w:p>
        </w:tc>
        <w:tc>
          <w:tcPr>
            <w:tcW w:w="8010" w:type="dxa"/>
            <w:noWrap w:val="0"/>
            <w:vAlign w:val="center"/>
          </w:tcPr>
          <w:p w14:paraId="69C664D5">
            <w:pPr>
              <w:widowControl/>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具有知识产权的计算机软件等货物的知识产权归属依照双方关于知识产权方面的约定,甲方不承担因知识产权起诉而由此发生的一切责任、费用和赔偿。</w:t>
            </w:r>
          </w:p>
        </w:tc>
      </w:tr>
      <w:tr w14:paraId="0470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37078B5D">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2.4.2</w:t>
            </w:r>
          </w:p>
        </w:tc>
        <w:tc>
          <w:tcPr>
            <w:tcW w:w="8010" w:type="dxa"/>
            <w:noWrap w:val="0"/>
            <w:vAlign w:val="center"/>
          </w:tcPr>
          <w:p w14:paraId="26BA994F">
            <w:pPr>
              <w:widowControl/>
              <w:jc w:val="center"/>
              <w:rPr>
                <w:rFonts w:hint="eastAsia" w:ascii="宋体" w:hAnsi="宋体" w:cs="宋体"/>
                <w:color w:val="333333"/>
                <w:szCs w:val="21"/>
                <w:shd w:val="clear" w:color="auto" w:fill="FFFFFF"/>
              </w:rPr>
            </w:pPr>
            <w:r>
              <w:rPr>
                <w:rFonts w:hint="eastAsia" w:ascii="宋体" w:hAnsi="宋体" w:cs="宋体"/>
                <w:color w:val="333333"/>
                <w:szCs w:val="21"/>
                <w:shd w:val="clear" w:color="auto" w:fill="FFFFFF"/>
              </w:rPr>
              <w:t>装运货物的要求和通知，依照国家和行业标准。</w:t>
            </w:r>
          </w:p>
        </w:tc>
      </w:tr>
      <w:tr w14:paraId="65EA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55DD60A2">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2.6</w:t>
            </w:r>
          </w:p>
        </w:tc>
        <w:tc>
          <w:tcPr>
            <w:tcW w:w="8010" w:type="dxa"/>
            <w:noWrap w:val="0"/>
            <w:vAlign w:val="center"/>
          </w:tcPr>
          <w:p w14:paraId="4C9C3304">
            <w:pPr>
              <w:widowControl/>
              <w:jc w:val="center"/>
              <w:rPr>
                <w:rFonts w:ascii="宋体" w:hAnsi="宋体" w:cs="宋体"/>
                <w:color w:val="333333"/>
                <w:szCs w:val="21"/>
                <w:shd w:val="clear" w:color="auto" w:fill="FFFFFF"/>
              </w:rPr>
            </w:pPr>
            <w:r>
              <w:rPr>
                <w:rFonts w:hint="eastAsia" w:ascii="宋体" w:hAnsi="宋体" w:cs="宋体"/>
                <w:color w:val="333333"/>
                <w:szCs w:val="21"/>
                <w:shd w:val="clear" w:color="auto" w:fill="FFFFFF"/>
              </w:rPr>
              <w:t>结算方式和付款条件:结算方式为支付结算,付款条件为验收合格</w:t>
            </w:r>
          </w:p>
        </w:tc>
      </w:tr>
      <w:tr w14:paraId="4001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30BC88CE">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2.9</w:t>
            </w:r>
          </w:p>
        </w:tc>
        <w:tc>
          <w:tcPr>
            <w:tcW w:w="8010" w:type="dxa"/>
            <w:noWrap w:val="0"/>
            <w:vAlign w:val="center"/>
          </w:tcPr>
          <w:p w14:paraId="4DC344B8">
            <w:pPr>
              <w:widowControl/>
              <w:spacing w:line="360" w:lineRule="auto"/>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货物的风险负担:货物或者在途货物或者交付给第一承运人后的货物毁损、灭失的风险负担由乙方承担。</w:t>
            </w:r>
          </w:p>
        </w:tc>
      </w:tr>
      <w:tr w14:paraId="573C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0DA9B3E">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2.13.3</w:t>
            </w:r>
          </w:p>
        </w:tc>
        <w:tc>
          <w:tcPr>
            <w:tcW w:w="8010" w:type="dxa"/>
            <w:noWrap w:val="0"/>
            <w:vAlign w:val="center"/>
          </w:tcPr>
          <w:p w14:paraId="5A5F54BC">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因不可抗力致使合同有变更必要的，双方当事人应在不可抗力因素消除后以书面形式变更合同</w:t>
            </w:r>
          </w:p>
        </w:tc>
      </w:tr>
      <w:tr w14:paraId="1BBA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EC6D208">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2.13.4</w:t>
            </w:r>
          </w:p>
        </w:tc>
        <w:tc>
          <w:tcPr>
            <w:tcW w:w="8010" w:type="dxa"/>
            <w:noWrap w:val="0"/>
            <w:vAlign w:val="center"/>
          </w:tcPr>
          <w:p w14:paraId="4B34DA33">
            <w:pPr>
              <w:widowControl/>
              <w:spacing w:line="360" w:lineRule="auto"/>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受不可抗力影响的一方在不可抗力发生后，应在不可抗力因素消除后以书面形式通知对方当事人，并在双方约定时间内，将有关部门出具的证明文件送达对方当事人。</w:t>
            </w:r>
          </w:p>
        </w:tc>
      </w:tr>
      <w:tr w14:paraId="0F77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5A191424">
            <w:pPr>
              <w:widowControl/>
              <w:jc w:val="center"/>
              <w:rPr>
                <w:rFonts w:ascii="楷体" w:hAnsi="楷体" w:eastAsia="楷体" w:cs="楷体"/>
                <w:color w:val="000000"/>
                <w:kern w:val="0"/>
                <w:sz w:val="24"/>
                <w:szCs w:val="24"/>
                <w:lang w:bidi="ar"/>
              </w:rPr>
            </w:pPr>
            <w:r>
              <w:rPr>
                <w:rFonts w:hint="eastAsia" w:ascii="仿宋" w:hAnsi="仿宋" w:eastAsia="仿宋" w:cs="仿宋"/>
                <w:color w:val="000000"/>
                <w:kern w:val="0"/>
                <w:sz w:val="24"/>
                <w:szCs w:val="24"/>
                <w:lang w:bidi="ar"/>
              </w:rPr>
              <w:t>2.17.1</w:t>
            </w:r>
          </w:p>
        </w:tc>
        <w:tc>
          <w:tcPr>
            <w:tcW w:w="8010" w:type="dxa"/>
            <w:noWrap w:val="0"/>
            <w:vAlign w:val="center"/>
          </w:tcPr>
          <w:p w14:paraId="2A27AE87">
            <w:pPr>
              <w:widowControl/>
              <w:jc w:val="center"/>
              <w:rPr>
                <w:rFonts w:hint="eastAsia" w:ascii="楷体" w:hAnsi="楷体" w:eastAsia="楷体" w:cs="楷体"/>
                <w:color w:val="000000"/>
                <w:kern w:val="0"/>
                <w:sz w:val="24"/>
                <w:szCs w:val="24"/>
                <w:lang w:bidi="ar"/>
              </w:rPr>
            </w:pPr>
            <w:r>
              <w:rPr>
                <w:rFonts w:hint="eastAsia" w:ascii="仿宋" w:hAnsi="仿宋" w:eastAsia="仿宋" w:cs="仿宋"/>
                <w:color w:val="000000"/>
                <w:kern w:val="0"/>
                <w:sz w:val="24"/>
                <w:szCs w:val="24"/>
                <w:lang w:bidi="ar"/>
              </w:rPr>
              <w:t>货物交付时，乙方在双方约定时间内组织验收，并可依法邀请相关方参加，验收应出具验收书。</w:t>
            </w:r>
          </w:p>
        </w:tc>
      </w:tr>
      <w:tr w14:paraId="1077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F15DCC5">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2.17.3</w:t>
            </w:r>
          </w:p>
        </w:tc>
        <w:tc>
          <w:tcPr>
            <w:tcW w:w="8010" w:type="dxa"/>
            <w:noWrap w:val="0"/>
            <w:vAlign w:val="center"/>
          </w:tcPr>
          <w:p w14:paraId="4128C05E">
            <w:pPr>
              <w:widowControl/>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检验和验收标准、程序等具体内容以及前述验收书的效力按照国家和行业标准执行</w:t>
            </w:r>
            <w:r>
              <w:rPr>
                <w:rFonts w:hint="eastAsia" w:ascii="仿宋" w:hAnsi="仿宋" w:eastAsia="仿宋" w:cs="仿宋"/>
                <w:i/>
                <w:iCs/>
                <w:color w:val="000000"/>
                <w:kern w:val="0"/>
                <w:sz w:val="24"/>
                <w:szCs w:val="24"/>
                <w:lang w:bidi="ar"/>
              </w:rPr>
              <w:t>。</w:t>
            </w:r>
          </w:p>
        </w:tc>
      </w:tr>
      <w:tr w14:paraId="24E1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742E1EAA">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2.21</w:t>
            </w:r>
          </w:p>
        </w:tc>
        <w:tc>
          <w:tcPr>
            <w:tcW w:w="8010" w:type="dxa"/>
            <w:noWrap w:val="0"/>
            <w:vAlign w:val="center"/>
          </w:tcPr>
          <w:p w14:paraId="1EFC7B31">
            <w:pPr>
              <w:widowControl/>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合同份数共6份，每份均具有同等法律效力。</w:t>
            </w:r>
          </w:p>
        </w:tc>
      </w:tr>
    </w:tbl>
    <w:p w14:paraId="4DBBFE0A">
      <w:pPr>
        <w:pStyle w:val="17"/>
        <w:ind w:firstLine="0" w:firstLineChars="0"/>
        <w:rPr>
          <w:rFonts w:ascii="宋体" w:hAnsi="宋体" w:cs="宋体"/>
        </w:rPr>
      </w:pPr>
      <w:r>
        <w:rPr>
          <w:rFonts w:hint="eastAsia" w:ascii="宋体" w:hAnsi="宋体" w:cs="宋体"/>
          <w:b/>
        </w:rPr>
        <w:t>注：以上合同格式供采购人和中标单位参考，采购人和中标单位可自行增加或递减合同的相应条款和约束内容。</w:t>
      </w:r>
    </w:p>
    <w:p w14:paraId="26512A92">
      <w:pPr>
        <w:pStyle w:val="17"/>
        <w:ind w:firstLine="0" w:firstLineChars="0"/>
        <w:rPr>
          <w:rFonts w:ascii="宋体" w:hAnsi="宋体" w:cs="宋体"/>
        </w:rPr>
      </w:pPr>
    </w:p>
    <w:p w14:paraId="003B4951">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71888902">
      <w:pPr>
        <w:pStyle w:val="5"/>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1F192433">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0D33D357">
      <w:pPr>
        <w:pStyle w:val="5"/>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0D3AC97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14:paraId="3DFD0027">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182C6678">
      <w:pPr>
        <w:pStyle w:val="5"/>
        <w:keepNext w:val="0"/>
        <w:keepLines w:val="0"/>
        <w:pageBreakBefore w:val="0"/>
        <w:widowControl/>
        <w:numPr>
          <w:ilvl w:val="0"/>
          <w:numId w:val="5"/>
        </w:numPr>
        <w:kinsoku/>
        <w:wordWrap w:val="0"/>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11528B">
      <w:pPr>
        <w:numPr>
          <w:ilvl w:val="0"/>
          <w:numId w:val="0"/>
        </w:numPr>
        <w:rPr>
          <w:rFonts w:hint="eastAsia"/>
        </w:rPr>
      </w:pPr>
    </w:p>
    <w:p w14:paraId="7DBFC6EF">
      <w:pPr>
        <w:ind w:firstLine="1400" w:firstLineChars="500"/>
        <w:rPr>
          <w:rFonts w:hint="eastAsia"/>
          <w:sz w:val="28"/>
          <w:szCs w:val="28"/>
        </w:rPr>
      </w:pPr>
    </w:p>
    <w:p w14:paraId="3320629F">
      <w:pPr>
        <w:ind w:firstLine="1400" w:firstLineChars="500"/>
        <w:rPr>
          <w:rFonts w:hint="eastAsia"/>
          <w:sz w:val="28"/>
          <w:szCs w:val="28"/>
        </w:rPr>
      </w:pPr>
    </w:p>
    <w:p w14:paraId="457A371E">
      <w:pPr>
        <w:ind w:firstLine="1400" w:firstLineChars="500"/>
        <w:rPr>
          <w:rFonts w:hint="eastAsia"/>
          <w:sz w:val="28"/>
          <w:szCs w:val="28"/>
        </w:rPr>
      </w:pPr>
    </w:p>
    <w:p w14:paraId="5CBFA2C7">
      <w:pPr>
        <w:ind w:firstLine="1400" w:firstLineChars="500"/>
        <w:rPr>
          <w:rFonts w:hint="eastAsia"/>
          <w:sz w:val="28"/>
          <w:szCs w:val="28"/>
        </w:rPr>
      </w:pPr>
    </w:p>
    <w:p w14:paraId="3C95615A">
      <w:pPr>
        <w:ind w:firstLine="1400" w:firstLineChars="500"/>
        <w:rPr>
          <w:rFonts w:hint="eastAsia"/>
          <w:sz w:val="28"/>
          <w:szCs w:val="28"/>
        </w:rPr>
      </w:pPr>
    </w:p>
    <w:p w14:paraId="3A905467">
      <w:pPr>
        <w:ind w:firstLine="1400" w:firstLineChars="500"/>
        <w:rPr>
          <w:rFonts w:hint="eastAsia"/>
          <w:sz w:val="28"/>
          <w:szCs w:val="28"/>
        </w:rPr>
      </w:pPr>
    </w:p>
    <w:p w14:paraId="6976262F">
      <w:pPr>
        <w:ind w:firstLine="1400" w:firstLineChars="500"/>
        <w:rPr>
          <w:rFonts w:hint="eastAsia"/>
          <w:sz w:val="28"/>
          <w:szCs w:val="28"/>
        </w:rPr>
      </w:pPr>
    </w:p>
    <w:p w14:paraId="51DAA79C">
      <w:pPr>
        <w:ind w:firstLine="1400" w:firstLineChars="500"/>
        <w:rPr>
          <w:rFonts w:hint="eastAsia"/>
          <w:sz w:val="28"/>
          <w:szCs w:val="28"/>
        </w:rPr>
      </w:pPr>
    </w:p>
    <w:p w14:paraId="58584B40">
      <w:pPr>
        <w:ind w:firstLine="1400" w:firstLineChars="500"/>
        <w:rPr>
          <w:rFonts w:hint="eastAsia"/>
          <w:sz w:val="28"/>
          <w:szCs w:val="28"/>
        </w:rPr>
      </w:pPr>
    </w:p>
    <w:p w14:paraId="1BD56CE0">
      <w:pPr>
        <w:ind w:firstLine="1400" w:firstLineChars="500"/>
        <w:rPr>
          <w:rFonts w:hint="eastAsia"/>
          <w:sz w:val="28"/>
          <w:szCs w:val="28"/>
        </w:rPr>
      </w:pPr>
    </w:p>
    <w:p w14:paraId="2159D3ED">
      <w:pPr>
        <w:ind w:firstLine="1400" w:firstLineChars="500"/>
        <w:rPr>
          <w:rFonts w:hint="eastAsia"/>
          <w:sz w:val="28"/>
          <w:szCs w:val="28"/>
        </w:rPr>
      </w:pPr>
    </w:p>
    <w:p w14:paraId="50CCE488">
      <w:pPr>
        <w:ind w:firstLine="1400" w:firstLineChars="500"/>
        <w:rPr>
          <w:rFonts w:hint="eastAsia"/>
          <w:sz w:val="28"/>
          <w:szCs w:val="28"/>
        </w:rPr>
      </w:pPr>
    </w:p>
    <w:p w14:paraId="56212605">
      <w:pPr>
        <w:ind w:firstLine="1400" w:firstLineChars="500"/>
        <w:rPr>
          <w:rFonts w:hint="eastAsia"/>
          <w:sz w:val="28"/>
          <w:szCs w:val="28"/>
        </w:rPr>
      </w:pPr>
    </w:p>
    <w:p w14:paraId="517AFC1C">
      <w:pPr>
        <w:ind w:firstLine="1400" w:firstLineChars="500"/>
        <w:rPr>
          <w:rFonts w:hint="eastAsia"/>
          <w:sz w:val="28"/>
          <w:szCs w:val="28"/>
        </w:rPr>
      </w:pPr>
    </w:p>
    <w:p w14:paraId="0BC79697">
      <w:pPr>
        <w:ind w:firstLine="1400" w:firstLineChars="500"/>
        <w:rPr>
          <w:rFonts w:hint="eastAsia"/>
          <w:sz w:val="28"/>
          <w:szCs w:val="28"/>
        </w:rPr>
      </w:pPr>
    </w:p>
    <w:p w14:paraId="12AEAE8F">
      <w:pPr>
        <w:ind w:firstLine="1400" w:firstLineChars="500"/>
        <w:rPr>
          <w:rFonts w:hint="eastAsia"/>
          <w:sz w:val="28"/>
          <w:szCs w:val="28"/>
        </w:rPr>
      </w:pPr>
    </w:p>
    <w:p w14:paraId="027B0A40">
      <w:pPr>
        <w:ind w:firstLine="1400" w:firstLineChars="500"/>
        <w:rPr>
          <w:rFonts w:hint="eastAsia"/>
          <w:sz w:val="28"/>
          <w:szCs w:val="28"/>
        </w:rPr>
      </w:pPr>
    </w:p>
    <w:p w14:paraId="42EE745E">
      <w:pPr>
        <w:ind w:firstLine="1400" w:firstLineChars="500"/>
        <w:rPr>
          <w:rFonts w:hint="eastAsia"/>
          <w:sz w:val="28"/>
          <w:szCs w:val="28"/>
        </w:rPr>
      </w:pPr>
    </w:p>
    <w:p w14:paraId="6AAD6039">
      <w:pPr>
        <w:ind w:firstLine="1400" w:firstLineChars="500"/>
        <w:rPr>
          <w:rFonts w:hint="eastAsia"/>
          <w:sz w:val="28"/>
          <w:szCs w:val="28"/>
        </w:rPr>
      </w:pPr>
    </w:p>
    <w:p w14:paraId="1B268F66">
      <w:pPr>
        <w:ind w:firstLine="1400" w:firstLineChars="500"/>
        <w:rPr>
          <w:rFonts w:hint="eastAsia"/>
          <w:sz w:val="28"/>
          <w:szCs w:val="28"/>
        </w:rPr>
      </w:pPr>
    </w:p>
    <w:p w14:paraId="22D1F430">
      <w:pPr>
        <w:ind w:firstLine="1400" w:firstLineChars="500"/>
        <w:rPr>
          <w:rFonts w:hint="eastAsia"/>
          <w:sz w:val="28"/>
          <w:szCs w:val="28"/>
        </w:rPr>
      </w:pPr>
    </w:p>
    <w:p w14:paraId="0CABDC10">
      <w:pPr>
        <w:ind w:firstLine="1400" w:firstLineChars="500"/>
        <w:rPr>
          <w:rFonts w:hint="eastAsia"/>
          <w:sz w:val="28"/>
          <w:szCs w:val="28"/>
        </w:rPr>
      </w:pPr>
    </w:p>
    <w:p w14:paraId="7EF6B8C2">
      <w:pPr>
        <w:ind w:firstLine="1400" w:firstLineChars="500"/>
        <w:rPr>
          <w:rFonts w:hint="eastAsia"/>
          <w:sz w:val="28"/>
          <w:szCs w:val="28"/>
        </w:rPr>
      </w:pPr>
    </w:p>
    <w:p w14:paraId="4A650C16">
      <w:pPr>
        <w:ind w:firstLine="1400" w:firstLineChars="500"/>
        <w:rPr>
          <w:rFonts w:hint="eastAsia"/>
          <w:sz w:val="28"/>
          <w:szCs w:val="28"/>
        </w:rPr>
      </w:pPr>
    </w:p>
    <w:p w14:paraId="01BC1409">
      <w:pPr>
        <w:ind w:firstLine="1400" w:firstLineChars="500"/>
        <w:rPr>
          <w:rFonts w:hint="eastAsia"/>
          <w:sz w:val="28"/>
          <w:szCs w:val="28"/>
        </w:rPr>
      </w:pPr>
    </w:p>
    <w:p w14:paraId="5CAD7E60">
      <w:pPr>
        <w:ind w:firstLine="1400" w:firstLineChars="500"/>
        <w:rPr>
          <w:rFonts w:hint="eastAsia"/>
          <w:sz w:val="28"/>
          <w:szCs w:val="28"/>
        </w:rPr>
      </w:pPr>
    </w:p>
    <w:p w14:paraId="0B44D710">
      <w:pPr>
        <w:ind w:firstLine="1400" w:firstLineChars="500"/>
        <w:rPr>
          <w:rFonts w:hint="eastAsia"/>
          <w:sz w:val="28"/>
          <w:szCs w:val="28"/>
        </w:rPr>
      </w:pPr>
    </w:p>
    <w:p w14:paraId="46053EC9">
      <w:pPr>
        <w:ind w:firstLine="1400" w:firstLineChars="500"/>
        <w:rPr>
          <w:rFonts w:hint="eastAsia"/>
          <w:sz w:val="28"/>
          <w:szCs w:val="28"/>
        </w:rPr>
      </w:pPr>
    </w:p>
    <w:p w14:paraId="092956EA">
      <w:pPr>
        <w:ind w:firstLine="1400" w:firstLineChars="500"/>
        <w:rPr>
          <w:rFonts w:hint="eastAsia"/>
          <w:sz w:val="28"/>
          <w:szCs w:val="28"/>
        </w:rPr>
      </w:pPr>
    </w:p>
    <w:p w14:paraId="49F07A3F">
      <w:pPr>
        <w:ind w:firstLine="1400" w:firstLineChars="500"/>
        <w:rPr>
          <w:rFonts w:hint="eastAsia"/>
          <w:sz w:val="28"/>
          <w:szCs w:val="28"/>
        </w:rPr>
      </w:pPr>
    </w:p>
    <w:p w14:paraId="1F9CCC1A">
      <w:pPr>
        <w:ind w:firstLine="1400" w:firstLineChars="500"/>
        <w:rPr>
          <w:rFonts w:hint="eastAsia"/>
          <w:sz w:val="28"/>
          <w:szCs w:val="28"/>
        </w:rPr>
      </w:pPr>
    </w:p>
    <w:p w14:paraId="5984A080">
      <w:pPr>
        <w:ind w:firstLine="1400" w:firstLineChars="500"/>
        <w:rPr>
          <w:rFonts w:hint="eastAsia"/>
          <w:sz w:val="28"/>
          <w:szCs w:val="28"/>
        </w:rPr>
      </w:pPr>
    </w:p>
    <w:p w14:paraId="612B1D5C">
      <w:pPr>
        <w:ind w:firstLine="1400" w:firstLineChars="500"/>
        <w:rPr>
          <w:rFonts w:hint="eastAsia"/>
          <w:sz w:val="28"/>
          <w:szCs w:val="28"/>
        </w:rPr>
      </w:pPr>
    </w:p>
    <w:p w14:paraId="2549E679">
      <w:pPr>
        <w:ind w:firstLine="1400" w:firstLineChars="500"/>
        <w:rPr>
          <w:rFonts w:hint="eastAsia"/>
          <w:sz w:val="28"/>
          <w:szCs w:val="28"/>
        </w:rPr>
      </w:pPr>
    </w:p>
    <w:p w14:paraId="3C8E4BE8">
      <w:pPr>
        <w:ind w:firstLine="1400" w:firstLineChars="500"/>
        <w:rPr>
          <w:rFonts w:hint="eastAsia"/>
          <w:sz w:val="28"/>
          <w:szCs w:val="28"/>
        </w:rPr>
      </w:pPr>
    </w:p>
    <w:p w14:paraId="7A2BFE71">
      <w:pPr>
        <w:rPr>
          <w:sz w:val="36"/>
          <w:szCs w:val="36"/>
        </w:rPr>
      </w:pPr>
      <w:r>
        <w:rPr>
          <w:rFonts w:hint="eastAsia"/>
          <w:sz w:val="28"/>
          <w:szCs w:val="28"/>
        </w:rPr>
        <w:tab/>
      </w:r>
      <w:bookmarkStart w:id="0" w:name="_Toc13625"/>
      <w:bookmarkStart w:id="1" w:name="_Toc15697_WPSOffice_Level1"/>
      <w:r>
        <w:rPr>
          <w:rFonts w:hint="eastAsia"/>
          <w:sz w:val="36"/>
          <w:szCs w:val="36"/>
          <w:u w:val="single"/>
        </w:rPr>
        <w:t xml:space="preserve">（项目名称）                </w:t>
      </w:r>
      <w:r>
        <w:rPr>
          <w:rFonts w:hint="eastAsia"/>
          <w:sz w:val="36"/>
          <w:szCs w:val="36"/>
        </w:rPr>
        <w:t>项目</w:t>
      </w:r>
      <w:bookmarkEnd w:id="0"/>
      <w:bookmarkEnd w:id="1"/>
      <w:r>
        <w:rPr>
          <w:rFonts w:hint="eastAsia"/>
          <w:sz w:val="36"/>
          <w:szCs w:val="36"/>
        </w:rPr>
        <w:t>（标段）</w:t>
      </w:r>
    </w:p>
    <w:p w14:paraId="317150C9">
      <w:pPr>
        <w:autoSpaceDE w:val="0"/>
        <w:autoSpaceDN w:val="0"/>
        <w:adjustRightInd w:val="0"/>
        <w:spacing w:line="480" w:lineRule="exact"/>
        <w:ind w:firstLine="480"/>
        <w:jc w:val="center"/>
        <w:rPr>
          <w:rFonts w:ascii="宋体" w:hAnsi="宋体" w:cs="宋体"/>
        </w:rPr>
      </w:pPr>
    </w:p>
    <w:p w14:paraId="6F14ED4B">
      <w:pPr>
        <w:ind w:firstLine="1800" w:firstLineChars="500"/>
        <w:rPr>
          <w:sz w:val="32"/>
          <w:szCs w:val="32"/>
        </w:rPr>
      </w:pPr>
      <w:bookmarkStart w:id="2" w:name="_Toc20892"/>
      <w:bookmarkStart w:id="3" w:name="_Toc1469_WPSOffice_Level1"/>
      <w:r>
        <w:rPr>
          <w:rFonts w:hint="eastAsia"/>
          <w:sz w:val="36"/>
          <w:szCs w:val="36"/>
        </w:rPr>
        <w:t>项目编号：</w:t>
      </w:r>
      <w:bookmarkEnd w:id="2"/>
      <w:bookmarkEnd w:id="3"/>
    </w:p>
    <w:p w14:paraId="133DBEA3">
      <w:pPr>
        <w:autoSpaceDE w:val="0"/>
        <w:autoSpaceDN w:val="0"/>
        <w:adjustRightInd w:val="0"/>
        <w:spacing w:before="15" w:line="480" w:lineRule="exact"/>
        <w:ind w:firstLine="480"/>
        <w:jc w:val="center"/>
        <w:rPr>
          <w:rFonts w:ascii="宋体" w:hAnsi="宋体" w:cs="宋体"/>
        </w:rPr>
      </w:pPr>
    </w:p>
    <w:p w14:paraId="20F26345">
      <w:pPr>
        <w:autoSpaceDE w:val="0"/>
        <w:autoSpaceDN w:val="0"/>
        <w:adjustRightInd w:val="0"/>
        <w:spacing w:before="15" w:line="480" w:lineRule="exact"/>
        <w:ind w:firstLine="480"/>
        <w:jc w:val="center"/>
        <w:rPr>
          <w:rFonts w:ascii="宋体" w:hAnsi="宋体" w:cs="宋体"/>
        </w:rPr>
      </w:pPr>
    </w:p>
    <w:p w14:paraId="59F051FF">
      <w:pPr>
        <w:jc w:val="center"/>
        <w:rPr>
          <w:b/>
          <w:bCs/>
          <w:sz w:val="48"/>
          <w:szCs w:val="48"/>
        </w:rPr>
      </w:pPr>
      <w:bookmarkStart w:id="4" w:name="_Toc30951"/>
      <w:bookmarkStart w:id="5" w:name="_Toc32596_WPSOffice_Level1"/>
      <w:r>
        <w:rPr>
          <w:rFonts w:hint="eastAsia"/>
          <w:b/>
          <w:bCs/>
          <w:sz w:val="48"/>
          <w:szCs w:val="48"/>
        </w:rPr>
        <w:t>投标文件</w:t>
      </w:r>
      <w:bookmarkEnd w:id="4"/>
      <w:bookmarkEnd w:id="5"/>
    </w:p>
    <w:p w14:paraId="100ED26B">
      <w:pPr>
        <w:autoSpaceDE w:val="0"/>
        <w:autoSpaceDN w:val="0"/>
        <w:adjustRightInd w:val="0"/>
        <w:spacing w:line="480" w:lineRule="exact"/>
        <w:ind w:firstLine="640"/>
        <w:jc w:val="center"/>
        <w:rPr>
          <w:rFonts w:ascii="宋体" w:hAnsi="宋体" w:cs="宋体"/>
          <w:sz w:val="32"/>
          <w:szCs w:val="32"/>
        </w:rPr>
      </w:pPr>
    </w:p>
    <w:p w14:paraId="2D1A7666">
      <w:pPr>
        <w:autoSpaceDE w:val="0"/>
        <w:autoSpaceDN w:val="0"/>
        <w:adjustRightInd w:val="0"/>
        <w:spacing w:line="480" w:lineRule="exact"/>
        <w:ind w:firstLine="480"/>
        <w:jc w:val="center"/>
        <w:rPr>
          <w:rFonts w:ascii="宋体" w:hAnsi="宋体" w:cs="宋体"/>
        </w:rPr>
      </w:pPr>
    </w:p>
    <w:p w14:paraId="6CCD59CC">
      <w:pPr>
        <w:autoSpaceDE w:val="0"/>
        <w:autoSpaceDN w:val="0"/>
        <w:adjustRightInd w:val="0"/>
        <w:spacing w:line="480" w:lineRule="exact"/>
        <w:ind w:firstLine="480"/>
        <w:jc w:val="center"/>
        <w:rPr>
          <w:rFonts w:ascii="宋体" w:hAnsi="宋体" w:cs="宋体"/>
        </w:rPr>
      </w:pPr>
    </w:p>
    <w:p w14:paraId="15D75773">
      <w:pPr>
        <w:autoSpaceDE w:val="0"/>
        <w:autoSpaceDN w:val="0"/>
        <w:adjustRightInd w:val="0"/>
        <w:spacing w:line="480" w:lineRule="exact"/>
        <w:ind w:firstLine="480"/>
        <w:jc w:val="center"/>
        <w:rPr>
          <w:rFonts w:ascii="宋体" w:hAnsi="宋体" w:cs="宋体"/>
        </w:rPr>
      </w:pPr>
    </w:p>
    <w:p w14:paraId="4C09A143">
      <w:pPr>
        <w:autoSpaceDE w:val="0"/>
        <w:autoSpaceDN w:val="0"/>
        <w:adjustRightInd w:val="0"/>
        <w:spacing w:line="480" w:lineRule="exact"/>
        <w:ind w:firstLine="480"/>
        <w:jc w:val="center"/>
        <w:rPr>
          <w:rFonts w:ascii="宋体" w:hAnsi="宋体" w:cs="宋体"/>
        </w:rPr>
      </w:pPr>
    </w:p>
    <w:p w14:paraId="3651DA03">
      <w:pPr>
        <w:pStyle w:val="17"/>
        <w:widowControl/>
        <w:rPr>
          <w:rFonts w:cs="宋体"/>
        </w:rPr>
      </w:pPr>
    </w:p>
    <w:p w14:paraId="7AC491FD">
      <w:pPr>
        <w:autoSpaceDE w:val="0"/>
        <w:autoSpaceDN w:val="0"/>
        <w:adjustRightInd w:val="0"/>
        <w:ind w:firstLine="480"/>
        <w:jc w:val="left"/>
        <w:rPr>
          <w:rFonts w:ascii="宋体" w:hAnsi="宋体" w:cs="宋体"/>
        </w:rPr>
      </w:pPr>
    </w:p>
    <w:p w14:paraId="1CE2E262">
      <w:pPr>
        <w:pStyle w:val="17"/>
        <w:widowControl/>
        <w:rPr>
          <w:rFonts w:cs="宋体"/>
        </w:rPr>
      </w:pPr>
    </w:p>
    <w:p w14:paraId="531F69C9">
      <w:pPr>
        <w:ind w:firstLine="560"/>
        <w:rPr>
          <w:rFonts w:ascii="宋体" w:hAnsi="宋体" w:cs="宋体"/>
          <w:szCs w:val="28"/>
        </w:rPr>
      </w:pPr>
      <w:bookmarkStart w:id="6" w:name="_Toc10866"/>
      <w:bookmarkStart w:id="7" w:name="_Toc19802_WPSOffice_Level1"/>
      <w:r>
        <w:rPr>
          <w:rFonts w:hint="eastAsia"/>
          <w:sz w:val="28"/>
          <w:szCs w:val="28"/>
        </w:rPr>
        <w:t>投标人：（盖单位电子章）</w:t>
      </w:r>
      <w:bookmarkEnd w:id="6"/>
      <w:bookmarkEnd w:id="7"/>
    </w:p>
    <w:p w14:paraId="08244CD3">
      <w:pPr>
        <w:autoSpaceDE w:val="0"/>
        <w:autoSpaceDN w:val="0"/>
        <w:adjustRightInd w:val="0"/>
        <w:spacing w:line="480" w:lineRule="exact"/>
        <w:ind w:left="774" w:right="403" w:firstLine="560"/>
        <w:jc w:val="left"/>
        <w:rPr>
          <w:rFonts w:ascii="宋体" w:hAnsi="宋体" w:cs="宋体"/>
          <w:sz w:val="28"/>
          <w:szCs w:val="28"/>
        </w:rPr>
      </w:pPr>
    </w:p>
    <w:p w14:paraId="4DAAA8B5">
      <w:pPr>
        <w:ind w:firstLine="560"/>
        <w:rPr>
          <w:sz w:val="28"/>
          <w:szCs w:val="28"/>
        </w:rPr>
      </w:pPr>
      <w:bookmarkStart w:id="8" w:name="_Toc25959_WPSOffice_Level1"/>
      <w:bookmarkStart w:id="9" w:name="_Toc19582"/>
      <w:r>
        <w:rPr>
          <w:rFonts w:hint="eastAsia"/>
          <w:sz w:val="28"/>
          <w:szCs w:val="28"/>
        </w:rPr>
        <w:t>法定代表人或其委托代理人：______________（签字或盖电子章）</w:t>
      </w:r>
      <w:bookmarkEnd w:id="8"/>
      <w:bookmarkEnd w:id="9"/>
    </w:p>
    <w:p w14:paraId="7EBACDCE">
      <w:pPr>
        <w:autoSpaceDE w:val="0"/>
        <w:autoSpaceDN w:val="0"/>
        <w:adjustRightInd w:val="0"/>
        <w:spacing w:line="480" w:lineRule="exact"/>
        <w:ind w:left="774" w:right="403" w:firstLine="560"/>
        <w:jc w:val="left"/>
        <w:rPr>
          <w:rFonts w:ascii="宋体" w:hAnsi="宋体" w:cs="宋体"/>
          <w:sz w:val="28"/>
          <w:szCs w:val="28"/>
        </w:rPr>
      </w:pPr>
    </w:p>
    <w:p w14:paraId="43C83685">
      <w:pPr>
        <w:ind w:firstLine="560"/>
        <w:rPr>
          <w:sz w:val="28"/>
          <w:szCs w:val="28"/>
        </w:rPr>
      </w:pPr>
      <w:bookmarkStart w:id="10" w:name="_Toc4674_WPSOffice_Level1"/>
      <w:bookmarkStart w:id="11" w:name="_Toc8294"/>
      <w:r>
        <w:rPr>
          <w:rFonts w:hint="eastAsia"/>
          <w:sz w:val="28"/>
          <w:szCs w:val="28"/>
        </w:rPr>
        <w:t>日期：年月日</w:t>
      </w:r>
      <w:bookmarkEnd w:id="10"/>
      <w:bookmarkEnd w:id="11"/>
    </w:p>
    <w:p w14:paraId="4A8288C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pgNumType w:fmt="decimal"/>
          <w:cols w:space="720" w:num="1"/>
        </w:sectPr>
      </w:pPr>
    </w:p>
    <w:p w14:paraId="3A07D536">
      <w:pPr>
        <w:pStyle w:val="5"/>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5F7FD8A7">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1.开标一览表（如有包号自行添加行）</w:t>
      </w:r>
    </w:p>
    <w:p w14:paraId="58D0D81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1.1货物类开标一览表格式</w:t>
      </w:r>
    </w:p>
    <w:p w14:paraId="0C3E391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617ED2D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60F8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27CB6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54CA4C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265A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AC201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AA56DE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44AD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2D4536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50CD72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4FDE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C00C7C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15F16F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1DED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77343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交货安装时间（工期）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08A79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181B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E1B42E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6BCAE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1年</w:t>
            </w:r>
          </w:p>
        </w:tc>
      </w:tr>
      <w:tr w14:paraId="48AB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58046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89E7C4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4CB6C8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48525C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2298160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1C88A3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p>
    <w:p w14:paraId="09EC9D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605A76F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BD431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4A2D1C40">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76236B0B">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6B3529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BDBB1D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B00B80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4FC3750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7D5473C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00E2F4E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64EE9B66">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6012962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DA13FE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7A6B29B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D566E9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6EF2A65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157D64F2">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6093F71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16FA3A5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F38795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5515F3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4D6E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79B1E87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1A6E78C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D91EF7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7B787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3E094A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7B35E4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B833EC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A5432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1BF9C28">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6BB2F0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4967391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13574235">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7CFF58E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1647E7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144D201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7B2A00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11DE911B">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2FF895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3047484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0B69D35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2007616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23154EC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B4F325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6BC5EC8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6B95849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AAB23E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9FEDCA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57E1DBA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7EBF6381">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024AF48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8CBA58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1D612FD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10431AC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09A38159">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7C9CFC7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137561B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2F658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051982F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892BEA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157F40D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02746B9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55CC733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379A8B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47B0241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0A855066">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7D807B4">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2955ACFA">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DABF36A">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0F1E01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46BC6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1B6E5E1">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sz w:val="24"/>
          <w:szCs w:val="24"/>
          <w:lang w:val="en-US" w:eastAsia="zh-CN"/>
        </w:rPr>
        <w:t>5.</w:t>
      </w:r>
      <w:r>
        <w:rPr>
          <w:rFonts w:hint="eastAsia" w:ascii="宋体" w:hAnsi="宋体" w:cs="宋体"/>
          <w:color w:val="000000" w:themeColor="text1"/>
          <w:sz w:val="24"/>
          <w:szCs w:val="24"/>
          <w14:textFill>
            <w14:solidFill>
              <w14:schemeClr w14:val="tx1"/>
            </w14:solidFill>
          </w14:textFill>
        </w:rPr>
        <w:t>符合《中华人民共和国政府采购法》第二十二条及《中华人民共和国政府采购法实施条例》第十七条规定：</w:t>
      </w:r>
    </w:p>
    <w:p w14:paraId="6E64FC71">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（1）投标人应具有独立法人资格，具有有效的营业执照；</w:t>
      </w:r>
    </w:p>
    <w:p w14:paraId="45FBE4AB">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（2）具有良好的商业信誉和健全的财务会计制度；</w:t>
      </w:r>
    </w:p>
    <w:p w14:paraId="755D93EE">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（3）具有履行合同所必需的设备和专业技术能力</w:t>
      </w:r>
    </w:p>
    <w:p w14:paraId="0438B249">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（4）有依法缴纳税收</w:t>
      </w:r>
      <w:r>
        <w:rPr>
          <w:rFonts w:hint="eastAsia" w:ascii="宋体" w:hAnsi="宋体" w:cs="宋体"/>
          <w:color w:val="000000" w:themeColor="text1"/>
          <w:sz w:val="24"/>
          <w:szCs w:val="24"/>
          <w:lang w:val="en-US" w:eastAsia="zh-CN"/>
          <w14:textFill>
            <w14:solidFill>
              <w14:schemeClr w14:val="tx1"/>
            </w14:solidFill>
          </w14:textFill>
        </w:rPr>
        <w:t>及社保</w:t>
      </w:r>
      <w:r>
        <w:rPr>
          <w:rFonts w:hint="eastAsia" w:ascii="宋体" w:hAnsi="宋体" w:cs="宋体"/>
          <w:color w:val="000000" w:themeColor="text1"/>
          <w:sz w:val="24"/>
          <w:szCs w:val="24"/>
          <w14:textFill>
            <w14:solidFill>
              <w14:schemeClr w14:val="tx1"/>
            </w14:solidFill>
          </w14:textFill>
        </w:rPr>
        <w:t>的良好记录</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提供2024年6月1日以来任意3个月证明材料</w:t>
      </w:r>
      <w:r>
        <w:rPr>
          <w:rFonts w:hint="eastAsia" w:ascii="宋体" w:hAnsi="宋体" w:cs="宋体"/>
          <w:color w:val="000000" w:themeColor="text1"/>
          <w:sz w:val="24"/>
          <w:szCs w:val="24"/>
          <w:lang w:eastAsia="zh-CN"/>
          <w14:textFill>
            <w14:solidFill>
              <w14:schemeClr w14:val="tx1"/>
            </w14:solidFill>
          </w14:textFill>
        </w:rPr>
        <w:t>）</w:t>
      </w:r>
    </w:p>
    <w:p w14:paraId="3F2DC498">
      <w:pPr>
        <w:keepNext w:val="0"/>
        <w:keepLines w:val="0"/>
        <w:pageBreakBefore w:val="0"/>
        <w:widowControl/>
        <w:suppressLineNumbers w:val="0"/>
        <w:kinsoku/>
        <w:wordWrap/>
        <w:overflowPunct/>
        <w:bidi w:val="0"/>
        <w:snapToGrid/>
        <w:spacing w:line="360" w:lineRule="auto"/>
        <w:ind w:firstLine="480" w:firstLineChars="20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（5）参加政府采购活动前三年内（新成立的企业从成立之日起）,在政府采购活动中没有重大违法记录的书面声明；</w:t>
      </w:r>
    </w:p>
    <w:p w14:paraId="131BEBF1">
      <w:pPr>
        <w:keepNext w:val="0"/>
        <w:keepLines w:val="0"/>
        <w:pageBreakBefore w:val="0"/>
        <w:widowControl/>
        <w:suppressLineNumbers w:val="0"/>
        <w:kinsoku/>
        <w:wordWrap/>
        <w:overflowPunct/>
        <w:bidi w:val="0"/>
        <w:snapToGrid/>
        <w:spacing w:line="360" w:lineRule="auto"/>
        <w:ind w:firstLine="480" w:firstLineChars="200"/>
        <w:jc w:val="left"/>
        <w:textAlignment w:val="auto"/>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）法律、行政法规规定的其他条件。</w:t>
      </w:r>
    </w:p>
    <w:p w14:paraId="12372A9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F56974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投标人需提供无行贿犯罪记录承诺函（承诺对象包括：投标企业、法定代表人）,并对其真实性负责，若承诺不实，所造成的后果由投标人承担；</w:t>
      </w:r>
    </w:p>
    <w:p w14:paraId="0B7326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AEF88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依据财库〔20</w:t>
      </w:r>
      <w:r>
        <w:rPr>
          <w:rFonts w:hint="eastAsia" w:asciiTheme="minorEastAsia" w:hAnsiTheme="minorEastAsia" w:eastAsiaTheme="minorEastAsia" w:cstheme="minorEastAsia"/>
          <w:b/>
          <w:bCs/>
          <w:sz w:val="24"/>
          <w:szCs w:val="24"/>
          <w:lang w:val="en-US" w:eastAsia="zh-CN"/>
        </w:rPr>
        <w:t>16</w:t>
      </w:r>
      <w:r>
        <w:rPr>
          <w:rFonts w:hint="eastAsia" w:asciiTheme="minorEastAsia" w:hAnsiTheme="minorEastAsia" w:eastAsiaTheme="minorEastAsia" w:cstheme="minorEastAsia"/>
          <w:b/>
          <w:bCs/>
          <w:sz w:val="24"/>
          <w:szCs w:val="24"/>
          <w:lang w:eastAsia="zh-CN"/>
        </w:rPr>
        <w:t>〕125号文件规定，对列入失信被执行人、重大税收违法失信主体、政府采购严重违法失信行为记录名单的投标人，拒绝其参与本项目招投标活动；依据《关于在公共资源交易活动中实施信用监管的通知》(宛公管办〔202</w:t>
      </w:r>
      <w:r>
        <w:rPr>
          <w:rFonts w:hint="eastAsia" w:asciiTheme="minorEastAsia" w:hAnsiTheme="minorEastAsia" w:eastAsiaTheme="minorEastAsia" w:cstheme="minorEastAsia"/>
          <w:b/>
          <w:bCs/>
          <w:sz w:val="24"/>
          <w:szCs w:val="24"/>
          <w:lang w:val="en-US" w:eastAsia="zh-CN"/>
        </w:rPr>
        <w:t>0</w:t>
      </w:r>
      <w:r>
        <w:rPr>
          <w:rFonts w:hint="eastAsia" w:asciiTheme="minorEastAsia" w:hAnsiTheme="minorEastAsia" w:eastAsiaTheme="minorEastAsia" w:cstheme="minorEastAsia"/>
          <w:b/>
          <w:bCs/>
          <w:sz w:val="24"/>
          <w:szCs w:val="24"/>
          <w:lang w:eastAsia="zh-CN"/>
        </w:rPr>
        <w:t>〕22号)文，</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eastAsia="zh-CN"/>
        </w:rPr>
        <w:t>(投标人)在参与公共资源交易活动时须提供规范的信用报告，信用报告应从“信用中国”（www.creditchina.gov.cn）网站下载，信用报告的生成日期为本项目递交投标文件截止时间前10日内，提供的内容要完整清晰并加盖公章。</w:t>
      </w:r>
    </w:p>
    <w:p w14:paraId="65F8F2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CD9256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4411F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486A11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D69C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7E337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5A21B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00B111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投标人诚信承诺书</w:t>
      </w:r>
    </w:p>
    <w:p w14:paraId="661B4CF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10DF966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35AE6B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B343A5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03F02DC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49C8E2F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7B71C64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03C2AD0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1548AB9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772591D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2164B5D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269C945A">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100AE8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B7CF86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5D5965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FC2E37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EBD89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795FA92">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9.其他资格证明</w:t>
      </w:r>
    </w:p>
    <w:p w14:paraId="44ABBA36">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21903C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787AFE1">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E9871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8FADC6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69C024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32825BB">
      <w:pPr>
        <w:pStyle w:val="5"/>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2AF7314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287839B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545E5CA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540D2BD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0D84D7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7ECEEDA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F0224D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50EEFBA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192B54A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25EEA28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5A35CA0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53B1F15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38ECE97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DC3F13F">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184676A9">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5E49B2EF">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9B9B0A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012548D5">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772BB4B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5F871366">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56F401ED">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5C5C8D15">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6CF09E52">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17C69451">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153E0509">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34F0E7E8">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4F3590C2">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545E1EA4">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762F8060">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090923F9">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3581E129">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05F6A772">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6BFC0341">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5BF9FFB2">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49475BA8">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5F554E00">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09A3D6A3">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4B4CB991">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254EB991">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6FBE381F">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30B2D739">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437C7557">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2F3ADE4A">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二、商务技术文件格式</w:t>
      </w:r>
    </w:p>
    <w:p w14:paraId="15C667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4B2CA460">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5CFC78D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E7EF6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70E720E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4D12A8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，商务技术文件第1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150C74B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26AE187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45E5C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1E9CF0B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0B51093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295325F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374B71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548CDF3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17B1EA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7D537F8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5F6A02D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headerReference r:id="rId13" w:type="default"/>
          <w:footerReference r:id="rId14"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793F212">
      <w:pPr>
        <w:keepNext w:val="0"/>
        <w:keepLines w:val="0"/>
        <w:pageBreakBefore w:val="0"/>
        <w:kinsoku/>
        <w:wordWrap w:val="0"/>
        <w:overflowPunct/>
        <w:topLinePunct w:val="0"/>
        <w:bidi w:val="0"/>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r>
        <w:rPr>
          <w:rFonts w:hint="eastAsia" w:ascii="宋体" w:hAnsi="宋体"/>
          <w:b/>
          <w:sz w:val="24"/>
          <w:szCs w:val="24"/>
          <w:lang w:val="en-US" w:eastAsia="zh-CN"/>
        </w:rPr>
        <w:t>适用于货物</w:t>
      </w:r>
      <w:r>
        <w:rPr>
          <w:rFonts w:hint="eastAsia" w:ascii="宋体" w:hAnsi="宋体"/>
          <w:b/>
          <w:sz w:val="24"/>
          <w:szCs w:val="24"/>
          <w:lang w:eastAsia="zh-CN"/>
        </w:rPr>
        <w:t>）</w:t>
      </w:r>
    </w:p>
    <w:p w14:paraId="0D2573F5">
      <w:pPr>
        <w:keepNext w:val="0"/>
        <w:keepLines w:val="0"/>
        <w:pageBreakBefore w:val="0"/>
        <w:kinsoku/>
        <w:wordWrap w:val="0"/>
        <w:overflowPunct/>
        <w:topLinePunct w:val="0"/>
        <w:bidi w:val="0"/>
        <w:jc w:val="both"/>
        <w:rPr>
          <w:rFonts w:hint="eastAsia" w:ascii="宋体" w:hAnsi="宋体"/>
          <w:b/>
          <w:sz w:val="24"/>
          <w:szCs w:val="24"/>
        </w:rPr>
      </w:pPr>
    </w:p>
    <w:p w14:paraId="18D0D302">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8"/>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00D2E34F">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0DE46C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14:paraId="127CBFE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76533E0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14:paraId="7C23128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14:paraId="7042CB0B">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14:paraId="46A5EDA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0E89F17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A9F46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167348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8DF35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38C13A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DBFD12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8B638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76DF16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3CEAF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586C3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86B00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2CD6A0C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3E34B3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082390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F963DC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453E0DA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18224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69D7F5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0EB5CE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2F77CA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309F47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4277A2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40C906A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F511AA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81DE9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0CD046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E73CE6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5FFBFB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8E3281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D6409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7FC1DF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39160C6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B22BB9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EF8107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391ABC6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268286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002B36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758ADE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85679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337747C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A44FE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D12DA8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D28B64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5F857D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DAF429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4B2F29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0E8CD27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362715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91AC80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2D5E2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F946E0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0F919D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6115ED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3A8AA9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025461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DCB65E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11A2F0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1D0C52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7DBDA43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4CA3DE4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44493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1F0AFC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04BCA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773981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E6B133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48908F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9A11B1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290D9D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E76E6C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449BC8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4AF02F4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98169E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26A2CD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E087D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23352F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6975AA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6763D9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C3A5CC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5A82329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183262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2EB131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7BECB23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21BD7D7">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23CBD8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C4009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69668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CAB865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564342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2A5062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4D769D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F0EC4B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6E021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1F028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23B6CEB">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50F588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14:paraId="0B746DD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0F7DAED">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89AD666">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77AF67E7">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13694D16">
      <w:pPr>
        <w:keepNext w:val="0"/>
        <w:keepLines w:val="0"/>
        <w:pageBreakBefore w:val="0"/>
        <w:kinsoku/>
        <w:wordWrap w:val="0"/>
        <w:overflowPunct/>
        <w:topLinePunct w:val="0"/>
        <w:bidi w:val="0"/>
        <w:jc w:val="both"/>
        <w:rPr>
          <w:rFonts w:hint="eastAsia" w:asciiTheme="minorEastAsia" w:hAnsiTheme="minorEastAsia" w:eastAsiaTheme="minorEastAsia" w:cstheme="minorEastAsia"/>
          <w:b/>
          <w:bCs w:val="0"/>
          <w:sz w:val="24"/>
          <w:szCs w:val="24"/>
          <w:lang w:val="en-US" w:eastAsia="zh-CN"/>
        </w:rPr>
      </w:pPr>
    </w:p>
    <w:p w14:paraId="0E701D7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主要设备技术指标及技术性能说明</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14:paraId="018249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4"/>
          <w:szCs w:val="24"/>
          <w:lang w:val="en-US" w:eastAsia="zh-CN"/>
        </w:rPr>
        <w:t>4.</w:t>
      </w:r>
      <w:r>
        <w:rPr>
          <w:rFonts w:hint="eastAsia" w:asciiTheme="minorEastAsia" w:hAnsiTheme="minorEastAsia" w:eastAsiaTheme="minorEastAsia" w:cstheme="minorEastAsia"/>
          <w:b/>
          <w:bCs w:val="0"/>
          <w:sz w:val="24"/>
          <w:szCs w:val="24"/>
          <w:lang w:val="en-US" w:eastAsia="zh-CN"/>
        </w:rPr>
        <w:t>供货安装调试</w:t>
      </w:r>
      <w:r>
        <w:rPr>
          <w:rFonts w:hint="eastAsia" w:asciiTheme="minorEastAsia" w:hAnsiTheme="minorEastAsia" w:eastAsiaTheme="minorEastAsia" w:cstheme="minorEastAsia"/>
          <w:b/>
          <w:bCs w:val="0"/>
          <w:sz w:val="24"/>
          <w:szCs w:val="24"/>
          <w:lang w:eastAsia="zh-CN"/>
        </w:rPr>
        <w:t>方案等</w:t>
      </w:r>
    </w:p>
    <w:p w14:paraId="17FEB0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5.</w:t>
      </w:r>
      <w:r>
        <w:rPr>
          <w:rFonts w:hint="eastAsia" w:asciiTheme="minorEastAsia" w:hAnsiTheme="minorEastAsia" w:eastAsiaTheme="minorEastAsia" w:cstheme="minorEastAsia"/>
          <w:b/>
          <w:bCs w:val="0"/>
          <w:sz w:val="24"/>
          <w:szCs w:val="24"/>
          <w:lang w:eastAsia="zh-CN"/>
        </w:rPr>
        <w:t>技术偏差情况</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14:paraId="461BBE60">
      <w:pPr>
        <w:pStyle w:val="5"/>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bidi="en-US"/>
        </w:rPr>
      </w:pPr>
    </w:p>
    <w:p w14:paraId="4E1A076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4ED9EEBE">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49BC7D6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0CA8B35E">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191D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6603B14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1F6CFAA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EE9D90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852499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10AE83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5DA1B1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2789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F05F42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5BE946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93B1AB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88754D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1AEB49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148E7E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5DF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4A5F67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DCC195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7E90B5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8FDBE1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BDF71D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889A0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696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D55D7F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B0915E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CFBADB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50967A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086D05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113971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C4B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A634D9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FC3CF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6676C0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A5B9D8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8F58A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8709E7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D50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34432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7036D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202A69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2DCC76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C1067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04A802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BE1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E55FA6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861F65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3FA2B7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BB327E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FA55D3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68A109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E55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EF0C79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A7CF6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C4603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8557D2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48F954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8699F8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1AF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A53A94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F06866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1DF5F2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C5D6C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EBFE65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BE0A31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1E4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64AB3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6B1469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693D7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4B18E1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8BFB8B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82BB1D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C0F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B8F938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EB6AC7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D2CCC7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B0E357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1E133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E5FAC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B8D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9D846A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C4DD17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5E040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A1FDC7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61B713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D60572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EC9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1148BE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1F482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9AE88A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EA617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0EB007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5D1229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17E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71BFA4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B7D77B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AC093A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C910D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AC1CB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9A4E5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136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1CAC05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298218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1C3D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E9DA4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B079B8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E63462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E17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A37D17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7D0B3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96E4C5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8CC36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971F9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3DB444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5A63C331">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CB8C8DF">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20A162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75271D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AA94BC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15D5B8C9">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节能产品、环境标志产品明细表</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14:paraId="113F4EA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0AF0F76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422F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0F24DF0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01D2E03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688ED01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5D3DE88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24A8A1C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66C87A8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232E167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01E0B62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07FF600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6708D71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4004B24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7C2A4BD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7ED2CE1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2A3D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66DEBAF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49E0383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8868AB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648DB61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6B91F59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48AA135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99414F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7E8E4E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3C98F3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1CC3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2D1EFD2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516332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CC5428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56767A7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66DBA41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6D5B26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E66F7E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6D5673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B3E8E4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6F3D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65AEF76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76BB25A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0BCBD7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5303589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0624EF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5289B5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11FC6A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27FF4A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8D4AF7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78F5E5F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法定代表人（负责人）或被授权人（签字或盖章）：</w:t>
      </w:r>
    </w:p>
    <w:p w14:paraId="7EA975A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0DD0737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378A8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52FA6C9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79643F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381D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10E9984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5F8AB7B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6D180FF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681ED3F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7ED9EE1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4EE975A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41B966D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213EF42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6429CB7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176CAC3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3BA986E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0B2E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43031CE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A2BE30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649E5D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94B0F9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F95991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27BCF7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800A46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D8D4AF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3D1C15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4CF1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780F14D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398B38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973E0A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DB8F5C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AE79FC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DFBA46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31E2D5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7F0658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7F3A93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25F1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04DE7D5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A4FD2B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E959CA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C62865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433EC9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9CF3AB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34147A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54629C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F31CD8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65E1BB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法定代表人（负责人）或授权代表（签字）：</w:t>
      </w:r>
    </w:p>
    <w:p w14:paraId="677B69B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4E5584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7A4ED8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769137CB">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679695DB">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1917994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30CAA4C5">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241CEB2B">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52122D3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1F9FD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0FFD5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149FC4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EC0B67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183F34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1851DB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6F4032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7961D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3E75EB6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652AB2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868C65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F0798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64122B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6B0D18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C8BA31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6DF958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164490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E2494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2D2E8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F286C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6334E24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lang w:eastAsia="zh-CN"/>
        </w:rPr>
        <w:t>商务偏差表格式</w:t>
      </w:r>
    </w:p>
    <w:p w14:paraId="70DFA46B">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7AEFB00B">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E9B24F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7FED3AA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5161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4DD825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32930B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7DC5261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14B89B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2FDA6F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328EC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7C63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3C76F3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0EDF0A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73DE68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BF4EC7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A4C1CA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F15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AB753F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D5D8A6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B9B259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C0DF4D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A04EBE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2C6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C5A445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C996D6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1913E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0C0C33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453C40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B23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EE4302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E80038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A84CEF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A14757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1E6B56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7C5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054899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060FC7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157D9C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858FFA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426FC2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2FB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AE6F6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708ABF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E9E3D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809752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6BF487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86A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FD52D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0EA00E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40B204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A4D3AC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2190E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B34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2BDBC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A486F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17837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0AE4E7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F83472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85E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D5CA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104FF3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35CFD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1852C3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3C70FD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31B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6BF87D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549A1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579FB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372084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9B5343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405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D1794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2A603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69424C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5353DC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BA19A7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6AE003C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5ED9F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3049A26B">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CA59D8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AB4B9EB">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8.售</w:t>
      </w:r>
      <w:r>
        <w:rPr>
          <w:rFonts w:hint="eastAsia" w:asciiTheme="minorEastAsia" w:hAnsiTheme="minorEastAsia" w:eastAsiaTheme="minorEastAsia" w:cstheme="minorEastAsia"/>
          <w:b/>
          <w:sz w:val="24"/>
          <w:szCs w:val="24"/>
          <w:lang w:eastAsia="zh-CN"/>
        </w:rPr>
        <w:t>后服务</w:t>
      </w:r>
      <w:r>
        <w:rPr>
          <w:rFonts w:hint="eastAsia" w:ascii="宋体" w:hAnsi="宋体"/>
          <w:b/>
          <w:sz w:val="24"/>
          <w:szCs w:val="24"/>
          <w:lang w:eastAsia="zh-CN"/>
        </w:rPr>
        <w:t>（</w:t>
      </w:r>
      <w:r>
        <w:rPr>
          <w:rFonts w:hint="eastAsia" w:ascii="宋体" w:hAnsi="宋体"/>
          <w:b/>
          <w:sz w:val="24"/>
          <w:szCs w:val="24"/>
          <w:lang w:val="en-US" w:eastAsia="zh-CN"/>
        </w:rPr>
        <w:t xml:space="preserve">培训计划方案、售后服务承诺、优惠条件的承诺 </w:t>
      </w:r>
      <w:r>
        <w:rPr>
          <w:rFonts w:hint="eastAsia" w:ascii="宋体" w:hAnsi="宋体"/>
          <w:b/>
          <w:sz w:val="24"/>
          <w:szCs w:val="24"/>
          <w:lang w:eastAsia="zh-CN"/>
        </w:rPr>
        <w:t>）</w:t>
      </w:r>
    </w:p>
    <w:p w14:paraId="36D46895">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9.供应商信用评价</w:t>
      </w:r>
    </w:p>
    <w:p w14:paraId="44E1F9C2">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pacing w:val="-3"/>
          <w:sz w:val="24"/>
          <w:szCs w:val="24"/>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3"/>
          <w:sz w:val="24"/>
          <w:szCs w:val="24"/>
          <w:lang w:val="en-US" w:eastAsia="zh-CN"/>
          <w14:textOutline w14:w="2306" w14:cap="flat" w14:cmpd="sng">
            <w14:solidFill>
              <w14:srgbClr w14:val="000000"/>
            </w14:solidFill>
            <w14:prstDash w14:val="solid"/>
            <w14:miter w14:val="0"/>
          </w14:textOutline>
        </w:rPr>
        <w:t>10.优惠条件</w:t>
      </w:r>
    </w:p>
    <w:p w14:paraId="3938352C">
      <w:pPr>
        <w:rPr>
          <w:rFonts w:hint="default"/>
          <w:lang w:val="en-US" w:eastAsia="zh-CN"/>
        </w:rPr>
      </w:pPr>
      <w:r>
        <w:rPr>
          <w:rFonts w:hint="eastAsia" w:asciiTheme="minorEastAsia" w:hAnsiTheme="minorEastAsia" w:eastAsiaTheme="minorEastAsia" w:cstheme="minorEastAsia"/>
          <w:spacing w:val="-3"/>
          <w:sz w:val="24"/>
          <w:szCs w:val="24"/>
          <w:lang w:val="en-US" w:eastAsia="zh-CN"/>
          <w14:textOutline w14:w="2306" w14:cap="flat" w14:cmpd="sng">
            <w14:solidFill>
              <w14:srgbClr w14:val="000000"/>
            </w14:solidFill>
            <w14:prstDash w14:val="solid"/>
            <w14:miter w14:val="0"/>
          </w14:textOutline>
        </w:rPr>
        <w:t>11.人员培训</w:t>
      </w:r>
    </w:p>
    <w:p w14:paraId="27B8BD17">
      <w:pPr>
        <w:rPr>
          <w:rFonts w:hint="default"/>
          <w:lang w:val="en-US" w:eastAsia="zh-CN"/>
        </w:rPr>
      </w:pPr>
    </w:p>
    <w:p w14:paraId="2670F11A">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7F001C0">
      <w:pPr>
        <w:pStyle w:val="5"/>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eastAsia="Arial" w:cs="Arial"/>
          <w:b/>
          <w:snapToGrid w:val="0"/>
          <w:color w:val="000000"/>
          <w:kern w:val="0"/>
          <w:sz w:val="24"/>
          <w:szCs w:val="24"/>
          <w:lang w:val="en-US" w:eastAsia="zh-CN" w:bidi="ar-SA"/>
        </w:rPr>
        <w:t>12</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1DB20BE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14:paraId="2D5C718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3C1E37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6FA57FB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508C34D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1309D23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08419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0A08883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702E2A1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0DF8EE7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0B14AF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AF01964">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102163B8">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FBBB31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6DAFA7D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9190D9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15EF94FD">
      <w:pPr>
        <w:pStyle w:val="22"/>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14:paraId="0C88546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73397DF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ECBAF6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4D35F2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21E2D78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30A2B56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025BBC0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3C90514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28628E8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51218F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E1690F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5850670D">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7B777D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2F9E44D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22291A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4D024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5A9983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82F8D4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BFFD86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53CBB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ED05A1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64F87A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6D305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411F6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5C5724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2DAC6D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5561FE6">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5EA73B61">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6B81662F">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B78277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pPr>
    </w:p>
    <w:p w14:paraId="6B01E59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pPr>
    </w:p>
    <w:p w14:paraId="130047A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pPr>
    </w:p>
    <w:p w14:paraId="00FC6FB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13.招标文件要求的其它材料及投标人认为有必要提供的材料</w:t>
      </w:r>
    </w:p>
    <w:sectPr>
      <w:headerReference r:id="rId15" w:type="default"/>
      <w:footerReference r:id="rId16"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A24A4">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6B178">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06B178">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B3E12">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E7783">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48E7783">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0F5B">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E42B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E5E42B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9C914">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A7DD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67A7DD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8D4A7">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AE8D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14AE8D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2B641">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E53FD">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FDE53FD">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2D115">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AFFD">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ECFE3">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1F38">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2BCF1">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2CE3F">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60CF4"/>
    <w:multiLevelType w:val="singleLevel"/>
    <w:tmpl w:val="95560CF4"/>
    <w:lvl w:ilvl="0" w:tentative="0">
      <w:start w:val="3"/>
      <w:numFmt w:val="decimal"/>
      <w:lvlText w:val="%1."/>
      <w:lvlJc w:val="left"/>
      <w:pPr>
        <w:tabs>
          <w:tab w:val="left" w:pos="312"/>
        </w:tabs>
      </w:pPr>
    </w:lvl>
  </w:abstractNum>
  <w:abstractNum w:abstractNumId="1">
    <w:nsid w:val="D29498BE"/>
    <w:multiLevelType w:val="singleLevel"/>
    <w:tmpl w:val="D29498BE"/>
    <w:lvl w:ilvl="0" w:tentative="0">
      <w:start w:val="2"/>
      <w:numFmt w:val="chineseCounting"/>
      <w:suff w:val="space"/>
      <w:lvlText w:val="第%1章"/>
      <w:lvlJc w:val="left"/>
      <w:rPr>
        <w:rFonts w:hint="eastAsia"/>
      </w:rPr>
    </w:lvl>
  </w:abstractNum>
  <w:abstractNum w:abstractNumId="2">
    <w:nsid w:val="14571D4A"/>
    <w:multiLevelType w:val="singleLevel"/>
    <w:tmpl w:val="14571D4A"/>
    <w:lvl w:ilvl="0" w:tentative="0">
      <w:start w:val="1"/>
      <w:numFmt w:val="decimal"/>
      <w:suff w:val="nothing"/>
      <w:lvlText w:val="（%1）"/>
      <w:lvlJc w:val="left"/>
    </w:lvl>
  </w:abstractNum>
  <w:abstractNum w:abstractNumId="3">
    <w:nsid w:val="5989A349"/>
    <w:multiLevelType w:val="singleLevel"/>
    <w:tmpl w:val="5989A349"/>
    <w:lvl w:ilvl="0" w:tentative="0">
      <w:start w:val="2"/>
      <w:numFmt w:val="decimal"/>
      <w:lvlText w:val="%1."/>
      <w:lvlJc w:val="left"/>
      <w:pPr>
        <w:tabs>
          <w:tab w:val="left" w:pos="312"/>
        </w:tabs>
      </w:pPr>
    </w:lvl>
  </w:abstractNum>
  <w:abstractNum w:abstractNumId="4">
    <w:nsid w:val="5D7BE5FA"/>
    <w:multiLevelType w:val="singleLevel"/>
    <w:tmpl w:val="5D7BE5FA"/>
    <w:lvl w:ilvl="0" w:tentative="0">
      <w:start w:val="1"/>
      <w:numFmt w:val="decimal"/>
      <w:suff w:val="nothing"/>
      <w:lvlText w:val="%1、"/>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2U1MjFlNDI1OTFhNDM2Njk1OTg0Mjc1YzNhMjI4OTYifQ=="/>
  </w:docVars>
  <w:rsids>
    <w:rsidRoot w:val="00000000"/>
    <w:rsid w:val="00470F5D"/>
    <w:rsid w:val="0096273C"/>
    <w:rsid w:val="00D24FF0"/>
    <w:rsid w:val="014E35A1"/>
    <w:rsid w:val="023E759B"/>
    <w:rsid w:val="027730B6"/>
    <w:rsid w:val="02FA03F5"/>
    <w:rsid w:val="03217B69"/>
    <w:rsid w:val="03C26B83"/>
    <w:rsid w:val="03CC315E"/>
    <w:rsid w:val="03CF75C5"/>
    <w:rsid w:val="03DF5A69"/>
    <w:rsid w:val="044921B6"/>
    <w:rsid w:val="046E59EF"/>
    <w:rsid w:val="048E509B"/>
    <w:rsid w:val="050D556D"/>
    <w:rsid w:val="05234F67"/>
    <w:rsid w:val="05545C1C"/>
    <w:rsid w:val="055748A3"/>
    <w:rsid w:val="059A3EA8"/>
    <w:rsid w:val="06593C39"/>
    <w:rsid w:val="06787E06"/>
    <w:rsid w:val="06AF4861"/>
    <w:rsid w:val="06B0495B"/>
    <w:rsid w:val="06C93A28"/>
    <w:rsid w:val="06E37C8B"/>
    <w:rsid w:val="076721B4"/>
    <w:rsid w:val="08B35707"/>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4B26BF"/>
    <w:rsid w:val="0BC76E66"/>
    <w:rsid w:val="0BF0521B"/>
    <w:rsid w:val="0CB101B0"/>
    <w:rsid w:val="0CBD4DA7"/>
    <w:rsid w:val="0CD74818"/>
    <w:rsid w:val="0CF900A3"/>
    <w:rsid w:val="0D272220"/>
    <w:rsid w:val="0DA859D3"/>
    <w:rsid w:val="0DD30B7C"/>
    <w:rsid w:val="0DD73C46"/>
    <w:rsid w:val="0E307EEE"/>
    <w:rsid w:val="0EE83F9D"/>
    <w:rsid w:val="0F0D035A"/>
    <w:rsid w:val="0F756937"/>
    <w:rsid w:val="0FB87AA7"/>
    <w:rsid w:val="0FE34B24"/>
    <w:rsid w:val="102C0845"/>
    <w:rsid w:val="104F3F68"/>
    <w:rsid w:val="109932EE"/>
    <w:rsid w:val="10B145AD"/>
    <w:rsid w:val="115A7068"/>
    <w:rsid w:val="117D2D56"/>
    <w:rsid w:val="11B43A6A"/>
    <w:rsid w:val="11B5429E"/>
    <w:rsid w:val="122675E2"/>
    <w:rsid w:val="12417927"/>
    <w:rsid w:val="126E021D"/>
    <w:rsid w:val="12C549DA"/>
    <w:rsid w:val="12D9220E"/>
    <w:rsid w:val="12FD5FFB"/>
    <w:rsid w:val="1380268A"/>
    <w:rsid w:val="13C5707D"/>
    <w:rsid w:val="13F07810"/>
    <w:rsid w:val="1446371A"/>
    <w:rsid w:val="146A5814"/>
    <w:rsid w:val="14EC3DCF"/>
    <w:rsid w:val="15037E2D"/>
    <w:rsid w:val="15141A22"/>
    <w:rsid w:val="156B2323"/>
    <w:rsid w:val="15AC3C0A"/>
    <w:rsid w:val="15B05882"/>
    <w:rsid w:val="15E04F64"/>
    <w:rsid w:val="164A7458"/>
    <w:rsid w:val="16A9014A"/>
    <w:rsid w:val="16F45CE8"/>
    <w:rsid w:val="16FC049F"/>
    <w:rsid w:val="174C193E"/>
    <w:rsid w:val="179B0D80"/>
    <w:rsid w:val="17B27393"/>
    <w:rsid w:val="183D23CB"/>
    <w:rsid w:val="18510AEB"/>
    <w:rsid w:val="18610CDC"/>
    <w:rsid w:val="19161B44"/>
    <w:rsid w:val="19D46BD3"/>
    <w:rsid w:val="19E260C0"/>
    <w:rsid w:val="1A464AA0"/>
    <w:rsid w:val="1A6B22E0"/>
    <w:rsid w:val="1AAC0209"/>
    <w:rsid w:val="1AC47924"/>
    <w:rsid w:val="1AF57E02"/>
    <w:rsid w:val="1B4F168F"/>
    <w:rsid w:val="1B6F0841"/>
    <w:rsid w:val="1BCB0A96"/>
    <w:rsid w:val="1D391455"/>
    <w:rsid w:val="1D72498F"/>
    <w:rsid w:val="1D921938"/>
    <w:rsid w:val="1D9D7C75"/>
    <w:rsid w:val="1E0754FF"/>
    <w:rsid w:val="1E2712E1"/>
    <w:rsid w:val="1E7249AF"/>
    <w:rsid w:val="1F8737CC"/>
    <w:rsid w:val="1FE61854"/>
    <w:rsid w:val="1FF31541"/>
    <w:rsid w:val="206375BB"/>
    <w:rsid w:val="20E603C9"/>
    <w:rsid w:val="20F10837"/>
    <w:rsid w:val="210939CE"/>
    <w:rsid w:val="212D6A29"/>
    <w:rsid w:val="217E2260"/>
    <w:rsid w:val="21DC7625"/>
    <w:rsid w:val="21E33D7D"/>
    <w:rsid w:val="22937C80"/>
    <w:rsid w:val="22E737AC"/>
    <w:rsid w:val="23C6058D"/>
    <w:rsid w:val="23D34A58"/>
    <w:rsid w:val="24C8734D"/>
    <w:rsid w:val="24E94D19"/>
    <w:rsid w:val="24F46A34"/>
    <w:rsid w:val="25052271"/>
    <w:rsid w:val="255045B2"/>
    <w:rsid w:val="256253DA"/>
    <w:rsid w:val="25722260"/>
    <w:rsid w:val="257A4289"/>
    <w:rsid w:val="25A83616"/>
    <w:rsid w:val="25D07317"/>
    <w:rsid w:val="260373D2"/>
    <w:rsid w:val="263A5FE5"/>
    <w:rsid w:val="265713EE"/>
    <w:rsid w:val="266177F8"/>
    <w:rsid w:val="26734FA1"/>
    <w:rsid w:val="27EF7E63"/>
    <w:rsid w:val="27F6032D"/>
    <w:rsid w:val="283F26BC"/>
    <w:rsid w:val="2944096C"/>
    <w:rsid w:val="29462E99"/>
    <w:rsid w:val="29C94933"/>
    <w:rsid w:val="29EE28A8"/>
    <w:rsid w:val="29EF5E58"/>
    <w:rsid w:val="2A5E573D"/>
    <w:rsid w:val="2A870159"/>
    <w:rsid w:val="2ABA04F6"/>
    <w:rsid w:val="2AD7512C"/>
    <w:rsid w:val="2B1E2A5D"/>
    <w:rsid w:val="2B296C36"/>
    <w:rsid w:val="2B32017A"/>
    <w:rsid w:val="2B4C1378"/>
    <w:rsid w:val="2BD35370"/>
    <w:rsid w:val="2BFA7026"/>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2230959"/>
    <w:rsid w:val="3322495F"/>
    <w:rsid w:val="337450B5"/>
    <w:rsid w:val="344C700B"/>
    <w:rsid w:val="345678EC"/>
    <w:rsid w:val="34C22FEC"/>
    <w:rsid w:val="34EB0670"/>
    <w:rsid w:val="34F86C33"/>
    <w:rsid w:val="357D65D2"/>
    <w:rsid w:val="36266C69"/>
    <w:rsid w:val="36592B9B"/>
    <w:rsid w:val="36B765C5"/>
    <w:rsid w:val="374E72FE"/>
    <w:rsid w:val="37512649"/>
    <w:rsid w:val="37C036A0"/>
    <w:rsid w:val="37D664EB"/>
    <w:rsid w:val="37E776C2"/>
    <w:rsid w:val="383C09C6"/>
    <w:rsid w:val="38704382"/>
    <w:rsid w:val="388B2F38"/>
    <w:rsid w:val="39691347"/>
    <w:rsid w:val="399D1B1E"/>
    <w:rsid w:val="3A046503"/>
    <w:rsid w:val="3B35724B"/>
    <w:rsid w:val="3BB63ADA"/>
    <w:rsid w:val="3BDC4EDA"/>
    <w:rsid w:val="3C37498E"/>
    <w:rsid w:val="3C860462"/>
    <w:rsid w:val="3C94450B"/>
    <w:rsid w:val="3CD83A9C"/>
    <w:rsid w:val="3D051AB3"/>
    <w:rsid w:val="3D13022E"/>
    <w:rsid w:val="3D9C0E9C"/>
    <w:rsid w:val="3DDE7B24"/>
    <w:rsid w:val="3E32417E"/>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884B35"/>
    <w:rsid w:val="423849B8"/>
    <w:rsid w:val="435F746A"/>
    <w:rsid w:val="4372309F"/>
    <w:rsid w:val="44093E52"/>
    <w:rsid w:val="444E5D13"/>
    <w:rsid w:val="446F3136"/>
    <w:rsid w:val="44790C24"/>
    <w:rsid w:val="448C782B"/>
    <w:rsid w:val="453A628D"/>
    <w:rsid w:val="45CF0C25"/>
    <w:rsid w:val="45DD7715"/>
    <w:rsid w:val="47503B46"/>
    <w:rsid w:val="477B15AA"/>
    <w:rsid w:val="47C562E2"/>
    <w:rsid w:val="47C81344"/>
    <w:rsid w:val="47F23FE7"/>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7A34EC"/>
    <w:rsid w:val="4E861641"/>
    <w:rsid w:val="4EF02643"/>
    <w:rsid w:val="4FAB04B3"/>
    <w:rsid w:val="4FB426AD"/>
    <w:rsid w:val="4FEE2DC9"/>
    <w:rsid w:val="50354221"/>
    <w:rsid w:val="50ED7E23"/>
    <w:rsid w:val="51346287"/>
    <w:rsid w:val="51850890"/>
    <w:rsid w:val="519F1DA4"/>
    <w:rsid w:val="525210BA"/>
    <w:rsid w:val="52A90328"/>
    <w:rsid w:val="52DC3333"/>
    <w:rsid w:val="53036690"/>
    <w:rsid w:val="53376A7B"/>
    <w:rsid w:val="537441A1"/>
    <w:rsid w:val="53B1020C"/>
    <w:rsid w:val="54065481"/>
    <w:rsid w:val="557169CF"/>
    <w:rsid w:val="557D5D2A"/>
    <w:rsid w:val="55A41C2D"/>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23920"/>
    <w:rsid w:val="5D150553"/>
    <w:rsid w:val="5D3550FB"/>
    <w:rsid w:val="5D902A97"/>
    <w:rsid w:val="5E3606EF"/>
    <w:rsid w:val="5E445B0A"/>
    <w:rsid w:val="5EDA32DC"/>
    <w:rsid w:val="5F321771"/>
    <w:rsid w:val="5F3A0F0C"/>
    <w:rsid w:val="5F412CC2"/>
    <w:rsid w:val="5FE2771E"/>
    <w:rsid w:val="600E6D7C"/>
    <w:rsid w:val="601E64DF"/>
    <w:rsid w:val="607F1E09"/>
    <w:rsid w:val="60BD2923"/>
    <w:rsid w:val="618C2692"/>
    <w:rsid w:val="622D31D4"/>
    <w:rsid w:val="62A74B0A"/>
    <w:rsid w:val="62E015B0"/>
    <w:rsid w:val="63510510"/>
    <w:rsid w:val="639D4CC6"/>
    <w:rsid w:val="642053CC"/>
    <w:rsid w:val="646A5DEF"/>
    <w:rsid w:val="646F5EF6"/>
    <w:rsid w:val="65785E0F"/>
    <w:rsid w:val="658A75F4"/>
    <w:rsid w:val="65CF7A95"/>
    <w:rsid w:val="66A23F66"/>
    <w:rsid w:val="672526A7"/>
    <w:rsid w:val="678E6299"/>
    <w:rsid w:val="680D3662"/>
    <w:rsid w:val="68222C97"/>
    <w:rsid w:val="68333F9A"/>
    <w:rsid w:val="683858D3"/>
    <w:rsid w:val="68645FE7"/>
    <w:rsid w:val="68FF21AA"/>
    <w:rsid w:val="69413090"/>
    <w:rsid w:val="69855FCD"/>
    <w:rsid w:val="69BC17E8"/>
    <w:rsid w:val="69DD77FF"/>
    <w:rsid w:val="6A2A317D"/>
    <w:rsid w:val="6AE37CE3"/>
    <w:rsid w:val="6B0625EA"/>
    <w:rsid w:val="6B4A24D7"/>
    <w:rsid w:val="6B5442BA"/>
    <w:rsid w:val="6C593408"/>
    <w:rsid w:val="6C68544B"/>
    <w:rsid w:val="6C785167"/>
    <w:rsid w:val="6C8857DA"/>
    <w:rsid w:val="6D0715D4"/>
    <w:rsid w:val="6DDB2C74"/>
    <w:rsid w:val="6E0E0C0F"/>
    <w:rsid w:val="6E8E7670"/>
    <w:rsid w:val="6EEB0447"/>
    <w:rsid w:val="6FAF3250"/>
    <w:rsid w:val="6FC71762"/>
    <w:rsid w:val="6FEB04E4"/>
    <w:rsid w:val="70312E6C"/>
    <w:rsid w:val="703F6560"/>
    <w:rsid w:val="70725ED5"/>
    <w:rsid w:val="70B362F9"/>
    <w:rsid w:val="71653340"/>
    <w:rsid w:val="71F347D3"/>
    <w:rsid w:val="71FC098F"/>
    <w:rsid w:val="72415D05"/>
    <w:rsid w:val="7296241B"/>
    <w:rsid w:val="73297E86"/>
    <w:rsid w:val="732A300A"/>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81E668F"/>
    <w:rsid w:val="788C166D"/>
    <w:rsid w:val="78AC0934"/>
    <w:rsid w:val="78BD4DDD"/>
    <w:rsid w:val="78E700F4"/>
    <w:rsid w:val="78EE7B24"/>
    <w:rsid w:val="7907377A"/>
    <w:rsid w:val="792E7F96"/>
    <w:rsid w:val="793B1352"/>
    <w:rsid w:val="79AB21E7"/>
    <w:rsid w:val="79CC501C"/>
    <w:rsid w:val="79F12DE4"/>
    <w:rsid w:val="7A221E92"/>
    <w:rsid w:val="7B0E17E2"/>
    <w:rsid w:val="7B3E48AE"/>
    <w:rsid w:val="7C6203C7"/>
    <w:rsid w:val="7CB47DA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next w:val="1"/>
    <w:autoRedefine/>
    <w:qFormat/>
    <w:uiPriority w:val="0"/>
    <w:rPr>
      <w:rFonts w:ascii="宋体" w:hAnsi="宋体" w:eastAsia="宋体" w:cs="宋体"/>
      <w:sz w:val="31"/>
      <w:szCs w:val="31"/>
      <w:lang w:val="en-US" w:eastAsia="en-US" w:bidi="ar-SA"/>
    </w:rPr>
  </w:style>
  <w:style w:type="paragraph" w:styleId="6">
    <w:name w:val="Body Text Indent"/>
    <w:basedOn w:val="1"/>
    <w:next w:val="7"/>
    <w:autoRedefine/>
    <w:qFormat/>
    <w:uiPriority w:val="99"/>
    <w:pPr>
      <w:spacing w:after="120" w:afterLines="0"/>
      <w:ind w:left="420" w:leftChars="200"/>
    </w:pPr>
    <w:rPr>
      <w:kern w:val="2"/>
      <w:sz w:val="21"/>
      <w:lang w:eastAsia="zh-CN" w:bidi="ar-SA"/>
    </w:rPr>
  </w:style>
  <w:style w:type="paragraph" w:customStyle="1" w:styleId="7">
    <w:name w:val="Blockquote"/>
    <w:basedOn w:val="1"/>
    <w:next w:val="1"/>
    <w:autoRedefine/>
    <w:qFormat/>
    <w:uiPriority w:val="99"/>
    <w:pPr>
      <w:widowControl w:val="0"/>
      <w:autoSpaceDE w:val="0"/>
      <w:autoSpaceDN w:val="0"/>
      <w:adjustRightInd w:val="0"/>
      <w:spacing w:before="100" w:after="100"/>
      <w:ind w:left="360" w:right="360"/>
    </w:pPr>
  </w:style>
  <w:style w:type="paragraph" w:styleId="8">
    <w:name w:val="Plain Text"/>
    <w:basedOn w:val="1"/>
    <w:qFormat/>
    <w:uiPriority w:val="0"/>
    <w:pPr>
      <w:autoSpaceDE w:val="0"/>
      <w:autoSpaceDN w:val="0"/>
    </w:pPr>
    <w:rPr>
      <w:rFonts w:ascii="宋体" w:hAnsi="Courier New"/>
      <w:szCs w:val="21"/>
    </w:rPr>
  </w:style>
  <w:style w:type="paragraph" w:styleId="9">
    <w:name w:val="Date"/>
    <w:basedOn w:val="1"/>
    <w:next w:val="1"/>
    <w:autoRedefine/>
    <w:qFormat/>
    <w:uiPriority w:val="0"/>
    <w:rPr>
      <w:kern w:val="2"/>
      <w:sz w:val="21"/>
      <w:lang w:eastAsia="zh-CN" w:bidi="ar-SA"/>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envelope return"/>
    <w:basedOn w:val="1"/>
    <w:autoRedefine/>
    <w:qFormat/>
    <w:uiPriority w:val="0"/>
    <w:pPr>
      <w:snapToGrid w:val="0"/>
    </w:pPr>
    <w:rPr>
      <w:rFonts w:ascii="Arial" w:hAnsi="Arial"/>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autoRedefine/>
    <w:qFormat/>
    <w:uiPriority w:val="0"/>
    <w:pPr>
      <w:spacing w:after="120" w:line="480" w:lineRule="auto"/>
    </w:pPr>
    <w:rPr>
      <w:rFonts w:ascii="Tahoma" w:hAnsi="Tahoma"/>
    </w:rPr>
  </w:style>
  <w:style w:type="paragraph" w:styleId="14">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5"/>
    <w:next w:val="17"/>
    <w:qFormat/>
    <w:uiPriority w:val="0"/>
    <w:pPr>
      <w:ind w:firstLine="420"/>
    </w:pPr>
  </w:style>
  <w:style w:type="paragraph" w:styleId="17">
    <w:name w:val="Body Text First Indent 2"/>
    <w:basedOn w:val="6"/>
    <w:autoRedefine/>
    <w:qFormat/>
    <w:uiPriority w:val="0"/>
    <w:pPr>
      <w:ind w:firstLine="200" w:firstLineChars="200"/>
    </w:pPr>
    <w:rPr>
      <w:kern w:val="2"/>
      <w:sz w:val="28"/>
      <w:lang w:eastAsia="zh-CN" w:bidi="ar-SA"/>
    </w:rPr>
  </w:style>
  <w:style w:type="character" w:styleId="20">
    <w:name w:val="FollowedHyperlink"/>
    <w:basedOn w:val="19"/>
    <w:autoRedefine/>
    <w:qFormat/>
    <w:uiPriority w:val="0"/>
    <w:rPr>
      <w:color w:val="444444"/>
      <w:sz w:val="16"/>
      <w:szCs w:val="16"/>
      <w:u w:val="none"/>
    </w:rPr>
  </w:style>
  <w:style w:type="character" w:styleId="21">
    <w:name w:val="Hyperlink"/>
    <w:basedOn w:val="19"/>
    <w:autoRedefine/>
    <w:qFormat/>
    <w:uiPriority w:val="0"/>
    <w:rPr>
      <w:color w:val="0000FF"/>
      <w:u w:val="single"/>
    </w:rPr>
  </w:style>
  <w:style w:type="paragraph" w:customStyle="1" w:styleId="22">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customStyle="1" w:styleId="24">
    <w:name w:val="Table Text"/>
    <w:basedOn w:val="1"/>
    <w:autoRedefine/>
    <w:semiHidden/>
    <w:qFormat/>
    <w:uiPriority w:val="0"/>
    <w:rPr>
      <w:rFonts w:ascii="Arial" w:hAnsi="Arial" w:eastAsia="Arial" w:cs="Arial"/>
      <w:sz w:val="21"/>
      <w:szCs w:val="21"/>
      <w:lang w:val="en-US" w:eastAsia="en-US" w:bidi="ar-SA"/>
    </w:rPr>
  </w:style>
  <w:style w:type="paragraph" w:customStyle="1" w:styleId="25">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6">
    <w:name w:val="Char Char10 Char Char Char Char"/>
    <w:basedOn w:val="1"/>
    <w:next w:val="27"/>
    <w:autoRedefine/>
    <w:qFormat/>
    <w:uiPriority w:val="99"/>
    <w:pPr>
      <w:autoSpaceDE w:val="0"/>
      <w:autoSpaceDN w:val="0"/>
      <w:jc w:val="left"/>
    </w:pPr>
    <w:rPr>
      <w:rFonts w:ascii="宋体" w:hAnsi="宋体" w:cs="宋体"/>
      <w:lang w:val="zh-CN" w:bidi="zh-CN"/>
    </w:rPr>
  </w:style>
  <w:style w:type="paragraph" w:customStyle="1" w:styleId="27">
    <w:name w:val="xl87"/>
    <w:basedOn w:val="1"/>
    <w:next w:val="28"/>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8">
    <w:name w:val="xl72"/>
    <w:basedOn w:val="1"/>
    <w:next w:val="9"/>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29">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0">
    <w:name w:val="hover18"/>
    <w:basedOn w:val="19"/>
    <w:autoRedefine/>
    <w:qFormat/>
    <w:uiPriority w:val="0"/>
  </w:style>
  <w:style w:type="paragraph" w:customStyle="1" w:styleId="31">
    <w:name w:val="首行缩进"/>
    <w:basedOn w:val="1"/>
    <w:autoRedefine/>
    <w:qFormat/>
    <w:uiPriority w:val="99"/>
    <w:pPr>
      <w:ind w:firstLine="480" w:firstLineChars="200"/>
    </w:pPr>
    <w:rPr>
      <w:szCs w:val="24"/>
      <w:lang w:val="zh-CN"/>
    </w:rPr>
  </w:style>
  <w:style w:type="character" w:customStyle="1" w:styleId="32">
    <w:name w:val="font51"/>
    <w:basedOn w:val="19"/>
    <w:qFormat/>
    <w:uiPriority w:val="0"/>
    <w:rPr>
      <w:rFonts w:hint="eastAsia" w:ascii="宋体" w:hAnsi="宋体" w:eastAsia="宋体" w:cs="宋体"/>
      <w:color w:val="000000"/>
      <w:sz w:val="22"/>
      <w:szCs w:val="22"/>
      <w:u w:val="none"/>
    </w:rPr>
  </w:style>
  <w:style w:type="character" w:customStyle="1" w:styleId="33">
    <w:name w:val="font101"/>
    <w:basedOn w:val="19"/>
    <w:qFormat/>
    <w:uiPriority w:val="0"/>
    <w:rPr>
      <w:rFonts w:hint="eastAsia" w:ascii="宋体" w:hAnsi="宋体" w:eastAsia="宋体" w:cs="宋体"/>
      <w:color w:val="000000"/>
      <w:sz w:val="22"/>
      <w:szCs w:val="22"/>
      <w:u w:val="none"/>
      <w:vertAlign w:val="superscript"/>
    </w:rPr>
  </w:style>
  <w:style w:type="paragraph" w:styleId="3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79</Pages>
  <Words>44945</Words>
  <Characters>49647</Characters>
  <TotalTime>77</TotalTime>
  <ScaleCrop>false</ScaleCrop>
  <LinksUpToDate>false</LinksUpToDate>
  <CharactersWithSpaces>51138</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Administrator</cp:lastModifiedBy>
  <cp:lastPrinted>2025-03-17T02:00:00Z</cp:lastPrinted>
  <dcterms:modified xsi:type="dcterms:W3CDTF">2025-03-20T03:30:23Z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2052-12.1.0.20305</vt:lpwstr>
  </property>
  <property fmtid="{D5CDD505-2E9C-101B-9397-08002B2CF9AE}" pid="5" name="ICV">
    <vt:lpwstr>C21B9AEB55B444EA964259111EDEF908_13</vt:lpwstr>
  </property>
  <property fmtid="{D5CDD505-2E9C-101B-9397-08002B2CF9AE}" pid="6" name="KSOTemplateDocerSaveRecord">
    <vt:lpwstr>eyJoZGlkIjoiYTBlYmU4ZDRiM2VmNmM3ZTE5YmJlY2ZmYjcyNmI3OGUiLCJ1c2VySWQiOiIxMjI5NjE2Njk5In0=</vt:lpwstr>
  </property>
</Properties>
</file>