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415D2">
      <w:pPr>
        <w:pStyle w:val="5"/>
        <w:spacing w:before="0" w:after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第四章  采购需求</w:t>
      </w:r>
    </w:p>
    <w:p w14:paraId="1437C7C0">
      <w:pPr>
        <w:widowControl/>
        <w:adjustRightInd w:val="0"/>
        <w:spacing w:line="360" w:lineRule="auto"/>
        <w:rPr>
          <w:rFonts w:ascii="宋体" w:hAnsi="宋体"/>
          <w:b/>
          <w:kern w:val="0"/>
          <w:sz w:val="21"/>
          <w:szCs w:val="21"/>
        </w:rPr>
      </w:pPr>
      <w:bookmarkStart w:id="0" w:name="_Toc4426"/>
      <w:bookmarkStart w:id="1" w:name="_Toc373230032"/>
      <w:bookmarkStart w:id="2" w:name="_Toc374512420"/>
      <w:r>
        <w:rPr>
          <w:rFonts w:hint="eastAsia" w:ascii="宋体" w:hAnsi="宋体" w:cs="宋体"/>
          <w:b/>
          <w:sz w:val="21"/>
          <w:szCs w:val="21"/>
        </w:rPr>
        <w:t>一、</w:t>
      </w:r>
      <w:r>
        <w:rPr>
          <w:rFonts w:ascii="宋体" w:hAnsi="宋体"/>
          <w:b/>
          <w:kern w:val="0"/>
          <w:sz w:val="21"/>
          <w:szCs w:val="21"/>
        </w:rPr>
        <w:t>相关说明</w:t>
      </w:r>
    </w:p>
    <w:p w14:paraId="63061903">
      <w:pPr>
        <w:widowControl/>
        <w:numPr>
          <w:ilvl w:val="2"/>
          <w:numId w:val="1"/>
        </w:numPr>
        <w:adjustRightInd w:val="0"/>
        <w:spacing w:line="360" w:lineRule="auto"/>
        <w:ind w:firstLine="420" w:firstLineChars="200"/>
        <w:jc w:val="left"/>
        <w:rPr>
          <w:rFonts w:hint="eastAsia" w:ascii="宋体" w:hAnsi="宋体"/>
          <w:kern w:val="0"/>
          <w:sz w:val="21"/>
          <w:szCs w:val="21"/>
        </w:rPr>
      </w:pPr>
      <w:r>
        <w:rPr>
          <w:rFonts w:hint="eastAsia" w:ascii="宋体" w:hAnsi="宋体"/>
          <w:kern w:val="0"/>
          <w:sz w:val="21"/>
          <w:szCs w:val="21"/>
        </w:rPr>
        <w:t>本次采购内容如果要求的某些技术标准低于国家标准，均以最新的国家标准为准。</w:t>
      </w:r>
      <w:r>
        <w:rPr>
          <w:rFonts w:hint="eastAsia" w:ascii="宋体" w:hAnsi="宋体"/>
          <w:kern w:val="0"/>
          <w:sz w:val="21"/>
          <w:szCs w:val="21"/>
          <w:lang w:eastAsia="zh-CN"/>
        </w:rPr>
        <w:t>采购</w:t>
      </w:r>
      <w:r>
        <w:rPr>
          <w:rFonts w:hint="eastAsia" w:ascii="宋体" w:hAnsi="宋体"/>
          <w:kern w:val="0"/>
          <w:sz w:val="21"/>
          <w:szCs w:val="21"/>
        </w:rPr>
        <w:t>技术要求中未明确的技术标准也均不得低于国家标准；</w:t>
      </w:r>
    </w:p>
    <w:p w14:paraId="1D7E6F91">
      <w:pPr>
        <w:widowControl/>
        <w:numPr>
          <w:ilvl w:val="2"/>
          <w:numId w:val="1"/>
        </w:numPr>
        <w:adjustRightInd w:val="0"/>
        <w:spacing w:line="360" w:lineRule="auto"/>
        <w:ind w:firstLine="420" w:firstLineChars="200"/>
        <w:jc w:val="left"/>
        <w:rPr>
          <w:rFonts w:hint="eastAsia" w:ascii="宋体" w:hAnsi="宋体"/>
          <w:kern w:val="0"/>
          <w:sz w:val="21"/>
          <w:szCs w:val="21"/>
        </w:rPr>
      </w:pPr>
      <w:r>
        <w:rPr>
          <w:rFonts w:ascii="宋体" w:hAnsi="宋体"/>
          <w:kern w:val="0"/>
          <w:sz w:val="21"/>
          <w:szCs w:val="21"/>
        </w:rPr>
        <w:t>本采购项目为交钥匙项目，</w:t>
      </w:r>
      <w:r>
        <w:rPr>
          <w:rFonts w:hint="eastAsia" w:ascii="宋体" w:hAnsi="宋体"/>
          <w:kern w:val="0"/>
          <w:sz w:val="21"/>
          <w:szCs w:val="21"/>
        </w:rPr>
        <w:t>验收合格前</w:t>
      </w:r>
      <w:r>
        <w:rPr>
          <w:rFonts w:ascii="宋体" w:hAnsi="宋体"/>
          <w:kern w:val="0"/>
          <w:sz w:val="21"/>
          <w:szCs w:val="21"/>
        </w:rPr>
        <w:t>所需的一切费用</w:t>
      </w:r>
      <w:r>
        <w:rPr>
          <w:rFonts w:hint="eastAsia" w:ascii="宋体" w:hAnsi="宋体"/>
          <w:kern w:val="0"/>
          <w:sz w:val="21"/>
          <w:szCs w:val="21"/>
        </w:rPr>
        <w:t>均</w:t>
      </w:r>
      <w:r>
        <w:rPr>
          <w:rFonts w:ascii="宋体" w:hAnsi="宋体"/>
          <w:kern w:val="0"/>
          <w:sz w:val="21"/>
          <w:szCs w:val="21"/>
        </w:rPr>
        <w:t>包含在报价之中，采购人不</w:t>
      </w:r>
      <w:r>
        <w:rPr>
          <w:rFonts w:hint="eastAsia" w:ascii="宋体" w:hAnsi="宋体"/>
          <w:kern w:val="0"/>
          <w:sz w:val="21"/>
          <w:szCs w:val="21"/>
        </w:rPr>
        <w:t>承担成交价格以外的</w:t>
      </w:r>
      <w:r>
        <w:rPr>
          <w:rFonts w:ascii="宋体" w:hAnsi="宋体"/>
          <w:kern w:val="0"/>
          <w:sz w:val="21"/>
          <w:szCs w:val="21"/>
        </w:rPr>
        <w:t>任何费用。</w:t>
      </w:r>
    </w:p>
    <w:p w14:paraId="3F08D041">
      <w:pPr>
        <w:spacing w:line="360" w:lineRule="auto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二、</w:t>
      </w:r>
      <w:r>
        <w:rPr>
          <w:rFonts w:hint="eastAsia" w:ascii="宋体" w:hAnsi="宋体" w:cs="宋体"/>
          <w:b/>
          <w:sz w:val="21"/>
          <w:szCs w:val="21"/>
        </w:rPr>
        <w:t>商务要求</w:t>
      </w:r>
    </w:p>
    <w:p w14:paraId="674DC4BA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eastAsia" w:ascii="宋体" w:hAnsi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/>
          <w:color w:val="auto"/>
          <w:sz w:val="21"/>
          <w:szCs w:val="21"/>
        </w:rPr>
        <w:t>合同履行期限：</w:t>
      </w: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color w:val="auto"/>
          <w:sz w:val="21"/>
          <w:szCs w:val="21"/>
        </w:rPr>
        <w:t>年</w:t>
      </w:r>
    </w:p>
    <w:p w14:paraId="50CBF422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default" w:ascii="宋体" w:hAnsi="宋体" w:eastAsia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kern w:val="2"/>
          <w:sz w:val="21"/>
          <w:szCs w:val="21"/>
          <w:highlight w:val="none"/>
          <w:lang w:val="en-US" w:eastAsia="zh-CN" w:bidi="ar-SA"/>
        </w:rPr>
        <w:t>2.</w:t>
      </w:r>
      <w:r>
        <w:rPr>
          <w:rFonts w:hint="eastAsia" w:ascii="宋体" w:hAnsi="宋体"/>
          <w:color w:val="auto"/>
          <w:sz w:val="21"/>
          <w:szCs w:val="21"/>
          <w:highlight w:val="none"/>
        </w:rPr>
        <w:t>供货</w:t>
      </w:r>
      <w:r>
        <w:rPr>
          <w:rFonts w:hint="eastAsia" w:ascii="宋体" w:hAnsi="宋体"/>
          <w:color w:val="auto"/>
          <w:sz w:val="21"/>
          <w:szCs w:val="21"/>
          <w:highlight w:val="none"/>
          <w:lang w:eastAsia="zh-CN"/>
        </w:rPr>
        <w:t>（服务）</w:t>
      </w:r>
      <w:r>
        <w:rPr>
          <w:rFonts w:hint="eastAsia" w:ascii="宋体" w:hAnsi="宋体"/>
          <w:color w:val="auto"/>
          <w:sz w:val="21"/>
          <w:szCs w:val="21"/>
          <w:highlight w:val="none"/>
        </w:rPr>
        <w:t>地点：</w:t>
      </w:r>
      <w:r>
        <w:rPr>
          <w:rFonts w:hint="eastAsia" w:ascii="宋体" w:hAnsi="宋体"/>
          <w:color w:val="auto"/>
          <w:sz w:val="21"/>
          <w:szCs w:val="21"/>
          <w:highlight w:val="none"/>
          <w:lang w:val="en-US" w:eastAsia="zh-CN"/>
        </w:rPr>
        <w:t>成交供应商文物保护修复室</w:t>
      </w:r>
    </w:p>
    <w:p w14:paraId="237DA7C6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eastAsia" w:ascii="宋体" w:hAnsi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/>
          <w:color w:val="auto"/>
          <w:sz w:val="21"/>
          <w:szCs w:val="21"/>
        </w:rPr>
        <w:t>质量标准：</w:t>
      </w: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符合国家质量标准及相关行业标准</w:t>
      </w:r>
    </w:p>
    <w:p w14:paraId="1C07E9A4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eastAsia" w:ascii="宋体" w:hAnsi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4</w:t>
      </w:r>
      <w:r>
        <w:rPr>
          <w:rFonts w:hint="default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.</w:t>
      </w:r>
      <w:r>
        <w:rPr>
          <w:rFonts w:hint="eastAsia" w:ascii="宋体" w:hAnsi="宋体"/>
          <w:color w:val="auto"/>
          <w:sz w:val="21"/>
          <w:szCs w:val="21"/>
        </w:rPr>
        <w:t>付款方式：</w:t>
      </w: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合同签订后10个工作日内，甲方向乙方支付合同金额的60% 作为首付款，待完成本项目所有工作内容，甲方向乙方支付剩余40%的合同款。</w:t>
      </w:r>
    </w:p>
    <w:p w14:paraId="30560CD0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/>
          <w:b/>
          <w:bCs/>
          <w:kern w:val="0"/>
          <w:sz w:val="21"/>
          <w:szCs w:val="21"/>
          <w:lang w:eastAsia="zh-CN" w:bidi="ar"/>
        </w:rPr>
        <w:t>三、</w:t>
      </w:r>
      <w:r>
        <w:rPr>
          <w:rFonts w:hint="eastAsia" w:ascii="宋体" w:hAnsi="宋体" w:cs="宋体"/>
          <w:b/>
          <w:sz w:val="21"/>
          <w:szCs w:val="21"/>
        </w:rPr>
        <w:t>采购内容及技术要求</w:t>
      </w:r>
    </w:p>
    <w:bookmarkEnd w:id="0"/>
    <w:bookmarkEnd w:id="1"/>
    <w:bookmarkEnd w:id="2"/>
    <w:p w14:paraId="3CFA6E18">
      <w:pPr>
        <w:pStyle w:val="2"/>
        <w:spacing w:line="360" w:lineRule="auto"/>
        <w:ind w:firstLine="632" w:firstLineChars="300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 w:bidi="ar-SA"/>
        </w:rPr>
        <w:t>1、主要目标：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计划1年内完成武陟县文物保护中心馆藏33套（83件）的保护修复工作。在严格遵循“最小干预”、“不改变文物原貌”的原则下，依据有关规定和行业技术标准，采用传统和现代科技方法，完成上述33套（83件）书画文物的修复保护。要求文物保护修复所用的材料应具有可逆性，保持文物原貌，最大限度保存历史信息。经保护修复后，文物本体稳定性和物理强度得到提高，不影响其平整度和光泽度，色差在可接受范围内。保护处理后的文物能安全保存和展陈；经脱酸处理后的纸质文物pH值达到7.0以上并能保持时效性。完成纸质文物保护修复档案及保护修复报告编写。通过保护修复恢复器物原貌，认知纸质文物的科技价值，展现其历史与艺术价值，有利文化遗产保护及传承与展示。</w:t>
      </w:r>
    </w:p>
    <w:p w14:paraId="45311A7C">
      <w:pPr>
        <w:spacing w:line="360" w:lineRule="auto"/>
        <w:ind w:firstLine="632" w:firstLineChars="300"/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 w:bidi="ar-SA"/>
        </w:rPr>
        <w:t>33套（83件）书画文物清单</w:t>
      </w:r>
    </w:p>
    <w:tbl>
      <w:tblPr>
        <w:tblStyle w:val="8"/>
        <w:tblW w:w="10884" w:type="dxa"/>
        <w:tblInd w:w="-8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840"/>
        <w:gridCol w:w="1248"/>
        <w:gridCol w:w="660"/>
        <w:gridCol w:w="744"/>
        <w:gridCol w:w="672"/>
        <w:gridCol w:w="1488"/>
        <w:gridCol w:w="1848"/>
        <w:gridCol w:w="1092"/>
        <w:gridCol w:w="1764"/>
      </w:tblGrid>
      <w:tr w14:paraId="336565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84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27A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藏品号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F9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藏品名称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EA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年代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7AE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级别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778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93B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藏品尺寸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FB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完残程度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B18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E64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图片</w:t>
            </w:r>
          </w:p>
        </w:tc>
      </w:tr>
      <w:tr w14:paraId="3D671B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857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BA6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103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加封翰林院庶吉士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194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97E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533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丝织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079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横199.5 纵30.5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B48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B64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EDF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position w:val="-45"/>
              </w:rPr>
              <w:drawing>
                <wp:inline distT="0" distB="0" distL="114300" distR="114300">
                  <wp:extent cx="973455" cy="685800"/>
                  <wp:effectExtent l="0" t="0" r="1905" b="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E2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5AC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FE6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1CE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刘慕松琴棋书画四扇屏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520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0B4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3F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408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横27.8 纵66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D28B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有折痕；天、地残缺严重。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A6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55605F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position w:val="-86"/>
              </w:rPr>
              <w:drawing>
                <wp:inline distT="0" distB="0" distL="114300" distR="114300">
                  <wp:extent cx="1056005" cy="600710"/>
                  <wp:effectExtent l="0" t="0" r="10795" b="8890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6"/>
              </w:rPr>
              <w:drawing>
                <wp:inline distT="0" distB="0" distL="114300" distR="114300">
                  <wp:extent cx="1024255" cy="549910"/>
                  <wp:effectExtent l="0" t="0" r="12065" b="13970"/>
                  <wp:docPr id="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6"/>
              </w:rPr>
              <w:drawing>
                <wp:inline distT="0" distB="0" distL="114300" distR="114300">
                  <wp:extent cx="973455" cy="601980"/>
                  <wp:effectExtent l="0" t="0" r="1905" b="7620"/>
                  <wp:docPr id="16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6"/>
              </w:rPr>
              <w:drawing>
                <wp:inline distT="0" distB="0" distL="114300" distR="114300">
                  <wp:extent cx="942975" cy="564515"/>
                  <wp:effectExtent l="0" t="0" r="1905" b="14605"/>
                  <wp:docPr id="3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87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58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584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8A8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刘慕松仕女图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FD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C42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41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8D4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横30.1 纵60.5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28A7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折裂、老化、焦脆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65B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FEB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position w:val="-46"/>
              </w:rPr>
              <w:drawing>
                <wp:inline distT="0" distB="0" distL="114300" distR="114300">
                  <wp:extent cx="1128395" cy="485140"/>
                  <wp:effectExtent l="0" t="0" r="14605" b="2540"/>
                  <wp:docPr id="9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420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FD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D18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94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毛树棠楷书对联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DA3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667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97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E6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横39  纵17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CA90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有折痕、折裂。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5C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D4D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04900" cy="454660"/>
                  <wp:effectExtent l="0" t="0" r="7620" b="2540"/>
                  <wp:docPr id="21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4"/>
              </w:rPr>
              <w:drawing>
                <wp:inline distT="0" distB="0" distL="114300" distR="114300">
                  <wp:extent cx="1104900" cy="481330"/>
                  <wp:effectExtent l="0" t="0" r="7620" b="6350"/>
                  <wp:docPr id="10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B02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23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91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436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小意圆花鸟图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69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EFF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EFB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8E2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横36.7  纵125.4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E51C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34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40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059815" cy="977265"/>
                  <wp:effectExtent l="0" t="0" r="6985" b="13335"/>
                  <wp:docPr id="4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23"/>
              </w:rPr>
              <w:drawing>
                <wp:inline distT="0" distB="0" distL="114300" distR="114300">
                  <wp:extent cx="880745" cy="1437005"/>
                  <wp:effectExtent l="0" t="0" r="3175" b="10795"/>
                  <wp:docPr id="11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674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6EE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C42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00400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A7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毛树棠草书八扇屏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FB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8D0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24A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04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横33.1  纵101.7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E9F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折痕严重，缺片。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ED9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4D9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2165985"/>
                  <wp:effectExtent l="0" t="0" r="11430" b="1333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47445" cy="2280285"/>
                  <wp:effectExtent l="0" t="0" r="10795" b="571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EB0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73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F2B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25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方朔隶字横批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9C9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C17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6F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6F6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横99 纵62.9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1EF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有折痕，折裂。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38F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389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779780"/>
                  <wp:effectExtent l="0" t="0" r="12065" b="1270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BB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E1E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546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00412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294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富贵白头图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050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639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E8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EF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横44.4 纵128.1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457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有折痕，霉斑现象严重。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B6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726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461645"/>
                  <wp:effectExtent l="0" t="0" r="11430" b="10795"/>
                  <wp:docPr id="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20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DEB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0B4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00414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69D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杜严魏碑对联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BAF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16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69B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73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横32.5 纵129.5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1BA0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残缺现象严重，有折痕，小孔。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2B5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0E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1727200"/>
                  <wp:effectExtent l="0" t="0" r="10160" b="1016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834C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3D2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33F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00421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D5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毛树棠行书对联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02E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15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772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762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横32 纵145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B54D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168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ABD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5540" cy="1704975"/>
                  <wp:effectExtent l="0" t="0" r="12700" b="1905"/>
                  <wp:docPr id="1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F1A8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C42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53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00422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3F3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张桐楷书12条屏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58B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9F6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DFF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DF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横28.2 纵129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A5D8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轴掉，折裂，折痕。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DB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18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1933575"/>
                  <wp:effectExtent l="0" t="0" r="11430" b="1905"/>
                  <wp:docPr id="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48080" cy="2018665"/>
                  <wp:effectExtent l="0" t="0" r="10160" b="8255"/>
                  <wp:docPr id="2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46810" cy="2116455"/>
                  <wp:effectExtent l="0" t="0" r="11430" b="1905"/>
                  <wp:docPr id="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B91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281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C58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01140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C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清毛昶熙手迹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33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F9A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CAD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53C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横8.1 纵17.2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E286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折裂，折痕现象严重，有霉点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D7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9D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1080770"/>
                  <wp:effectExtent l="0" t="0" r="11430" b="1270"/>
                  <wp:docPr id="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1D5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81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5C3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01142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B12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清午桥浩隶书横幅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51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F5E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DF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66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横156 纵92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1B53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折裂，缺片，有霉点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599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342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763905"/>
                  <wp:effectExtent l="0" t="0" r="10795" b="13335"/>
                  <wp:docPr id="1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D284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1E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6CB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01099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CD0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清毛树棠行草条屏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526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EB9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D1C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43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横25 纵115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CEAF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折痕、折裂、虫蛀、污迹、锈迹、霉迹、破口、断裂、上轴掉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96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0D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2135505"/>
                  <wp:effectExtent l="0" t="0" r="11430" b="13335"/>
                  <wp:docPr id="1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780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29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74B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01067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017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清何韶基行楷对联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290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C1D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C0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FE3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横29 纵132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3C7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折痕、墨迹、破洞、污迹、擦毛、焦脆、泛黄、折裂严重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3CE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C01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1590040"/>
                  <wp:effectExtent l="0" t="0" r="10795" b="10160"/>
                  <wp:docPr id="2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7A6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DEE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DA1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01082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21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民国王文田篆书对联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16B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690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E11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135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横36.4 纵139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BE3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折痕、折裂、破洞、焦黄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E29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1A7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763905"/>
                  <wp:effectExtent l="0" t="0" r="10160" b="133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6679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A301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08C6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01096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90A7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元赵子昂行书对联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ADB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1B7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6C3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54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横25 纵115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4FF7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折痕、折裂、缺口、霉迹、污迹、泛黄、焦脆、破口、虫蛀、变色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E3D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F06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5540" cy="774700"/>
                  <wp:effectExtent l="0" t="0" r="12700" b="2540"/>
                  <wp:docPr id="2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BF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7D5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26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2024-0415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0D6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清毛昶熙之祖父母诰命圣旨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0D7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BEE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未定级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73E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丝织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4ED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454*31.5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BD4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有虫洞缺失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BEE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D5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5540" cy="188595"/>
                  <wp:effectExtent l="0" t="0" r="12700" b="9525"/>
                  <wp:docPr id="4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6AC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3B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069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C9A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民国行书条幅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3AA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DE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81E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4CB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145*38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A745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有折痕，霉斑现象严重。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2EED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CAC5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2096770"/>
                  <wp:effectExtent l="0" t="0" r="10795" b="6350"/>
                  <wp:docPr id="3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AF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A4B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453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315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清周天霖楷书祝寿屏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855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962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83E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049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41.5*176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ECC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残缺现象严重，有折痕，小孔。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5FC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tbl>
            <w:tblPr>
              <w:tblStyle w:val="10"/>
              <w:tblW w:w="10886" w:type="dxa"/>
              <w:jc w:val="center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66"/>
            </w:tblGrid>
            <w:tr w14:paraId="4D15B3E7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63" w:hRule="atLeast"/>
                <w:jc w:val="center"/>
              </w:trPr>
              <w:tc>
                <w:tcPr>
                  <w:tcW w:w="2166" w:type="dxa"/>
                  <w:noWrap w:val="0"/>
                  <w:vAlign w:val="center"/>
                </w:tcPr>
                <w:p w14:paraId="32AC7256">
                  <w:pPr>
                    <w:jc w:val="center"/>
                    <w:rPr>
                      <w:rFonts w:ascii="仿宋" w:hAnsi="仿宋" w:eastAsia="仿宋" w:cs="仿宋"/>
                      <w:sz w:val="24"/>
                    </w:rPr>
                  </w:pPr>
                  <w:r>
                    <w:drawing>
                      <wp:inline distT="0" distB="0" distL="114300" distR="114300">
                        <wp:extent cx="1147445" cy="1802130"/>
                        <wp:effectExtent l="0" t="0" r="10795" b="11430"/>
                        <wp:docPr id="34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445" cy="1802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1147445" cy="2072640"/>
                        <wp:effectExtent l="0" t="0" r="10795" b="0"/>
                        <wp:docPr id="35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445" cy="207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1147445" cy="2220595"/>
                        <wp:effectExtent l="0" t="0" r="10795" b="4445"/>
                        <wp:docPr id="40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445" cy="222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1146175" cy="901065"/>
                        <wp:effectExtent l="0" t="0" r="12065" b="13335"/>
                        <wp:docPr id="41" name="图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175" cy="90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76C6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3441D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A54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F8A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981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明末清初地府图水陆轴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C6E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BCC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36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DB7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172*71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257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320C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25A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695960"/>
                  <wp:effectExtent l="0" t="0" r="10160" b="5080"/>
                  <wp:docPr id="4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C48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524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120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091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明末清初天降图水陆轴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D7A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E77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0A2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688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176*72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B216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轴掉，折裂，折痕。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E2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2C9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762635"/>
                  <wp:effectExtent l="0" t="0" r="10795" b="14605"/>
                  <wp:docPr id="3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121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604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957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DC8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明末清初上界、下界、地府三界图水陆轴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733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7E9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ED3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8DA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179*73.5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144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折裂，折痕现象严重，有霉点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61F5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59C3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645795"/>
                  <wp:effectExtent l="0" t="0" r="12065" b="9525"/>
                  <wp:docPr id="3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44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973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162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7AD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明末清初朝辕图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772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E30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387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173*73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A82F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折裂，缺片，有霉点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874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4F00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582295"/>
                  <wp:effectExtent l="0" t="0" r="11430" b="12065"/>
                  <wp:docPr id="32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7C6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30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623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0AD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明末清初诸神图水陆轴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D1A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1C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C5B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6D9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171*72.5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E23E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折痕、折裂、虫蛀、污迹、锈迹、霉迹、破口、断裂、上轴掉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80BE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CF63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610235"/>
                  <wp:effectExtent l="0" t="0" r="10160" b="14605"/>
                  <wp:docPr id="4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350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29C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87C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00523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9BF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明末清初道教众仙图水陆轴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F27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A25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BA1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855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173*71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9196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折痕、墨迹、破洞、污迹、擦毛、焦脆、泛黄、折裂严重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1AF1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2F5A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632460"/>
                  <wp:effectExtent l="0" t="0" r="12065" b="7620"/>
                  <wp:docPr id="3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A0E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B0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BA5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6B9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明末清初地府审贪图水陆轴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EF6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495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BA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7FC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170*71.5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70A9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折痕、折裂、破洞、焦黄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E29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A40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755015"/>
                  <wp:effectExtent l="0" t="0" r="11430" b="6985"/>
                  <wp:docPr id="2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F03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1E9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59D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8B5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明末清初人物故事水陆轴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8F7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284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919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BE6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164*71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46A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折痕、折裂、缺口、霉迹、污迹、泛黄、焦脆、破口、虫蛀、变色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54CF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E0A6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754380"/>
                  <wp:effectExtent l="0" t="0" r="10795" b="7620"/>
                  <wp:docPr id="42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29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830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1E7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B54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明末清初众仙图水陆轴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173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429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016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01B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155*73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9BB3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有折痕，霉斑现象严重。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4D60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B4B8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768985"/>
                  <wp:effectExtent l="0" t="0" r="12065" b="8255"/>
                  <wp:docPr id="2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D51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8D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CC5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3A3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清代北斗星君图轴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48D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124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32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84D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172*86.5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FCEC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残缺现象严重，有折痕，小孔。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EF90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9705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647065"/>
                  <wp:effectExtent l="0" t="0" r="10160" b="8255"/>
                  <wp:docPr id="2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470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AA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3A2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493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明末清初彩绘释迦牟尼轴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EE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7C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76E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349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223*91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855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24B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0BB3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767715"/>
                  <wp:effectExtent l="0" t="0" r="11430" b="9525"/>
                  <wp:docPr id="2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252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8A8F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FD9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02127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802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清三清道祖水陆轴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041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44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CB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B27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72*172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F14C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轴掉，折裂，折痕。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309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8583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547370"/>
                  <wp:effectExtent l="0" t="0" r="10795" b="1270"/>
                  <wp:docPr id="37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6DD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6ED0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DA8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02128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194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清竹禅篆书条幅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B81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753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A3C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DBF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45*158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80D9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折裂，折痕现象严重，有霉点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2F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1D15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515620"/>
                  <wp:effectExtent l="0" t="0" r="10795" b="2540"/>
                  <wp:docPr id="36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96757">
      <w:pPr>
        <w:pStyle w:val="6"/>
        <w:numPr>
          <w:ilvl w:val="0"/>
          <w:numId w:val="1"/>
        </w:numPr>
        <w:ind w:left="840" w:leftChars="0" w:hanging="420" w:firstLineChars="0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技术要求</w:t>
      </w:r>
    </w:p>
    <w:p w14:paraId="7475743D"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为保护文物的安全，供应商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工作场所和技术设备应满足《可移动文物保护修复室规范化建设与仪器装备基本要求》（GB/T30238-2013）规定的区域技术中心以上的标准条件和功能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文物保管场所安全条件符合《文物系统博物馆风险等级和安全防护级别的规定（GA27—2002）》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。</w:t>
      </w:r>
    </w:p>
    <w:p w14:paraId="35669794"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文物在移交采购人前，供应商负责相应文物在保护修复期间的保管、运输和安全责任，相应费用包含在成交价中。非经采购人书面认可、同意，成交供应商不得更换项目负责人。 </w:t>
      </w:r>
    </w:p>
    <w:p w14:paraId="132AB1EA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（1）基本原则</w:t>
      </w:r>
    </w:p>
    <w:p w14:paraId="1285AAF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①不改变文物原状的原则，同时在实施保护修复中不允许对文物造成新的破坏。</w:t>
      </w:r>
    </w:p>
    <w:p w14:paraId="573BECEC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②最小干预原则。</w:t>
      </w:r>
    </w:p>
    <w:p w14:paraId="547F16D1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③使用的材料必须符合可再处理的原则。</w:t>
      </w:r>
    </w:p>
    <w:p w14:paraId="15AE8E05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④可识别与整体协调相结合的原则。</w:t>
      </w:r>
    </w:p>
    <w:p w14:paraId="26D3F5E0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⑤保护修复工作过程中，要严格执行保证文物真实性的原则。</w:t>
      </w:r>
    </w:p>
    <w:p w14:paraId="1ECAEFEE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（2）工作目标</w:t>
      </w:r>
    </w:p>
    <w:p w14:paraId="3C05A1A5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以相同原料的传统手工纸为参考目标，经过保护修复的纸质文物将达到以下技术指标：</w:t>
      </w:r>
    </w:p>
    <w:p w14:paraId="48E8FCAA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①色差：△E≤0.5；</w:t>
      </w:r>
    </w:p>
    <w:p w14:paraId="0F5F4C3B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②手感无明显变化，柔软性明显增强；</w:t>
      </w:r>
    </w:p>
    <w:p w14:paraId="519B53D2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③防虫抗霉变；</w:t>
      </w:r>
    </w:p>
    <w:p w14:paraId="1E142A0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④满足展陈和研究的需要；</w:t>
      </w:r>
    </w:p>
    <w:p w14:paraId="6616AA6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⑤依据修复原则对残损的纸质文物进行保护修复，使用传统工艺技术和材料，所有新材料和新工艺都必须经过前期试验和研究，以对文物最无害的工艺技术用于保护修复。经保护修复后，文物本体稳定性和物理强度得到提高，不影响其平整度和光泽度。</w:t>
      </w:r>
    </w:p>
    <w:p w14:paraId="648307D9"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操作流程</w:t>
      </w:r>
    </w:p>
    <w:p w14:paraId="3A691E43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34740" cy="5948680"/>
            <wp:effectExtent l="0" t="0" r="7620" b="10160"/>
            <wp:docPr id="39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284A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55872326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3.1. 消毒</w:t>
      </w:r>
    </w:p>
    <w:p w14:paraId="45546275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保护修复的33 套（83 件）纸质文物中发现有少量的微生物损害，为防止霉菌交叉感染其它文物，这批全部33 套（83 件） 纸质文物均需进行相应的消毒灭菌处理。</w:t>
      </w:r>
    </w:p>
    <w:p w14:paraId="771482AA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bookmarkStart w:id="3" w:name="bookmark13"/>
      <w:bookmarkEnd w:id="3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3.2. 脱酸</w:t>
      </w:r>
    </w:p>
    <w:p w14:paraId="35E8C03B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经现场检查，判定部分文物有不同程度的酸化现象。每件文物在实际保护修复前也需进行表面无损酸度测试，酸化较重的文物（pH  值≤5.0）需进行脱酸处理。</w:t>
      </w:r>
    </w:p>
    <w:p w14:paraId="42C91E09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bookmarkStart w:id="4" w:name="bookmark14"/>
      <w:bookmarkEnd w:id="4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3.3. 清洗</w:t>
      </w:r>
    </w:p>
    <w:p w14:paraId="55E2687C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根据病害调查，保护修复的33 套（83 件）文物中部分存在不同程度的水渍、 污渍和少量微生物等病害，所以在进行装裱处理前一定要采取传统与科学的清洗方法予以去除。</w:t>
      </w:r>
    </w:p>
    <w:p w14:paraId="3BAEA355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（1）水渍</w:t>
      </w:r>
    </w:p>
    <w:p w14:paraId="49A0DC0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水渍是纸质文物最常见的病害之一，在揭裱修复过程中比较容易去除。</w:t>
      </w:r>
    </w:p>
    <w:p w14:paraId="32BFAA3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（2）污点和微生物损害等</w:t>
      </w:r>
    </w:p>
    <w:p w14:paraId="411E40C7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处理方法是用棉签蘸取酒精涂擦，避免使用化学药品，再用蒸馏水或纯净水冲洗干净。</w:t>
      </w:r>
    </w:p>
    <w:p w14:paraId="531C7ECB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bookmarkStart w:id="5" w:name="bookmark15"/>
      <w:bookmarkEnd w:id="5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3.4. 装裱</w:t>
      </w:r>
    </w:p>
    <w:p w14:paraId="7A89208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(1) 揭裱</w:t>
      </w:r>
    </w:p>
    <w:p w14:paraId="4FFFEFF1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(2) 修补</w:t>
      </w:r>
    </w:p>
    <w:p w14:paraId="60AE1327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(3) 上托纸</w:t>
      </w:r>
    </w:p>
    <w:p w14:paraId="1322EE3C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(4)  全色</w:t>
      </w:r>
    </w:p>
    <w:p w14:paraId="75ED135C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(5) 装裱</w:t>
      </w:r>
    </w:p>
    <w:p w14:paraId="38068585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(6)  资料记录工作</w:t>
      </w:r>
    </w:p>
    <w:p w14:paraId="736A5847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按照科学、规范化要求，对该批保护修复的纸质文物建立科学档案，对现状、病害、工艺和保护修复后的效果进行比对、观察、记录、照相、建立文字和图片档案，要详尽、科学地描述，为今后的保护、研究工作提供完整数据。</w:t>
      </w:r>
      <w:bookmarkStart w:id="6" w:name="_GoBack"/>
      <w:bookmarkEnd w:id="6"/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7E0BA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0640F1F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hpgkvTAAAABQEAAA8AAAAAAAAAAQAgAAAAIgAA&#10;AGRycy9kb3ducmV2LnhtbFBLAQIUABQAAAAIAIdO4kDgCDKB1AEAAKUDAAAOAAAAAAAAAAEAIAAA&#10;ACIBAABkcnMvZTJvRG9jLnhtbFBLBQYAAAAABgAGAFkBAABoBQAAAAA=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0640F1F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E36AFE"/>
    <w:multiLevelType w:val="singleLevel"/>
    <w:tmpl w:val="D1E36AFE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00000030"/>
    <w:multiLevelType w:val="multilevel"/>
    <w:tmpl w:val="00000030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decimal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B1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500" w:beforeLines="0" w:after="500" w:afterLines="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6">
    <w:name w:val="heading 3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rFonts w:eastAsia="幼圆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iPriority w:val="0"/>
    <w:pPr>
      <w:numPr>
        <w:ilvl w:val="0"/>
        <w:numId w:val="0"/>
      </w:numPr>
      <w:spacing w:after="120" w:afterLines="0"/>
    </w:pPr>
  </w:style>
  <w:style w:type="paragraph" w:styleId="3">
    <w:name w:val="Body Text Indent"/>
    <w:basedOn w:val="1"/>
    <w:next w:val="4"/>
    <w:qFormat/>
    <w:uiPriority w:val="0"/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2025-11-07T01:50:18Z</dcterms:created>
  <dc:creator>Administrator</dc:creator>
  <cp:lastModifiedBy>Administrator</cp:lastModifiedBy>
  <dcterms:modified xsi:type="dcterms:W3CDTF">2025-11-07T01:50:37Z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eyJoZGlkIjoiZmMxNjhhMGQ5ZTk1MDI4NjNmM2FlZWRlM2YyNGRkNTQiLCJ1c2VySWQiOiI1Mzg4NjQ1ODQifQ==</vt:lpwstr>
  </property>
  <property fmtid="{D5CDD505-2E9C-101B-9397-08002B2CF9AE}" pid="4" name="ICV">
    <vt:lpwstr>41ED115D052A463D8C4BC83F3C69A4F3_12</vt:lpwstr>
  </property>
</Properties>
</file>